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BSc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F705B7">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F705B7">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F705B7">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F705B7">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F705B7">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F705B7">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F705B7">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F705B7">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F705B7">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F705B7">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F705B7">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F705B7">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F705B7">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F705B7">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F705B7">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F705B7">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F705B7">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F705B7">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F705B7">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F705B7">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F705B7">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F705B7">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F705B7">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F705B7">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F705B7">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F705B7">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F705B7">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F705B7">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F705B7">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F705B7">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F705B7">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F705B7">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F705B7">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F705B7">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F705B7">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F705B7">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77777777" w:rsidR="008007FD" w:rsidRPr="002A063A"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0B5BB03F" w14:textId="19657ED0" w:rsidR="00EC4E34" w:rsidRPr="002A063A" w:rsidRDefault="00EC4E34">
      <w:pPr>
        <w:pStyle w:val="Tabladeilustraciones"/>
        <w:tabs>
          <w:tab w:val="right" w:leader="dot" w:pos="9019"/>
        </w:tabs>
        <w:rPr>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003459" w:history="1">
        <w:r w:rsidRPr="002A063A">
          <w:rPr>
            <w:rStyle w:val="Hipervnculo"/>
            <w:noProof/>
            <w:color w:val="auto"/>
            <w:lang w:val="en-US"/>
          </w:rPr>
          <w:t>Figure 1. Visual field maps are measured in the right hemisphere of a single subject using expanding ring and rotating wedge stimuli. [29]</w:t>
        </w:r>
        <w:r w:rsidRPr="002A063A">
          <w:rPr>
            <w:noProof/>
            <w:webHidden/>
          </w:rPr>
          <w:tab/>
        </w:r>
        <w:r w:rsidRPr="002A063A">
          <w:rPr>
            <w:noProof/>
            <w:webHidden/>
          </w:rPr>
          <w:fldChar w:fldCharType="begin"/>
        </w:r>
        <w:r w:rsidRPr="002A063A">
          <w:rPr>
            <w:noProof/>
            <w:webHidden/>
          </w:rPr>
          <w:instrText xml:space="preserve"> PAGEREF _Toc22003459 \h </w:instrText>
        </w:r>
        <w:r w:rsidRPr="002A063A">
          <w:rPr>
            <w:noProof/>
            <w:webHidden/>
          </w:rPr>
        </w:r>
        <w:r w:rsidRPr="002A063A">
          <w:rPr>
            <w:noProof/>
            <w:webHidden/>
          </w:rPr>
          <w:fldChar w:fldCharType="separate"/>
        </w:r>
        <w:r w:rsidRPr="002A063A">
          <w:rPr>
            <w:noProof/>
            <w:webHidden/>
          </w:rPr>
          <w:t>10</w:t>
        </w:r>
        <w:r w:rsidRPr="002A063A">
          <w:rPr>
            <w:noProof/>
            <w:webHidden/>
          </w:rPr>
          <w:fldChar w:fldCharType="end"/>
        </w:r>
      </w:hyperlink>
    </w:p>
    <w:p w14:paraId="57852718" w14:textId="3AAA0A61" w:rsidR="00EC4E34" w:rsidRPr="002A063A" w:rsidRDefault="00F705B7">
      <w:pPr>
        <w:pStyle w:val="Tabladeilustraciones"/>
        <w:tabs>
          <w:tab w:val="right" w:leader="dot" w:pos="9019"/>
        </w:tabs>
        <w:rPr>
          <w:noProof/>
        </w:rPr>
      </w:pPr>
      <w:hyperlink w:anchor="_Toc22003460" w:history="1">
        <w:r w:rsidR="00EC4E34" w:rsidRPr="002A063A">
          <w:rPr>
            <w:rStyle w:val="Hipervnculo"/>
            <w:noProof/>
            <w:color w:val="auto"/>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_Toc22003460 \h </w:instrText>
        </w:r>
        <w:r w:rsidR="00EC4E34" w:rsidRPr="002A063A">
          <w:rPr>
            <w:noProof/>
            <w:webHidden/>
          </w:rPr>
        </w:r>
        <w:r w:rsidR="00EC4E34" w:rsidRPr="002A063A">
          <w:rPr>
            <w:noProof/>
            <w:webHidden/>
          </w:rPr>
          <w:fldChar w:fldCharType="separate"/>
        </w:r>
        <w:r w:rsidR="00EC4E34" w:rsidRPr="002A063A">
          <w:rPr>
            <w:noProof/>
            <w:webHidden/>
          </w:rPr>
          <w:t>14</w:t>
        </w:r>
        <w:r w:rsidR="00EC4E34" w:rsidRPr="002A063A">
          <w:rPr>
            <w:noProof/>
            <w:webHidden/>
          </w:rPr>
          <w:fldChar w:fldCharType="end"/>
        </w:r>
      </w:hyperlink>
    </w:p>
    <w:p w14:paraId="2A39A521" w14:textId="1FEFD887" w:rsidR="00EC4E34" w:rsidRPr="002A063A" w:rsidRDefault="00F705B7">
      <w:pPr>
        <w:pStyle w:val="Tabladeilustraciones"/>
        <w:tabs>
          <w:tab w:val="right" w:leader="dot" w:pos="9019"/>
        </w:tabs>
        <w:rPr>
          <w:noProof/>
        </w:rPr>
      </w:pPr>
      <w:hyperlink w:anchor="_Toc22003461" w:history="1">
        <w:r w:rsidR="00EC4E34" w:rsidRPr="002A063A">
          <w:rPr>
            <w:rStyle w:val="Hipervnculo"/>
            <w:noProof/>
            <w:color w:val="auto"/>
            <w:lang w:val="en-US"/>
          </w:rPr>
          <w:t>Figure 3. The expected location of LOC based on group data from seven neurologically intact participants [52]</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_Toc22003461 \h </w:instrText>
        </w:r>
        <w:r w:rsidR="00EC4E34" w:rsidRPr="002A063A">
          <w:rPr>
            <w:noProof/>
            <w:webHidden/>
          </w:rPr>
        </w:r>
        <w:r w:rsidR="00EC4E34" w:rsidRPr="002A063A">
          <w:rPr>
            <w:noProof/>
            <w:webHidden/>
          </w:rPr>
          <w:fldChar w:fldCharType="separate"/>
        </w:r>
        <w:r w:rsidR="00EC4E34" w:rsidRPr="002A063A">
          <w:rPr>
            <w:noProof/>
            <w:webHidden/>
          </w:rPr>
          <w:t>14</w:t>
        </w:r>
        <w:r w:rsidR="00EC4E34" w:rsidRPr="002A063A">
          <w:rPr>
            <w:noProof/>
            <w:webHidden/>
          </w:rPr>
          <w:fldChar w:fldCharType="end"/>
        </w:r>
      </w:hyperlink>
    </w:p>
    <w:p w14:paraId="00809B90" w14:textId="130D7550" w:rsidR="00EC4E34" w:rsidRPr="002A063A" w:rsidRDefault="00F705B7">
      <w:pPr>
        <w:pStyle w:val="Tabladeilustraciones"/>
        <w:tabs>
          <w:tab w:val="right" w:leader="dot" w:pos="9019"/>
        </w:tabs>
        <w:rPr>
          <w:noProof/>
        </w:rPr>
      </w:pPr>
      <w:hyperlink w:anchor="_Toc22003462" w:history="1">
        <w:r w:rsidR="00EC4E34" w:rsidRPr="002A063A">
          <w:rPr>
            <w:rStyle w:val="Hipervnculo"/>
            <w:noProof/>
            <w:color w:val="auto"/>
            <w:lang w:val="en-US"/>
          </w:rPr>
          <w:t>Figure 4. Survey of procedures used in neurovisual rehabilitation [74]</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_Toc22003462 \h </w:instrText>
        </w:r>
        <w:r w:rsidR="00EC4E34" w:rsidRPr="002A063A">
          <w:rPr>
            <w:noProof/>
            <w:webHidden/>
          </w:rPr>
        </w:r>
        <w:r w:rsidR="00EC4E34" w:rsidRPr="002A063A">
          <w:rPr>
            <w:noProof/>
            <w:webHidden/>
          </w:rPr>
          <w:fldChar w:fldCharType="separate"/>
        </w:r>
        <w:r w:rsidR="00EC4E34" w:rsidRPr="002A063A">
          <w:rPr>
            <w:noProof/>
            <w:webHidden/>
          </w:rPr>
          <w:t>18</w:t>
        </w:r>
        <w:r w:rsidR="00EC4E34" w:rsidRPr="002A063A">
          <w:rPr>
            <w:noProof/>
            <w:webHidden/>
          </w:rPr>
          <w:fldChar w:fldCharType="end"/>
        </w:r>
      </w:hyperlink>
    </w:p>
    <w:p w14:paraId="60DC9C1B" w14:textId="304E578E" w:rsidR="00EC4E34" w:rsidRPr="002A063A" w:rsidRDefault="00F705B7">
      <w:pPr>
        <w:pStyle w:val="Tabladeilustraciones"/>
        <w:tabs>
          <w:tab w:val="right" w:leader="dot" w:pos="9019"/>
        </w:tabs>
        <w:rPr>
          <w:noProof/>
        </w:rPr>
      </w:pPr>
      <w:hyperlink w:anchor="_Toc22003463" w:history="1">
        <w:r w:rsidR="00EC4E34" w:rsidRPr="002A063A">
          <w:rPr>
            <w:rStyle w:val="Hipervnculo"/>
            <w:noProof/>
            <w:color w:val="auto"/>
            <w:lang w:val="en-US"/>
          </w:rPr>
          <w:t>Figure 5. The SSVEP elicited by the 7-Hz stimulation shows characteristic frequency components with peaks at the fundamental and harmonic frequencies at the O2 electrode [44].</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_Toc22003463 \h </w:instrText>
        </w:r>
        <w:r w:rsidR="00EC4E34" w:rsidRPr="002A063A">
          <w:rPr>
            <w:noProof/>
            <w:webHidden/>
          </w:rPr>
        </w:r>
        <w:r w:rsidR="00EC4E34" w:rsidRPr="002A063A">
          <w:rPr>
            <w:noProof/>
            <w:webHidden/>
          </w:rPr>
          <w:fldChar w:fldCharType="separate"/>
        </w:r>
        <w:r w:rsidR="00EC4E34" w:rsidRPr="002A063A">
          <w:rPr>
            <w:noProof/>
            <w:webHidden/>
          </w:rPr>
          <w:t>22</w:t>
        </w:r>
        <w:r w:rsidR="00EC4E34" w:rsidRPr="002A063A">
          <w:rPr>
            <w:noProof/>
            <w:webHidden/>
          </w:rPr>
          <w:fldChar w:fldCharType="end"/>
        </w:r>
      </w:hyperlink>
    </w:p>
    <w:p w14:paraId="0A5DABE1" w14:textId="52345AAE" w:rsidR="00EC4E34" w:rsidRPr="002A063A" w:rsidRDefault="00F705B7">
      <w:pPr>
        <w:pStyle w:val="Tabladeilustraciones"/>
        <w:tabs>
          <w:tab w:val="right" w:leader="dot" w:pos="9019"/>
        </w:tabs>
        <w:rPr>
          <w:noProof/>
        </w:rPr>
      </w:pPr>
      <w:hyperlink w:anchor="_Toc22003464" w:history="1">
        <w:r w:rsidR="00EC4E34" w:rsidRPr="002A063A">
          <w:rPr>
            <w:rStyle w:val="Hipervnculo"/>
            <w:noProof/>
            <w:color w:val="auto"/>
            <w:lang w:val="en-US"/>
          </w:rPr>
          <w:t>Figure 6. Processing for acuity analysis</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_Toc22003464 \h </w:instrText>
        </w:r>
        <w:r w:rsidR="00EC4E34" w:rsidRPr="002A063A">
          <w:rPr>
            <w:noProof/>
            <w:webHidden/>
          </w:rPr>
        </w:r>
        <w:r w:rsidR="00EC4E34" w:rsidRPr="002A063A">
          <w:rPr>
            <w:noProof/>
            <w:webHidden/>
          </w:rPr>
          <w:fldChar w:fldCharType="separate"/>
        </w:r>
        <w:r w:rsidR="00EC4E34" w:rsidRPr="002A063A">
          <w:rPr>
            <w:noProof/>
            <w:webHidden/>
          </w:rPr>
          <w:t>23</w:t>
        </w:r>
        <w:r w:rsidR="00EC4E34" w:rsidRPr="002A063A">
          <w:rPr>
            <w:noProof/>
            <w:webHidden/>
          </w:rPr>
          <w:fldChar w:fldCharType="end"/>
        </w:r>
      </w:hyperlink>
    </w:p>
    <w:p w14:paraId="46977D2D" w14:textId="69AA5418" w:rsidR="00EC4E34" w:rsidRPr="002A063A" w:rsidRDefault="00F705B7">
      <w:pPr>
        <w:pStyle w:val="Tabladeilustraciones"/>
        <w:tabs>
          <w:tab w:val="right" w:leader="dot" w:pos="9019"/>
        </w:tabs>
        <w:rPr>
          <w:noProof/>
        </w:rPr>
      </w:pPr>
      <w:hyperlink w:anchor="_Toc22003465" w:history="1">
        <w:r w:rsidR="00EC4E34" w:rsidRPr="002A063A">
          <w:rPr>
            <w:rStyle w:val="Hipervnculo"/>
            <w:noProof/>
            <w:color w:val="auto"/>
            <w:lang w:val="en-US"/>
          </w:rPr>
          <w:t>Figure 7. Stimuli for contrast sensitivity</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_Toc22003465 \h </w:instrText>
        </w:r>
        <w:r w:rsidR="00EC4E34" w:rsidRPr="002A063A">
          <w:rPr>
            <w:noProof/>
            <w:webHidden/>
          </w:rPr>
        </w:r>
        <w:r w:rsidR="00EC4E34" w:rsidRPr="002A063A">
          <w:rPr>
            <w:noProof/>
            <w:webHidden/>
          </w:rPr>
          <w:fldChar w:fldCharType="separate"/>
        </w:r>
        <w:r w:rsidR="00EC4E34" w:rsidRPr="002A063A">
          <w:rPr>
            <w:noProof/>
            <w:webHidden/>
          </w:rPr>
          <w:t>25</w:t>
        </w:r>
        <w:r w:rsidR="00EC4E34" w:rsidRPr="002A063A">
          <w:rPr>
            <w:noProof/>
            <w:webHidden/>
          </w:rPr>
          <w:fldChar w:fldCharType="end"/>
        </w:r>
      </w:hyperlink>
    </w:p>
    <w:p w14:paraId="3CAA0828" w14:textId="629C6001" w:rsidR="00EC4E34" w:rsidRPr="002A063A" w:rsidRDefault="00F705B7">
      <w:pPr>
        <w:pStyle w:val="Tabladeilustraciones"/>
        <w:tabs>
          <w:tab w:val="right" w:leader="dot" w:pos="9019"/>
        </w:tabs>
        <w:rPr>
          <w:noProof/>
        </w:rPr>
      </w:pPr>
      <w:hyperlink w:anchor="_Toc22003466" w:history="1">
        <w:r w:rsidR="00EC4E34" w:rsidRPr="002A063A">
          <w:rPr>
            <w:rStyle w:val="Hipervnculo"/>
            <w:noProof/>
            <w:color w:val="auto"/>
            <w:lang w:val="en-US"/>
          </w:rPr>
          <w:t>Figure 8. Illustration of the concept of the synchronization likelihood [50].</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_Toc22003466 \h </w:instrText>
        </w:r>
        <w:r w:rsidR="00EC4E34" w:rsidRPr="002A063A">
          <w:rPr>
            <w:noProof/>
            <w:webHidden/>
          </w:rPr>
        </w:r>
        <w:r w:rsidR="00EC4E34" w:rsidRPr="002A063A">
          <w:rPr>
            <w:noProof/>
            <w:webHidden/>
          </w:rPr>
          <w:fldChar w:fldCharType="separate"/>
        </w:r>
        <w:r w:rsidR="00EC4E34" w:rsidRPr="002A063A">
          <w:rPr>
            <w:noProof/>
            <w:webHidden/>
          </w:rPr>
          <w:t>26</w:t>
        </w:r>
        <w:r w:rsidR="00EC4E34" w:rsidRPr="002A063A">
          <w:rPr>
            <w:noProof/>
            <w:webHidden/>
          </w:rPr>
          <w:fldChar w:fldCharType="end"/>
        </w:r>
      </w:hyperlink>
    </w:p>
    <w:p w14:paraId="6207B415" w14:textId="16193ABE" w:rsidR="00EC4E34" w:rsidRPr="002A063A" w:rsidRDefault="00F705B7">
      <w:pPr>
        <w:pStyle w:val="Tabladeilustraciones"/>
        <w:tabs>
          <w:tab w:val="right" w:leader="dot" w:pos="9019"/>
        </w:tabs>
        <w:rPr>
          <w:noProof/>
        </w:rPr>
      </w:pPr>
      <w:hyperlink w:anchor="_Toc22003467" w:history="1">
        <w:r w:rsidR="00EC4E34" w:rsidRPr="002A063A">
          <w:rPr>
            <w:rStyle w:val="Hipervnculo"/>
            <w:noProof/>
            <w:color w:val="auto"/>
            <w:lang w:val="en-US"/>
          </w:rPr>
          <w:t>Figure 9. Conditions for the room</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_Toc22003467 \h </w:instrText>
        </w:r>
        <w:r w:rsidR="00EC4E34" w:rsidRPr="002A063A">
          <w:rPr>
            <w:noProof/>
            <w:webHidden/>
          </w:rPr>
        </w:r>
        <w:r w:rsidR="00EC4E34" w:rsidRPr="002A063A">
          <w:rPr>
            <w:noProof/>
            <w:webHidden/>
          </w:rPr>
          <w:fldChar w:fldCharType="separate"/>
        </w:r>
        <w:r w:rsidR="00EC4E34" w:rsidRPr="002A063A">
          <w:rPr>
            <w:noProof/>
            <w:webHidden/>
          </w:rPr>
          <w:t>29</w:t>
        </w:r>
        <w:r w:rsidR="00EC4E34" w:rsidRPr="002A063A">
          <w:rPr>
            <w:noProof/>
            <w:webHidden/>
          </w:rPr>
          <w:fldChar w:fldCharType="end"/>
        </w:r>
      </w:hyperlink>
    </w:p>
    <w:p w14:paraId="5C946364" w14:textId="70F863C6" w:rsidR="00EC4E34" w:rsidRPr="002A063A" w:rsidRDefault="00F705B7">
      <w:pPr>
        <w:pStyle w:val="Tabladeilustraciones"/>
        <w:tabs>
          <w:tab w:val="right" w:leader="dot" w:pos="9019"/>
        </w:tabs>
        <w:rPr>
          <w:noProof/>
        </w:rPr>
      </w:pPr>
      <w:hyperlink w:anchor="_Toc22003468" w:history="1">
        <w:r w:rsidR="00EC4E34" w:rsidRPr="002A063A">
          <w:rPr>
            <w:rStyle w:val="Hipervnculo"/>
            <w:noProof/>
            <w:color w:val="auto"/>
            <w:lang w:val="en-US"/>
          </w:rPr>
          <w:t>Figure 10. Electrode Placement</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_Toc22003468 \h </w:instrText>
        </w:r>
        <w:r w:rsidR="00EC4E34" w:rsidRPr="002A063A">
          <w:rPr>
            <w:noProof/>
            <w:webHidden/>
          </w:rPr>
        </w:r>
        <w:r w:rsidR="00EC4E34" w:rsidRPr="002A063A">
          <w:rPr>
            <w:noProof/>
            <w:webHidden/>
          </w:rPr>
          <w:fldChar w:fldCharType="separate"/>
        </w:r>
        <w:r w:rsidR="00EC4E34" w:rsidRPr="002A063A">
          <w:rPr>
            <w:noProof/>
            <w:webHidden/>
          </w:rPr>
          <w:t>29</w:t>
        </w:r>
        <w:r w:rsidR="00EC4E34" w:rsidRPr="002A063A">
          <w:rPr>
            <w:noProof/>
            <w:webHidden/>
          </w:rPr>
          <w:fldChar w:fldCharType="end"/>
        </w:r>
      </w:hyperlink>
    </w:p>
    <w:p w14:paraId="43B5E465" w14:textId="61F9D8A4" w:rsidR="00EC4E34" w:rsidRPr="002A063A" w:rsidRDefault="00F705B7">
      <w:pPr>
        <w:pStyle w:val="Tabladeilustraciones"/>
        <w:tabs>
          <w:tab w:val="right" w:leader="dot" w:pos="9019"/>
        </w:tabs>
        <w:rPr>
          <w:noProof/>
        </w:rPr>
      </w:pPr>
      <w:hyperlink w:anchor="_Toc22003469" w:history="1">
        <w:r w:rsidR="00EC4E34" w:rsidRPr="002A063A">
          <w:rPr>
            <w:rStyle w:val="Hipervnculo"/>
            <w:noProof/>
            <w:color w:val="auto"/>
            <w:lang w:val="en-US"/>
          </w:rPr>
          <w:t>Figure 11. Diagram for data processing</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_Toc22003469 \h </w:instrText>
        </w:r>
        <w:r w:rsidR="00EC4E34" w:rsidRPr="002A063A">
          <w:rPr>
            <w:noProof/>
            <w:webHidden/>
          </w:rPr>
        </w:r>
        <w:r w:rsidR="00EC4E34" w:rsidRPr="002A063A">
          <w:rPr>
            <w:noProof/>
            <w:webHidden/>
          </w:rPr>
          <w:fldChar w:fldCharType="separate"/>
        </w:r>
        <w:r w:rsidR="00EC4E34" w:rsidRPr="002A063A">
          <w:rPr>
            <w:noProof/>
            <w:webHidden/>
          </w:rPr>
          <w:t>30</w:t>
        </w:r>
        <w:r w:rsidR="00EC4E34" w:rsidRPr="002A063A">
          <w:rPr>
            <w:noProof/>
            <w:webHidden/>
          </w:rPr>
          <w:fldChar w:fldCharType="end"/>
        </w:r>
      </w:hyperlink>
    </w:p>
    <w:p w14:paraId="716E2C3A" w14:textId="3216B900"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Toc22003459"/>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Pr="002A063A" w:rsidRDefault="002303D0" w:rsidP="002303D0">
      <w:pPr>
        <w:jc w:val="both"/>
        <w:rPr>
          <w:lang w:val="en-US"/>
        </w:rPr>
      </w:pPr>
    </w:p>
    <w:p w14:paraId="2D7FE40A" w14:textId="1E5C17E5" w:rsidR="002303D0" w:rsidRPr="002A063A" w:rsidRDefault="002303D0" w:rsidP="002303D0">
      <w:pPr>
        <w:jc w:val="both"/>
        <w:rPr>
          <w:lang w:val="en-US"/>
        </w:rPr>
      </w:pPr>
    </w:p>
    <w:p w14:paraId="4E0D71E0" w14:textId="77777777" w:rsidR="002303D0" w:rsidRPr="002A063A" w:rsidRDefault="002303D0" w:rsidP="002303D0">
      <w:pPr>
        <w:jc w:val="both"/>
        <w:rPr>
          <w:rFonts w:eastAsia="Helvetica Neue"/>
          <w:sz w:val="24"/>
          <w:szCs w:val="24"/>
          <w:lang w:val="en-US"/>
        </w:rPr>
      </w:pP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2"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2"/>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3" w:name="_Toc22095160"/>
      <w:r w:rsidRPr="002A063A">
        <w:rPr>
          <w:color w:val="auto"/>
          <w:sz w:val="24"/>
          <w:szCs w:val="24"/>
          <w:lang w:val="en-US"/>
        </w:rPr>
        <w:t xml:space="preserve">3.2.1 </w:t>
      </w:r>
      <w:r w:rsidR="00476825" w:rsidRPr="002A063A">
        <w:rPr>
          <w:color w:val="auto"/>
          <w:sz w:val="24"/>
          <w:szCs w:val="24"/>
          <w:lang w:val="en-US"/>
        </w:rPr>
        <w:t>Acuity</w:t>
      </w:r>
      <w:bookmarkEnd w:id="13"/>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w:t>
      </w:r>
      <w:r w:rsidRPr="002A063A">
        <w:rPr>
          <w:sz w:val="24"/>
          <w:szCs w:val="24"/>
          <w:lang w:val="en-US"/>
        </w:rPr>
        <w:lastRenderedPageBreak/>
        <w:t xml:space="preserve">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4" w:name="_Toc22095161"/>
      <w:r w:rsidRPr="002A063A">
        <w:rPr>
          <w:color w:val="auto"/>
          <w:sz w:val="24"/>
          <w:szCs w:val="24"/>
          <w:lang w:val="en-US"/>
        </w:rPr>
        <w:t>3.2.2 Contrast sensitivity</w:t>
      </w:r>
      <w:bookmarkEnd w:id="14"/>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5" w:name="_Toc22095162"/>
      <w:r w:rsidRPr="002A063A">
        <w:rPr>
          <w:color w:val="auto"/>
          <w:sz w:val="24"/>
          <w:szCs w:val="24"/>
          <w:lang w:val="en-US"/>
        </w:rPr>
        <w:t>3.2.3</w:t>
      </w:r>
      <w:r w:rsidR="00AA496B" w:rsidRPr="002A063A">
        <w:rPr>
          <w:color w:val="auto"/>
          <w:sz w:val="24"/>
          <w:szCs w:val="24"/>
          <w:lang w:val="en-US"/>
        </w:rPr>
        <w:t xml:space="preserve"> Visual field</w:t>
      </w:r>
      <w:bookmarkEnd w:id="15"/>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6" w:name="_Toc22095163"/>
      <w:r w:rsidRPr="002A063A">
        <w:rPr>
          <w:color w:val="auto"/>
          <w:sz w:val="24"/>
          <w:szCs w:val="24"/>
          <w:lang w:val="en-US"/>
        </w:rPr>
        <w:t>3.2.4 Motion perception</w:t>
      </w:r>
      <w:bookmarkEnd w:id="16"/>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7" w:name="_Toc2200346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bookmarkEnd w:id="17"/>
      <w:r w:rsidR="002303D0" w:rsidRPr="00A9712A">
        <w:rPr>
          <w:noProof/>
          <w:lang w:val="en-US"/>
        </w:rPr>
        <w:t>[51]</w:t>
      </w:r>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lastRenderedPageBreak/>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8" w:name="_Toc22095164"/>
      <w:r w:rsidRPr="002A063A">
        <w:rPr>
          <w:color w:val="auto"/>
          <w:sz w:val="24"/>
          <w:szCs w:val="24"/>
          <w:lang w:val="en-US"/>
        </w:rPr>
        <w:t>3.2.5 Form recognition</w:t>
      </w:r>
      <w:bookmarkEnd w:id="18"/>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19" w:name="_Toc2200346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bookmarkEnd w:id="19"/>
      <w:r w:rsidR="002303D0" w:rsidRPr="00A9712A">
        <w:rPr>
          <w:noProof/>
          <w:lang w:val="en-US"/>
        </w:rPr>
        <w:t>[53]</w:t>
      </w:r>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w:t>
      </w:r>
      <w:r w:rsidRPr="002A063A">
        <w:rPr>
          <w:sz w:val="24"/>
          <w:szCs w:val="24"/>
          <w:lang w:val="en-US"/>
        </w:rPr>
        <w:lastRenderedPageBreak/>
        <w:t xml:space="preserve">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0" w:name="_Toc22095165"/>
      <w:r w:rsidRPr="002A063A">
        <w:rPr>
          <w:color w:val="auto"/>
          <w:sz w:val="24"/>
          <w:szCs w:val="24"/>
          <w:lang w:val="en-US"/>
        </w:rPr>
        <w:t>3.2.6 Read words</w:t>
      </w:r>
      <w:bookmarkEnd w:id="20"/>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1" w:name="_Toc22095166"/>
      <w:r w:rsidRPr="002A063A">
        <w:rPr>
          <w:color w:val="auto"/>
          <w:sz w:val="24"/>
          <w:szCs w:val="24"/>
          <w:lang w:val="en-US"/>
        </w:rPr>
        <w:t>3.2.7 Color detection</w:t>
      </w:r>
      <w:bookmarkEnd w:id="21"/>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2" w:name="m_4099952373375245207_bbib4"/>
      <w:bookmarkStart w:id="23"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2"/>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3"/>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4" w:name="_Toc22095167"/>
      <w:r w:rsidRPr="002A063A">
        <w:rPr>
          <w:color w:val="auto"/>
          <w:sz w:val="24"/>
          <w:szCs w:val="24"/>
          <w:lang w:val="en-US"/>
        </w:rPr>
        <w:t>3.2.8 Image description</w:t>
      </w:r>
      <w:bookmarkEnd w:id="24"/>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5" w:name="_Toc22095168"/>
      <w:r w:rsidRPr="002A063A">
        <w:rPr>
          <w:b/>
          <w:sz w:val="24"/>
          <w:szCs w:val="24"/>
          <w:lang w:val="en-US"/>
        </w:rPr>
        <w:t>3.3 Therapy</w:t>
      </w:r>
      <w:r w:rsidR="00F779B5" w:rsidRPr="002A063A">
        <w:rPr>
          <w:b/>
          <w:sz w:val="24"/>
          <w:szCs w:val="24"/>
          <w:lang w:val="en-US"/>
        </w:rPr>
        <w:t xml:space="preserve"> and neuroplasticity</w:t>
      </w:r>
      <w:bookmarkEnd w:id="25"/>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lastRenderedPageBreak/>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4E49396D"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proofErr w:type="spellStart"/>
      <w:r w:rsidR="008D38F8" w:rsidRPr="002A063A">
        <w:rPr>
          <w:rFonts w:eastAsia="Helvetica Neue"/>
          <w:sz w:val="24"/>
          <w:szCs w:val="24"/>
          <w:highlight w:val="white"/>
          <w:lang w:val="en-US"/>
        </w:rPr>
        <w:t>utilise</w:t>
      </w:r>
      <w:proofErr w:type="spellEnd"/>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6" w:name="_Toc2200346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bookmarkEnd w:id="26"/>
      <w:r w:rsidR="007C370B" w:rsidRPr="00A9712A">
        <w:rPr>
          <w:noProof/>
          <w:lang w:val="en-US"/>
        </w:rPr>
        <w:t>[77]</w:t>
      </w:r>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7" w:name="_Toc22095169"/>
      <w:r w:rsidRPr="002A063A">
        <w:rPr>
          <w:rFonts w:eastAsia="Helvetica Neue"/>
          <w:b/>
          <w:sz w:val="24"/>
          <w:szCs w:val="24"/>
          <w:highlight w:val="white"/>
          <w:lang w:val="en-US"/>
        </w:rPr>
        <w:t>Visual electrophysiology</w:t>
      </w:r>
      <w:bookmarkEnd w:id="27"/>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8" w:name="_Toc22095170"/>
      <w:r w:rsidRPr="002A063A">
        <w:rPr>
          <w:rFonts w:eastAsia="Helvetica Neue"/>
          <w:b/>
          <w:sz w:val="24"/>
          <w:szCs w:val="24"/>
          <w:lang w:val="en-US"/>
        </w:rPr>
        <w:t>Electroencephalography (EEG)</w:t>
      </w:r>
      <w:bookmarkEnd w:id="28"/>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031084"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031084"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031084"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031084"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031084"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29"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29"/>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0"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0"/>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1" w:name="_Ref12392680"/>
      <w:bookmarkStart w:id="32" w:name="_Toc2200346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1"/>
      <w:r w:rsidRPr="00A9712A">
        <w:rPr>
          <w:lang w:val="en-US"/>
        </w:rPr>
        <w:t>. The SSVEP elicited by the 7-Hz stimulation shows characteristic frequency components with peaks at the fundamental and harmonic frequencies at the O2 electrode [44].</w:t>
      </w:r>
      <w:bookmarkEnd w:id="32"/>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3" w:name="_Toc2200346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bookmarkEnd w:id="33"/>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w:t>
      </w:r>
      <w:r w:rsidR="001D1BA3">
        <w:rPr>
          <w:rFonts w:eastAsia="Helvetica Neue"/>
          <w:sz w:val="24"/>
          <w:szCs w:val="24"/>
          <w:lang w:val="en-US"/>
        </w:rPr>
        <w:lastRenderedPageBreak/>
        <w:t xml:space="preserve">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4" w:name="_Toc2200346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bookmarkEnd w:id="34"/>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5"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5"/>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w:lastRenderedPageBreak/>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F705B7"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6"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6"/>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are very close together. In other </w:t>
      </w:r>
      <w:r w:rsidRPr="002A063A">
        <w:rPr>
          <w:rFonts w:eastAsia="Helvetica Neue"/>
          <w:sz w:val="24"/>
          <w:szCs w:val="24"/>
          <w:lang w:val="en-US"/>
        </w:rPr>
        <w:lastRenderedPageBreak/>
        <w:t>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7673BC87" w14:textId="77777777" w:rsidR="00713332" w:rsidRPr="002A063A" w:rsidRDefault="00713332" w:rsidP="00193100">
      <w:pPr>
        <w:autoSpaceDE w:val="0"/>
        <w:autoSpaceDN w:val="0"/>
        <w:adjustRightInd w:val="0"/>
        <w:jc w:val="both"/>
        <w:rPr>
          <w:rFonts w:eastAsia="Helvetica Neue"/>
          <w:sz w:val="24"/>
          <w:szCs w:val="24"/>
          <w:lang w:val="en-US"/>
        </w:rPr>
      </w:pP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37" w:name="_Toc2200346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37"/>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7665FAE4">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863429" cy="3263652"/>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F705B7"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F705B7"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w:t>
      </w:r>
      <w:r w:rsidRPr="002A063A">
        <w:rPr>
          <w:rFonts w:eastAsia="Helvetica Neue"/>
          <w:sz w:val="24"/>
          <w:szCs w:val="24"/>
          <w:lang w:val="en-US"/>
        </w:rPr>
        <w:lastRenderedPageBreak/>
        <w:t xml:space="preserve">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38"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38"/>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proofErr w:type="spellStart"/>
      <w:r w:rsidR="00863BC7" w:rsidRPr="002A063A">
        <w:rPr>
          <w:rFonts w:eastAsia="Helvetica Neue"/>
          <w:sz w:val="24"/>
          <w:szCs w:val="24"/>
          <w:lang w:val="en-US"/>
        </w:rPr>
        <w:t>epresents</w:t>
      </w:r>
      <w:proofErr w:type="spellEnd"/>
      <w:r w:rsidR="00863BC7" w:rsidRPr="002A063A">
        <w:rPr>
          <w:rFonts w:eastAsia="Helvetica Neue"/>
          <w:sz w:val="24"/>
          <w:szCs w:val="24"/>
          <w:lang w:val="en-US"/>
        </w:rPr>
        <w:t xml:space="preserve">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F705B7"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2A063A" w:rsidRDefault="00F705B7"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39" w:name="_Toc22095176"/>
      <w:r w:rsidRPr="007B1289">
        <w:rPr>
          <w:rFonts w:eastAsia="Helvetica Neue"/>
          <w:b/>
          <w:sz w:val="24"/>
          <w:szCs w:val="24"/>
          <w:highlight w:val="cyan"/>
          <w:lang w:val="en-US"/>
        </w:rPr>
        <w:t>Data processing</w:t>
      </w:r>
      <w:bookmarkEnd w:id="39"/>
    </w:p>
    <w:p w14:paraId="33F3D89B" w14:textId="26A7EFBF" w:rsidR="00D1380B" w:rsidRPr="007B1289" w:rsidRDefault="00D1380B" w:rsidP="00D1380B">
      <w:pPr>
        <w:rPr>
          <w:rFonts w:eastAsia="Helvetica Neue"/>
          <w:b/>
          <w:sz w:val="24"/>
          <w:szCs w:val="24"/>
          <w:highlight w:val="cyan"/>
          <w:lang w:val="en-US"/>
        </w:rPr>
      </w:pPr>
    </w:p>
    <w:p w14:paraId="13A531DB" w14:textId="35642D1B" w:rsidR="00D1380B" w:rsidRPr="007B1289" w:rsidRDefault="00D1380B" w:rsidP="00D1380B">
      <w:pPr>
        <w:rPr>
          <w:rFonts w:eastAsia="Helvetica Neue"/>
          <w:sz w:val="24"/>
          <w:szCs w:val="24"/>
          <w:highlight w:val="cyan"/>
          <w:lang w:val="en-US"/>
        </w:rPr>
      </w:pPr>
    </w:p>
    <w:p w14:paraId="5F2332A8" w14:textId="645B4CAB" w:rsidR="00B23BA4" w:rsidRPr="007B1289" w:rsidRDefault="00B23BA4" w:rsidP="00D1380B">
      <w:pPr>
        <w:rPr>
          <w:rFonts w:eastAsia="Helvetica Neue"/>
          <w:sz w:val="24"/>
          <w:szCs w:val="24"/>
          <w:highlight w:val="cyan"/>
          <w:lang w:val="en-US"/>
        </w:rPr>
      </w:pPr>
    </w:p>
    <w:p w14:paraId="1D991CB5" w14:textId="77777777" w:rsidR="00B23BA4" w:rsidRPr="007B1289" w:rsidRDefault="00B23BA4" w:rsidP="00D1380B">
      <w:pPr>
        <w:rPr>
          <w:rFonts w:eastAsia="Helvetica Neue"/>
          <w:sz w:val="24"/>
          <w:szCs w:val="24"/>
          <w:highlight w:val="cyan"/>
          <w:lang w:val="en-US"/>
        </w:rPr>
      </w:pPr>
    </w:p>
    <w:p w14:paraId="72439B41" w14:textId="77777777" w:rsidR="00D1380B" w:rsidRPr="007B1289" w:rsidRDefault="00D1380B" w:rsidP="00D1380B">
      <w:pPr>
        <w:rPr>
          <w:rFonts w:eastAsia="Helvetica Neue"/>
          <w:b/>
          <w:sz w:val="24"/>
          <w:szCs w:val="24"/>
          <w:highlight w:val="cyan"/>
          <w:lang w:val="en-US"/>
        </w:rPr>
      </w:pPr>
    </w:p>
    <w:p w14:paraId="0403A41F" w14:textId="77777777" w:rsidR="00661CDD" w:rsidRPr="007B1289" w:rsidRDefault="00661CDD"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0" w:name="_Toc22095177"/>
      <w:r w:rsidR="00057276" w:rsidRPr="007B1289">
        <w:rPr>
          <w:rFonts w:eastAsia="Helvetica Neue"/>
          <w:b/>
          <w:sz w:val="24"/>
          <w:szCs w:val="24"/>
          <w:highlight w:val="cyan"/>
          <w:lang w:val="en-US"/>
        </w:rPr>
        <w:t>Reduction of dimensionality</w:t>
      </w:r>
      <w:bookmarkEnd w:id="40"/>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w:t>
      </w:r>
      <w:r w:rsidRPr="007B1289">
        <w:rPr>
          <w:rFonts w:eastAsia="Helvetica Neue"/>
          <w:sz w:val="24"/>
          <w:szCs w:val="24"/>
          <w:highlight w:val="cyan"/>
          <w:lang w:val="en-US"/>
        </w:rPr>
        <w:lastRenderedPageBreak/>
        <w:t xml:space="preserve">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F705B7"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1" w:name="_Toc22095178"/>
      <w:r w:rsidR="00057276" w:rsidRPr="007B1289">
        <w:rPr>
          <w:rFonts w:eastAsia="Helvetica Neue"/>
          <w:b/>
          <w:sz w:val="24"/>
          <w:szCs w:val="24"/>
          <w:highlight w:val="cyan"/>
          <w:lang w:val="en-US"/>
        </w:rPr>
        <w:t>Repeated measure</w:t>
      </w:r>
      <w:bookmarkEnd w:id="41"/>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2" w:name="_Toc22095179"/>
      <w:r w:rsidR="00677521" w:rsidRPr="007B1289">
        <w:rPr>
          <w:rFonts w:eastAsia="Helvetica Neue"/>
          <w:b/>
          <w:sz w:val="24"/>
          <w:szCs w:val="24"/>
          <w:highlight w:val="cyan"/>
          <w:lang w:val="en-US"/>
        </w:rPr>
        <w:t>Classification algorithms</w:t>
      </w:r>
      <w:bookmarkEnd w:id="42"/>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3" w:name="_Toc22095180"/>
      <w:r w:rsidRPr="002A063A">
        <w:rPr>
          <w:rFonts w:eastAsia="Helvetica Neue"/>
          <w:b/>
          <w:sz w:val="24"/>
          <w:szCs w:val="24"/>
          <w:highlight w:val="white"/>
          <w:lang w:val="en-US"/>
        </w:rPr>
        <w:t>Methodology</w:t>
      </w:r>
      <w:bookmarkEnd w:id="43"/>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4" w:name="_Toc22095181"/>
      <w:r w:rsidRPr="002A063A">
        <w:rPr>
          <w:rFonts w:eastAsia="Helvetica Neue"/>
          <w:b/>
          <w:sz w:val="24"/>
          <w:szCs w:val="24"/>
          <w:lang w:val="en-US"/>
        </w:rPr>
        <w:t>Subjects</w:t>
      </w:r>
      <w:bookmarkEnd w:id="44"/>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lastRenderedPageBreak/>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5"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5"/>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6" w:name="_Ref12392719"/>
      <w:bookmarkStart w:id="47" w:name="_Toc2200346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6"/>
      <w:r w:rsidRPr="00A9712A">
        <w:rPr>
          <w:lang w:val="en-US"/>
        </w:rPr>
        <w:t>. Condition</w:t>
      </w:r>
      <w:r w:rsidR="00757AB3" w:rsidRPr="00A9712A">
        <w:rPr>
          <w:lang w:val="en-US"/>
        </w:rPr>
        <w:t>s</w:t>
      </w:r>
      <w:r w:rsidRPr="00A9712A">
        <w:rPr>
          <w:lang w:val="en-US"/>
        </w:rPr>
        <w:t xml:space="preserve"> for the room</w:t>
      </w:r>
      <w:bookmarkEnd w:id="47"/>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48"/>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49" w:name="_Ref12392752"/>
      <w:bookmarkStart w:id="50" w:name="_Toc2200346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49"/>
      <w:r w:rsidRPr="00A9712A">
        <w:rPr>
          <w:lang w:val="en-US"/>
        </w:rPr>
        <w:t>. Electrode Placement</w:t>
      </w:r>
      <w:bookmarkEnd w:id="50"/>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lastRenderedPageBreak/>
        <w:drawing>
          <wp:inline distT="0" distB="0" distL="0" distR="0" wp14:anchorId="7F36E9BB" wp14:editId="46ABF48E">
            <wp:extent cx="4152900" cy="35020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63" cy="3508956"/>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1"/>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2" w:name="_Ref12392822"/>
      <w:bookmarkStart w:id="53" w:name="_Toc2200346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2"/>
      <w:r w:rsidRPr="00A9712A">
        <w:rPr>
          <w:lang w:val="en-US"/>
        </w:rPr>
        <w:t>. Diagram for data processing</w:t>
      </w:r>
      <w:bookmarkEnd w:id="53"/>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F705B7" w:rsidRPr="00283548" w:rsidRDefault="00F705B7"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F705B7" w:rsidRPr="00283548" w:rsidRDefault="00F705B7"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F705B7" w:rsidRPr="00283548" w:rsidRDefault="00F705B7"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F705B7" w:rsidRPr="00283548" w:rsidRDefault="00F705B7"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F705B7" w:rsidRPr="00283548" w:rsidRDefault="00F705B7"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F705B7" w:rsidRPr="00283548" w:rsidRDefault="00F705B7"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F705B7" w:rsidRPr="00B508A7" w:rsidRDefault="00F705B7"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F705B7" w:rsidRPr="00B508A7" w:rsidRDefault="00F705B7"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F705B7" w:rsidRPr="00B508A7" w:rsidRDefault="00F705B7"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F705B7" w:rsidRPr="00B508A7" w:rsidRDefault="00F705B7"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8569FAE" w:rsidR="00F705B7" w:rsidRPr="00B508A7" w:rsidRDefault="00F705B7"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8569FAE" w:rsidR="00F705B7" w:rsidRPr="00B508A7" w:rsidRDefault="00F705B7"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69BC4981" w14:textId="77777777" w:rsidR="00A50F10" w:rsidRPr="007B1289" w:rsidRDefault="00A50F10"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Feature extraction: </w:t>
      </w:r>
    </w:p>
    <w:p w14:paraId="775CC130"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3C6C3AC9"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1F17FDAC" w14:textId="77777777" w:rsidR="0028640E" w:rsidRPr="007B1289" w:rsidRDefault="0028640E"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7B1289">
        <w:rPr>
          <w:rFonts w:eastAsia="Helvetica Neue"/>
          <w:sz w:val="24"/>
          <w:szCs w:val="24"/>
          <w:highlight w:val="cyan"/>
          <w:lang w:val="en-US"/>
        </w:rPr>
        <w:t>Relative power spectral in each frequency band was calculated for summation of the values for each band, delta (0-4), theta (4-8), alpha (8-13) and beta (13-30).  The result was obtained for each bipolar configuration Oz-</w:t>
      </w:r>
      <w:proofErr w:type="spellStart"/>
      <w:r w:rsidRPr="007B1289">
        <w:rPr>
          <w:rFonts w:eastAsia="Helvetica Neue"/>
          <w:sz w:val="24"/>
          <w:szCs w:val="24"/>
          <w:highlight w:val="cyan"/>
          <w:lang w:val="en-US"/>
        </w:rPr>
        <w:t>FCz</w:t>
      </w:r>
      <w:proofErr w:type="spellEnd"/>
      <w:r w:rsidRPr="007B1289">
        <w:rPr>
          <w:rFonts w:eastAsia="Helvetica Neue"/>
          <w:sz w:val="24"/>
          <w:szCs w:val="24"/>
          <w:highlight w:val="cyan"/>
          <w:lang w:val="en-US"/>
        </w:rPr>
        <w:t>, O1-FCz, O2-FCz, PO7-FCz, PO8-FCz, PO3-FCz and PO4-FCZ</w:t>
      </w:r>
      <w:r w:rsidR="00323FA6" w:rsidRPr="007B1289">
        <w:rPr>
          <w:rFonts w:eastAsia="Helvetica Neue"/>
          <w:sz w:val="24"/>
          <w:szCs w:val="24"/>
          <w:highlight w:val="cyan"/>
          <w:lang w:val="en-US"/>
        </w:rPr>
        <w:t>.</w:t>
      </w:r>
    </w:p>
    <w:p w14:paraId="1574B2DB" w14:textId="77777777" w:rsidR="00323FA6" w:rsidRPr="002A063A" w:rsidRDefault="00323FA6" w:rsidP="00193100">
      <w:pPr>
        <w:autoSpaceDE w:val="0"/>
        <w:autoSpaceDN w:val="0"/>
        <w:adjustRightInd w:val="0"/>
        <w:jc w:val="both"/>
        <w:rPr>
          <w:rFonts w:eastAsia="Helvetica Neue"/>
          <w:sz w:val="24"/>
          <w:szCs w:val="24"/>
          <w:lang w:val="en-US"/>
        </w:rPr>
      </w:pPr>
    </w:p>
    <w:p w14:paraId="38FE2E49" w14:textId="77777777" w:rsidR="009609D9" w:rsidRPr="002A063A" w:rsidRDefault="009609D9" w:rsidP="00193100">
      <w:pPr>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4" w:name="_Toc22095185"/>
      <w:r w:rsidR="00B37186" w:rsidRPr="002A063A">
        <w:rPr>
          <w:rFonts w:eastAsia="Helvetica Neue"/>
          <w:b/>
          <w:sz w:val="24"/>
          <w:szCs w:val="24"/>
          <w:lang w:val="en-US"/>
        </w:rPr>
        <w:t>Ethics statement</w:t>
      </w:r>
      <w:bookmarkEnd w:id="54"/>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5" w:name="_Toc22095186"/>
      <w:r w:rsidRPr="002A063A">
        <w:rPr>
          <w:rFonts w:eastAsia="Helvetica Neue"/>
          <w:b/>
          <w:sz w:val="24"/>
          <w:szCs w:val="24"/>
          <w:lang w:val="en-US"/>
        </w:rPr>
        <w:lastRenderedPageBreak/>
        <w:t>Results and discussion</w:t>
      </w:r>
      <w:bookmarkEnd w:id="55"/>
    </w:p>
    <w:p w14:paraId="57E38656" w14:textId="48325F95" w:rsidR="008324EF" w:rsidRDefault="00DB6C3F" w:rsidP="00193100">
      <w:pPr>
        <w:pStyle w:val="Ttulo2"/>
        <w:numPr>
          <w:ilvl w:val="1"/>
          <w:numId w:val="1"/>
        </w:numPr>
        <w:rPr>
          <w:rFonts w:eastAsia="Helvetica Neue"/>
          <w:b/>
          <w:sz w:val="24"/>
          <w:szCs w:val="24"/>
          <w:lang w:val="en-US"/>
        </w:rPr>
      </w:pPr>
      <w:bookmarkStart w:id="56" w:name="_Toc22095187"/>
      <w:r w:rsidRPr="002A063A">
        <w:rPr>
          <w:rFonts w:eastAsia="Helvetica Neue"/>
          <w:b/>
          <w:sz w:val="24"/>
          <w:szCs w:val="24"/>
          <w:lang w:val="en-US"/>
        </w:rPr>
        <w:t>Set of test</w:t>
      </w:r>
      <w:bookmarkEnd w:id="56"/>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1"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1832980B"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Pr>
          <w:rFonts w:eastAsia="Helvetica Neue"/>
          <w:sz w:val="24"/>
          <w:szCs w:val="24"/>
          <w:lang w:val="en-US"/>
        </w:rPr>
        <w:fldChar w:fldCharType="separate"/>
      </w:r>
      <w:r w:rsidR="006D19F0" w:rsidRPr="006D19F0">
        <w:rPr>
          <w:rFonts w:eastAsia="Helvetica Neue"/>
          <w:noProof/>
          <w:sz w:val="24"/>
          <w:szCs w:val="24"/>
          <w:lang w:val="en-US"/>
        </w:rPr>
        <w:t>[97]</w:t>
      </w:r>
      <w:r>
        <w:rPr>
          <w:rFonts w:eastAsia="Helvetica Neue"/>
          <w:sz w:val="24"/>
          <w:szCs w:val="24"/>
          <w:lang w:val="en-US"/>
        </w:rPr>
        <w:fldChar w:fldCharType="end"/>
      </w:r>
      <w:r w:rsidR="00030C7D">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"[98]", "plainTextFormattedCitation" : "[98]",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6D19F0" w:rsidRPr="006D19F0">
        <w:rPr>
          <w:rFonts w:eastAsia="Helvetica Neue"/>
          <w:noProof/>
          <w:sz w:val="24"/>
          <w:szCs w:val="24"/>
          <w:lang w:val="en-US"/>
        </w:rPr>
        <w:t>[98]</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eastAsia="Helvetica Neue"/>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9B00CF">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eastAsia="Helvetica Neue"/>
          <w:noProof/>
          <w:sz w:val="24"/>
          <w:szCs w:val="24"/>
          <w:lang w:val="en-US"/>
        </w:rPr>
        <w:t>[100]</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CA19E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[101]</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"[102]", "plainTextFormattedCitation" : "[102]",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[102]</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C60619" w:rsidRPr="006D19F0">
        <w:rPr>
          <w:rFonts w:eastAsia="Helvetica Neue"/>
          <w:noProof/>
          <w:sz w:val="24"/>
          <w:szCs w:val="24"/>
          <w:lang w:val="en-US"/>
        </w:rPr>
        <w:t>[97]</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C10263" w:rsidRPr="009B00CF">
        <w:rPr>
          <w:rFonts w:eastAsia="Helvetica Neue"/>
          <w:noProof/>
          <w:sz w:val="24"/>
          <w:szCs w:val="24"/>
          <w:lang w:val="en-US"/>
        </w:rPr>
        <w:t>[100]</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C10263" w:rsidRPr="00C10263">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"[103]", "plainTextFormattedCitation" : "[103]",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[103]</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031084"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031084"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003A1D9"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9B00CF">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ascii="Arial" w:eastAsia="Helvetica Neue" w:hAnsi="Arial" w:cs="Arial"/>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CA19E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ascii="Arial" w:eastAsia="Helvetica Neue" w:hAnsi="Arial" w:cs="Arial"/>
                <w:noProof/>
                <w:sz w:val="24"/>
                <w:szCs w:val="24"/>
                <w:lang w:val="en-US"/>
              </w:rPr>
              <w:t>[100]</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031084"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5EBFB"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DF539"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031084"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36A4C"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031084"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3635A"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C3E4E"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C3DF"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B69A9"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59754"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415C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031084"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031084"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F705B7" w:rsidRPr="002E704B" w:rsidRDefault="00F705B7"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F705B7" w:rsidRPr="002E704B" w:rsidRDefault="00F705B7"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F705B7" w:rsidRPr="002E704B" w:rsidRDefault="00F705B7"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F705B7" w:rsidRPr="002E704B" w:rsidRDefault="00F705B7"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F705B7" w:rsidRPr="002E704B" w:rsidRDefault="00F705B7"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F705B7" w:rsidRPr="002E704B" w:rsidRDefault="00F705B7"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031084" w:rsidRDefault="00AE67D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r w:rsidR="009A0803" w:rsidRPr="002A063A">
              <w:rPr>
                <w:rFonts w:ascii="Arial" w:eastAsia="Helvetica Neue" w:hAnsi="Arial" w:cs="Arial"/>
                <w:sz w:val="24"/>
                <w:szCs w:val="24"/>
                <w:lang w:val="es-ES" w:eastAsia="es-ES"/>
              </w:rPr>
              <w:t xml:space="preserve">The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031084" w:rsidRDefault="007A6389" w:rsidP="00193100">
            <w:pPr>
              <w:spacing w:line="276" w:lineRule="auto"/>
              <w:jc w:val="center"/>
              <w:rPr>
                <w:rFonts w:ascii="Arial" w:eastAsia="Helvetica Neue" w:hAnsi="Arial" w:cs="Arial"/>
                <w:sz w:val="24"/>
                <w:szCs w:val="24"/>
                <w:lang w:val="en-U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031084"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031084"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7629DAB9" w14:textId="2555288A" w:rsidR="000E0E2C"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57" w:name="_Toc22095188"/>
      <w:r w:rsidRPr="002A063A">
        <w:rPr>
          <w:rFonts w:eastAsia="Helvetica Neue"/>
          <w:b/>
          <w:sz w:val="24"/>
          <w:szCs w:val="24"/>
          <w:lang w:val="en-US"/>
        </w:rPr>
        <w:t>Study in healthy control individuals</w:t>
      </w:r>
      <w:bookmarkEnd w:id="57"/>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xml:space="preserve">. Subjects </w:t>
      </w:r>
      <w:proofErr w:type="spellStart"/>
      <w:r w:rsidRPr="00A9712A">
        <w:rPr>
          <w:lang w:val="en-US"/>
        </w:rPr>
        <w:t>caracterization</w:t>
      </w:r>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3811F79C" w:rsidR="004F2621" w:rsidRPr="00CC751A"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w:t>
      </w:r>
      <w:proofErr w:type="spellStart"/>
      <w:r w:rsidRPr="00CC751A">
        <w:rPr>
          <w:rFonts w:eastAsia="Helvetica Neue"/>
          <w:sz w:val="24"/>
          <w:szCs w:val="24"/>
          <w:lang w:val="en-US"/>
        </w:rPr>
        <w:t>Hampel</w:t>
      </w:r>
      <w:proofErr w:type="spellEnd"/>
      <w:r w:rsidRPr="00CC751A">
        <w:rPr>
          <w:rFonts w:eastAsia="Helvetica Neue"/>
          <w:sz w:val="24"/>
          <w:szCs w:val="24"/>
          <w:lang w:val="en-US"/>
        </w:rPr>
        <w:t xml:space="preserve"> filter (Figure 14B) and signals with many atypical data (Figure 14C) were discarded. Drastic errors in the acquisition of the signals were produced by saturation in the sending of data from the </w:t>
      </w:r>
      <w:proofErr w:type="spellStart"/>
      <w:r w:rsidRPr="00CC751A">
        <w:rPr>
          <w:rFonts w:eastAsia="Helvetica Neue"/>
          <w:sz w:val="24"/>
          <w:szCs w:val="24"/>
          <w:lang w:val="en-US"/>
        </w:rPr>
        <w:t>openBCI</w:t>
      </w:r>
      <w:proofErr w:type="spellEnd"/>
      <w:r w:rsidRPr="00CC751A">
        <w:rPr>
          <w:rFonts w:eastAsia="Helvetica Neue"/>
          <w:sz w:val="24"/>
          <w:szCs w:val="24"/>
          <w:lang w:val="en-US"/>
        </w:rPr>
        <w:t>.</w:t>
      </w:r>
    </w:p>
    <w:p w14:paraId="00F731E4" w14:textId="1D4C1EE4" w:rsidR="004F2621" w:rsidRDefault="00A9712A" w:rsidP="00A9712A">
      <w:pPr>
        <w:pStyle w:val="Descripcin"/>
        <w:jc w:val="center"/>
        <w:rPr>
          <w:rFonts w:eastAsia="Helvetica Neue"/>
          <w:sz w:val="24"/>
          <w:szCs w:val="24"/>
          <w:lang w:val="en-US"/>
        </w:rPr>
      </w:pPr>
      <w:r w:rsidRPr="00A9712A">
        <w:rPr>
          <w:lang w:val="en-US"/>
        </w:rPr>
        <w:lastRenderedPageBreak/>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7" w:history="1">
        <w:r w:rsidRPr="00C746CD">
          <w:rPr>
            <w:rStyle w:val="Hipervnculo"/>
            <w:lang w:val="en-US"/>
          </w:rPr>
          <w:t>https://github.com/danni9310/Thesis_group_1</w:t>
        </w:r>
      </w:hyperlink>
      <w:r w:rsidRPr="00C746CD">
        <w:rPr>
          <w:lang w:val="en-US"/>
        </w:rPr>
        <w:t xml:space="preserve"> and </w:t>
      </w:r>
      <w:hyperlink r:id="rId48"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52A90E41" w14:textId="3CD2B686" w:rsidR="00BE02F0" w:rsidRDefault="00BE02F0" w:rsidP="00BE02F0">
      <w:pPr>
        <w:pStyle w:val="Ttulo3"/>
        <w:numPr>
          <w:ilvl w:val="2"/>
          <w:numId w:val="1"/>
        </w:numPr>
        <w:rPr>
          <w:rFonts w:eastAsia="Helvetica Neue"/>
          <w:sz w:val="24"/>
          <w:szCs w:val="24"/>
          <w:lang w:val="en-US"/>
        </w:rPr>
      </w:pPr>
      <w:r w:rsidRPr="00BE02F0">
        <w:rPr>
          <w:rFonts w:eastAsia="Helvetica Neue"/>
          <w:sz w:val="24"/>
          <w:szCs w:val="24"/>
          <w:lang w:val="en-US"/>
        </w:rPr>
        <w:t>Steady-state visual evoked potentials (SSVEPs)</w:t>
      </w:r>
    </w:p>
    <w:p w14:paraId="7AB0FA28" w14:textId="219B599B" w:rsidR="00BE02F0" w:rsidRDefault="00BE02F0" w:rsidP="00287DF7">
      <w:pPr>
        <w:jc w:val="center"/>
        <w:rPr>
          <w:lang w:val="en-US"/>
        </w:rPr>
      </w:pPr>
      <w:r w:rsidRPr="002A063A">
        <w:rPr>
          <w:noProof/>
          <w:sz w:val="24"/>
          <w:szCs w:val="24"/>
        </w:rPr>
        <w:drawing>
          <wp:inline distT="0" distB="0" distL="0" distR="0" wp14:anchorId="1DF9AC7C" wp14:editId="1C9E713F">
            <wp:extent cx="3133725" cy="2089150"/>
            <wp:effectExtent l="0" t="0" r="9525" b="635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inline>
        </w:drawing>
      </w:r>
    </w:p>
    <w:p w14:paraId="5FC952E4" w14:textId="74379434" w:rsidR="00BE02F0" w:rsidRDefault="00BE02F0" w:rsidP="00BE02F0">
      <w:pPr>
        <w:rPr>
          <w:lang w:val="en-US"/>
        </w:rPr>
      </w:pPr>
    </w:p>
    <w:p w14:paraId="37DEA920" w14:textId="77777777" w:rsidR="00BE02F0" w:rsidRPr="002A063A" w:rsidRDefault="00BE02F0" w:rsidP="00BE02F0">
      <w:pPr>
        <w:rPr>
          <w:sz w:val="24"/>
          <w:szCs w:val="24"/>
        </w:rPr>
      </w:pPr>
      <w:r w:rsidRPr="002A063A">
        <w:rPr>
          <w:sz w:val="24"/>
          <w:szCs w:val="24"/>
        </w:rPr>
        <w:t xml:space="preserve">Contrast </w:t>
      </w:r>
      <w:proofErr w:type="spellStart"/>
      <w:r w:rsidRPr="002A063A">
        <w:rPr>
          <w:sz w:val="24"/>
          <w:szCs w:val="24"/>
        </w:rPr>
        <w:t>both</w:t>
      </w:r>
      <w:proofErr w:type="spellEnd"/>
    </w:p>
    <w:p w14:paraId="740AF94D" w14:textId="77777777" w:rsidR="00BE02F0" w:rsidRPr="002A063A" w:rsidRDefault="00BE02F0" w:rsidP="00BE02F0">
      <w:pPr>
        <w:rPr>
          <w:sz w:val="24"/>
          <w:szCs w:val="24"/>
        </w:rPr>
      </w:pPr>
    </w:p>
    <w:p w14:paraId="640B0684" w14:textId="77777777" w:rsidR="00BE02F0" w:rsidRPr="002A063A" w:rsidRDefault="00BE02F0" w:rsidP="00BE02F0">
      <w:pPr>
        <w:rPr>
          <w:sz w:val="24"/>
          <w:szCs w:val="24"/>
        </w:rPr>
      </w:pPr>
    </w:p>
    <w:p w14:paraId="1605E66C" w14:textId="77777777" w:rsidR="00BE02F0" w:rsidRPr="002A063A" w:rsidRDefault="00BE02F0" w:rsidP="00287DF7">
      <w:pPr>
        <w:jc w:val="center"/>
        <w:rPr>
          <w:sz w:val="24"/>
          <w:szCs w:val="24"/>
        </w:rPr>
      </w:pPr>
      <w:r w:rsidRPr="002A063A">
        <w:rPr>
          <w:noProof/>
          <w:sz w:val="24"/>
          <w:szCs w:val="24"/>
        </w:rPr>
        <w:drawing>
          <wp:inline distT="0" distB="0" distL="0" distR="0" wp14:anchorId="01537D3F" wp14:editId="5ACAA306">
            <wp:extent cx="2914650" cy="19431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8541" cy="1945694"/>
                    </a:xfrm>
                    <a:prstGeom prst="rect">
                      <a:avLst/>
                    </a:prstGeom>
                    <a:noFill/>
                    <a:ln>
                      <a:noFill/>
                    </a:ln>
                  </pic:spPr>
                </pic:pic>
              </a:graphicData>
            </a:graphic>
          </wp:inline>
        </w:drawing>
      </w:r>
    </w:p>
    <w:p w14:paraId="7B65895C" w14:textId="77777777" w:rsidR="00BE02F0" w:rsidRPr="002A063A" w:rsidRDefault="00BE02F0" w:rsidP="00BE02F0">
      <w:pPr>
        <w:rPr>
          <w:sz w:val="24"/>
          <w:szCs w:val="24"/>
        </w:rPr>
      </w:pPr>
      <w:proofErr w:type="spellStart"/>
      <w:r w:rsidRPr="002A063A">
        <w:rPr>
          <w:sz w:val="24"/>
          <w:szCs w:val="24"/>
        </w:rPr>
        <w:lastRenderedPageBreak/>
        <w:t>Acuity</w:t>
      </w:r>
      <w:proofErr w:type="spellEnd"/>
      <w:r w:rsidRPr="002A063A">
        <w:rPr>
          <w:sz w:val="24"/>
          <w:szCs w:val="24"/>
        </w:rPr>
        <w:t xml:space="preserve"> </w:t>
      </w:r>
      <w:proofErr w:type="spellStart"/>
      <w:r w:rsidRPr="002A063A">
        <w:rPr>
          <w:sz w:val="24"/>
          <w:szCs w:val="24"/>
        </w:rPr>
        <w:t>both</w:t>
      </w:r>
      <w:proofErr w:type="spellEnd"/>
    </w:p>
    <w:p w14:paraId="133D75D8" w14:textId="77777777" w:rsidR="00BE02F0" w:rsidRDefault="00BE02F0" w:rsidP="00BE02F0">
      <w:pPr>
        <w:rPr>
          <w:lang w:val="en-US"/>
        </w:rPr>
      </w:pPr>
    </w:p>
    <w:p w14:paraId="47ED3B29" w14:textId="77777777" w:rsidR="00BE02F0" w:rsidRPr="00BE02F0" w:rsidRDefault="00BE02F0" w:rsidP="00BE02F0">
      <w:pPr>
        <w:rPr>
          <w:lang w:val="en-US"/>
        </w:rPr>
      </w:pPr>
    </w:p>
    <w:p w14:paraId="1D42838E" w14:textId="00DAB1BF" w:rsidR="00BE02F0" w:rsidRPr="00BE02F0" w:rsidRDefault="00BE02F0" w:rsidP="00BE02F0">
      <w:pPr>
        <w:pStyle w:val="Prrafodelista"/>
        <w:numPr>
          <w:ilvl w:val="2"/>
          <w:numId w:val="1"/>
        </w:numPr>
        <w:rPr>
          <w:rFonts w:eastAsia="Helvetica Neue"/>
          <w:color w:val="434343"/>
          <w:sz w:val="24"/>
          <w:szCs w:val="24"/>
          <w:lang w:val="en-US"/>
        </w:rPr>
      </w:pPr>
      <w:r w:rsidRPr="00BE02F0">
        <w:rPr>
          <w:rFonts w:eastAsia="Helvetica Neue"/>
          <w:color w:val="434343"/>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1F99AD9F" w14:textId="79949395" w:rsidR="00092526" w:rsidRDefault="00F0537A" w:rsidP="002073C0">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Sphericity</w:t>
      </w:r>
      <w:proofErr w:type="spellEnd"/>
      <w:r w:rsidRPr="002A063A">
        <w:rPr>
          <w:rFonts w:eastAsia="Helvetica Neue"/>
          <w:sz w:val="24"/>
          <w:szCs w:val="24"/>
          <w:lang w:val="en-US"/>
        </w:rPr>
        <w:t xml:space="preserve"> Test and the condition in which there is </w:t>
      </w:r>
      <w:r w:rsidR="005C40A3">
        <w:rPr>
          <w:rFonts w:eastAsia="Helvetica Neue"/>
          <w:sz w:val="24"/>
          <w:szCs w:val="24"/>
          <w:lang w:val="en-US"/>
        </w:rPr>
        <w:t xml:space="preserve">a </w:t>
      </w:r>
      <w:r w:rsidRPr="002A063A">
        <w:rPr>
          <w:rFonts w:eastAsia="Helvetica Neue"/>
          <w:sz w:val="24"/>
          <w:szCs w:val="24"/>
          <w:lang w:val="en-US"/>
        </w:rPr>
        <w:t>significant difference for group 1</w:t>
      </w:r>
      <w:r w:rsidR="00E41C5A">
        <w:rPr>
          <w:rFonts w:eastAsia="Helvetica Neue"/>
          <w:sz w:val="24"/>
          <w:szCs w:val="24"/>
          <w:lang w:val="en-US"/>
        </w:rPr>
        <w:t xml:space="preserve"> and </w:t>
      </w:r>
      <w:r w:rsidR="00E41C5A">
        <w:rPr>
          <w:rFonts w:eastAsia="Helvetica Neue"/>
          <w:sz w:val="24"/>
          <w:szCs w:val="24"/>
          <w:highlight w:val="yellow"/>
          <w:lang w:val="en-US"/>
        </w:rPr>
        <w:t>T</w:t>
      </w:r>
      <w:r w:rsidR="00E41C5A" w:rsidRPr="00E41C5A">
        <w:rPr>
          <w:rFonts w:eastAsia="Helvetica Neue"/>
          <w:sz w:val="24"/>
          <w:szCs w:val="24"/>
          <w:highlight w:val="yellow"/>
          <w:lang w:val="en-US"/>
        </w:rPr>
        <w:t>able 5</w:t>
      </w:r>
      <w:r w:rsidR="00E41C5A">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0C4948A0" w14:textId="54D047B9" w:rsidR="00092526" w:rsidRDefault="00092526" w:rsidP="00092526">
      <w:pPr>
        <w:rPr>
          <w:sz w:val="24"/>
          <w:szCs w:val="24"/>
          <w:lang w:val="en-US"/>
        </w:rPr>
      </w:pPr>
    </w:p>
    <w:p w14:paraId="555C6444" w14:textId="3E33AC51" w:rsidR="00E213EA" w:rsidRDefault="00E213EA" w:rsidP="00092526">
      <w:pPr>
        <w:rPr>
          <w:sz w:val="24"/>
          <w:szCs w:val="24"/>
          <w:lang w:val="en-US"/>
        </w:rPr>
      </w:pPr>
    </w:p>
    <w:p w14:paraId="5F6676B7" w14:textId="78E53BC5" w:rsidR="00A16EC8" w:rsidRDefault="00A16EC8" w:rsidP="00092526">
      <w:pPr>
        <w:rPr>
          <w:sz w:val="24"/>
          <w:szCs w:val="24"/>
          <w:lang w:val="en-US"/>
        </w:rPr>
      </w:pPr>
    </w:p>
    <w:p w14:paraId="0D32E6FC" w14:textId="74D4131B" w:rsidR="00A16EC8" w:rsidRDefault="00A16EC8" w:rsidP="00092526">
      <w:pPr>
        <w:rPr>
          <w:sz w:val="24"/>
          <w:szCs w:val="24"/>
          <w:lang w:val="en-US"/>
        </w:rPr>
      </w:pPr>
    </w:p>
    <w:p w14:paraId="06EDF08B" w14:textId="7131B02D" w:rsidR="00A16EC8" w:rsidRDefault="00A16EC8" w:rsidP="00092526">
      <w:pPr>
        <w:rPr>
          <w:sz w:val="24"/>
          <w:szCs w:val="24"/>
          <w:lang w:val="en-US"/>
        </w:rPr>
      </w:pPr>
    </w:p>
    <w:p w14:paraId="1A40AA95" w14:textId="3DDCCFE6" w:rsidR="00A16EC8" w:rsidRDefault="00A16EC8" w:rsidP="00092526">
      <w:pPr>
        <w:rPr>
          <w:sz w:val="24"/>
          <w:szCs w:val="24"/>
          <w:lang w:val="en-US"/>
        </w:rPr>
      </w:pPr>
    </w:p>
    <w:p w14:paraId="5B20861E" w14:textId="09C60564" w:rsidR="00A16EC8" w:rsidRDefault="00A16EC8" w:rsidP="00092526">
      <w:pPr>
        <w:rPr>
          <w:sz w:val="24"/>
          <w:szCs w:val="24"/>
          <w:lang w:val="en-US"/>
        </w:rPr>
      </w:pPr>
    </w:p>
    <w:p w14:paraId="0CC994AA" w14:textId="2C58EE3D" w:rsidR="00A16EC8" w:rsidRDefault="00A16EC8" w:rsidP="00092526">
      <w:pPr>
        <w:rPr>
          <w:sz w:val="24"/>
          <w:szCs w:val="24"/>
          <w:lang w:val="en-US"/>
        </w:rPr>
      </w:pPr>
    </w:p>
    <w:p w14:paraId="6AB861A4" w14:textId="3E86B55B" w:rsidR="00A16EC8" w:rsidRDefault="00A16EC8" w:rsidP="00092526">
      <w:pPr>
        <w:rPr>
          <w:sz w:val="24"/>
          <w:szCs w:val="24"/>
          <w:lang w:val="en-US"/>
        </w:rPr>
      </w:pPr>
    </w:p>
    <w:p w14:paraId="50E849A9" w14:textId="7A5EBDEB" w:rsidR="00A16EC8" w:rsidRDefault="00A16EC8" w:rsidP="00092526">
      <w:pPr>
        <w:rPr>
          <w:sz w:val="24"/>
          <w:szCs w:val="24"/>
          <w:lang w:val="en-US"/>
        </w:rPr>
      </w:pPr>
    </w:p>
    <w:p w14:paraId="1FA8E54C" w14:textId="2D715114" w:rsidR="00A16EC8" w:rsidRDefault="00A16EC8" w:rsidP="00092526">
      <w:pPr>
        <w:rPr>
          <w:sz w:val="24"/>
          <w:szCs w:val="24"/>
          <w:lang w:val="en-US"/>
        </w:rPr>
      </w:pPr>
    </w:p>
    <w:p w14:paraId="6F403624" w14:textId="77777777" w:rsidR="00A16EC8" w:rsidRPr="002A063A" w:rsidRDefault="00A16EC8" w:rsidP="00092526">
      <w:pPr>
        <w:rPr>
          <w:sz w:val="24"/>
          <w:szCs w:val="24"/>
          <w:lang w:val="en-US"/>
        </w:rPr>
      </w:pPr>
    </w:p>
    <w:p w14:paraId="7273D36D" w14:textId="03AC2DC0" w:rsidR="00092526" w:rsidRPr="00164F5C" w:rsidRDefault="00092526" w:rsidP="00092526">
      <w:pPr>
        <w:pStyle w:val="Descripcin"/>
        <w:jc w:val="center"/>
        <w:rPr>
          <w:lang w:val="en-US"/>
        </w:rPr>
      </w:pPr>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05322D7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10605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E213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E213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E213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26DBE2C1" w14:textId="1549A8D4" w:rsidR="00F0537A" w:rsidRPr="002A063A" w:rsidRDefault="00092526" w:rsidP="00193100">
      <w:pPr>
        <w:jc w:val="both"/>
        <w:rPr>
          <w:rFonts w:eastAsia="Helvetica Neue"/>
          <w:sz w:val="24"/>
          <w:szCs w:val="24"/>
          <w:lang w:val="en-US"/>
        </w:rPr>
      </w:pPr>
      <w:r>
        <w:rPr>
          <w:rFonts w:eastAsia="Helvetica Neue"/>
          <w:sz w:val="24"/>
          <w:szCs w:val="24"/>
          <w:lang w:val="en-US"/>
        </w:rPr>
        <w:lastRenderedPageBreak/>
        <w:t>T</w:t>
      </w:r>
      <w:r w:rsidR="00F0537A" w:rsidRPr="002A063A">
        <w:rPr>
          <w:rFonts w:eastAsia="Helvetica Neue"/>
          <w:sz w:val="24"/>
          <w:szCs w:val="24"/>
          <w:lang w:val="en-US"/>
        </w:rPr>
        <w:t>his result shows that the beta band does not allow to differentiate between any of the conditions, while the delta, theta, and alpha bands</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"[104]", "plainTextFormattedCitation" : "[104]", "previouslyFormattedCitation" : "[104]"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[104]</w:t>
      </w:r>
      <w:r w:rsidR="000464A3">
        <w:rPr>
          <w:rFonts w:eastAsia="Helvetica Neue"/>
          <w:sz w:val="24"/>
          <w:szCs w:val="24"/>
          <w:lang w:val="en-US"/>
        </w:rPr>
        <w:fldChar w:fldCharType="end"/>
      </w:r>
      <w:r w:rsidR="00F0537A" w:rsidRPr="002A063A">
        <w:rPr>
          <w:rFonts w:eastAsia="Helvetica Neue"/>
          <w:sz w:val="24"/>
          <w:szCs w:val="24"/>
          <w:lang w:val="en-US"/>
        </w:rPr>
        <w:t xml:space="preserve"> present significant differences for closed eyes and open eyes, as well as for closed eyes and the stimulus</w:t>
      </w:r>
      <w:r w:rsidR="00810E1A">
        <w:rPr>
          <w:rFonts w:eastAsia="Helvetica Neue"/>
          <w:sz w:val="24"/>
          <w:szCs w:val="24"/>
          <w:lang w:val="en-US"/>
        </w:rPr>
        <w:t xml:space="preserve"> in both groups</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"previouslyFormattedCitation" : "[105]"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[105]</w:t>
      </w:r>
      <w:r w:rsidR="000464A3">
        <w:rPr>
          <w:rFonts w:eastAsia="Helvetica Neue"/>
          <w:sz w:val="24"/>
          <w:szCs w:val="24"/>
          <w:lang w:val="en-US"/>
        </w:rPr>
        <w:fldChar w:fldCharType="end"/>
      </w:r>
      <w:r w:rsidR="00F0537A" w:rsidRPr="002A063A">
        <w:rPr>
          <w:rFonts w:eastAsia="Helvetica Neue"/>
          <w:sz w:val="24"/>
          <w:szCs w:val="24"/>
          <w:lang w:val="en-US"/>
        </w:rPr>
        <w:t>.</w:t>
      </w:r>
    </w:p>
    <w:p w14:paraId="5C96C161" w14:textId="77777777" w:rsidR="00F0537A" w:rsidRPr="002A063A" w:rsidRDefault="00F0537A" w:rsidP="00193100">
      <w:pPr>
        <w:jc w:val="both"/>
        <w:rPr>
          <w:rFonts w:eastAsia="Helvetica Neue"/>
          <w:sz w:val="24"/>
          <w:szCs w:val="24"/>
          <w:lang w:val="en-US"/>
        </w:rPr>
      </w:pPr>
    </w:p>
    <w:p w14:paraId="1E859A14" w14:textId="1D18AE3C" w:rsidR="00F0537A" w:rsidRPr="002A063A" w:rsidRDefault="00F0537A" w:rsidP="00193100">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sidR="003B4BED">
        <w:rPr>
          <w:rFonts w:eastAsia="Helvetica Neue"/>
          <w:sz w:val="24"/>
          <w:szCs w:val="24"/>
          <w:lang w:val="en-US"/>
        </w:rPr>
        <w:t xml:space="preserve"> </w:t>
      </w:r>
      <w:r w:rsidR="003B4BED" w:rsidRPr="000A66AD">
        <w:rPr>
          <w:rFonts w:eastAsia="Helvetica Neue"/>
          <w:sz w:val="24"/>
          <w:szCs w:val="24"/>
          <w:lang w:val="en-US"/>
        </w:rPr>
        <w:t xml:space="preserve">Also for image stimulus was a difference </w:t>
      </w:r>
      <w:r w:rsidR="000A66AD" w:rsidRPr="000A66AD">
        <w:rPr>
          <w:rFonts w:eastAsia="Helvetica Neue"/>
          <w:sz w:val="24"/>
          <w:szCs w:val="24"/>
          <w:lang w:val="en-US"/>
        </w:rPr>
        <w:t>for alpha band in both groups.</w:t>
      </w:r>
      <w:r w:rsidR="000A66AD">
        <w:rPr>
          <w:rFonts w:eastAsia="Helvetica Neue"/>
          <w:sz w:val="24"/>
          <w:szCs w:val="24"/>
          <w:lang w:val="en-US"/>
        </w:rPr>
        <w:t xml:space="preserve"> </w:t>
      </w:r>
      <w:r w:rsidR="003B4BED">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489268A3" w14:textId="674A72AF" w:rsidR="00F0537A" w:rsidRDefault="00F0537A" w:rsidP="00193100">
      <w:pPr>
        <w:jc w:val="both"/>
        <w:rPr>
          <w:rFonts w:eastAsia="Helvetica Neue"/>
          <w:sz w:val="24"/>
          <w:szCs w:val="24"/>
          <w:lang w:val="en-US"/>
        </w:rPr>
      </w:pPr>
      <w:r w:rsidRPr="002A063A">
        <w:rPr>
          <w:rFonts w:eastAsia="Helvetica Neue"/>
          <w:sz w:val="24"/>
          <w:szCs w:val="24"/>
          <w:lang w:val="en-US"/>
        </w:rPr>
        <w:t>However, in the other stimuli</w:t>
      </w:r>
      <w:r w:rsidR="00A16EC8">
        <w:rPr>
          <w:rFonts w:eastAsia="Helvetica Neue"/>
          <w:sz w:val="24"/>
          <w:szCs w:val="24"/>
          <w:lang w:val="en-US"/>
        </w:rPr>
        <w:t>,</w:t>
      </w:r>
      <w:r w:rsidRPr="002A063A">
        <w:rPr>
          <w:rFonts w:eastAsia="Helvetica Neue"/>
          <w:sz w:val="24"/>
          <w:szCs w:val="24"/>
          <w:lang w:val="en-US"/>
        </w:rPr>
        <w:t xml:space="preserve"> it is not easy to separate the three condition</w:t>
      </w:r>
      <w:r w:rsidR="00A16EC8">
        <w:rPr>
          <w:rFonts w:eastAsia="Helvetica Neue"/>
          <w:sz w:val="24"/>
          <w:szCs w:val="24"/>
          <w:lang w:val="en-US"/>
        </w:rPr>
        <w:t>s</w:t>
      </w:r>
      <w:r w:rsidRPr="002A063A">
        <w:rPr>
          <w:rFonts w:eastAsia="Helvetica Neue"/>
          <w:sz w:val="24"/>
          <w:szCs w:val="24"/>
          <w:lang w:val="en-US"/>
        </w:rPr>
        <w:t xml:space="preserve">. </w:t>
      </w:r>
      <w:r w:rsidRPr="00810E1A">
        <w:rPr>
          <w:rFonts w:eastAsia="Helvetica Neue"/>
          <w:sz w:val="24"/>
          <w:szCs w:val="24"/>
          <w:highlight w:val="yellow"/>
          <w:lang w:val="en-US"/>
        </w:rPr>
        <w:t>Figure 1</w:t>
      </w:r>
      <w:r w:rsidR="00810E1A">
        <w:rPr>
          <w:rFonts w:eastAsia="Helvetica Neue"/>
          <w:sz w:val="24"/>
          <w:szCs w:val="24"/>
          <w:lang w:val="en-US"/>
        </w:rPr>
        <w:t>6</w:t>
      </w:r>
      <w:r w:rsidRPr="002A063A">
        <w:rPr>
          <w:rFonts w:eastAsia="Helvetica Neue"/>
          <w:sz w:val="24"/>
          <w:szCs w:val="24"/>
          <w:lang w:val="en-US"/>
        </w:rPr>
        <w:t xml:space="preserve"> shows Least Significant Difference (LSD) values for each band for color stimulus. For delta, theta and alpha band it is possible </w:t>
      </w:r>
      <w:r w:rsidR="00A16EC8">
        <w:rPr>
          <w:rFonts w:eastAsia="Helvetica Neue"/>
          <w:sz w:val="24"/>
          <w:szCs w:val="24"/>
          <w:lang w:val="en-US"/>
        </w:rPr>
        <w:t xml:space="preserve">to </w:t>
      </w:r>
      <w:r w:rsidRPr="002A063A">
        <w:rPr>
          <w:rFonts w:eastAsia="Helvetica Neue"/>
          <w:sz w:val="24"/>
          <w:szCs w:val="24"/>
          <w:lang w:val="en-US"/>
        </w:rPr>
        <w:t>separate two condition</w:t>
      </w:r>
      <w:r w:rsidR="00A16EC8">
        <w:rPr>
          <w:rFonts w:eastAsia="Helvetica Neue"/>
          <w:sz w:val="24"/>
          <w:szCs w:val="24"/>
          <w:lang w:val="en-US"/>
        </w:rPr>
        <w:t>s</w:t>
      </w:r>
      <w:r w:rsidRPr="002A063A">
        <w:rPr>
          <w:rFonts w:eastAsia="Helvetica Neue"/>
          <w:sz w:val="24"/>
          <w:szCs w:val="24"/>
          <w:lang w:val="en-US"/>
        </w:rPr>
        <w:t xml:space="preserve">. Delta band does not show </w:t>
      </w:r>
      <w:r w:rsidR="00A16EC8">
        <w:rPr>
          <w:rFonts w:eastAsia="Helvetica Neue"/>
          <w:sz w:val="24"/>
          <w:szCs w:val="24"/>
          <w:lang w:val="en-US"/>
        </w:rPr>
        <w:t xml:space="preserve">a </w:t>
      </w:r>
      <w:r w:rsidRPr="002A063A">
        <w:rPr>
          <w:rFonts w:eastAsia="Helvetica Neue"/>
          <w:sz w:val="24"/>
          <w:szCs w:val="24"/>
          <w:lang w:val="en-US"/>
        </w:rPr>
        <w:t>difference. These figure</w:t>
      </w:r>
      <w:r w:rsidR="00810E1A">
        <w:rPr>
          <w:rFonts w:eastAsia="Helvetica Neue"/>
          <w:sz w:val="24"/>
          <w:szCs w:val="24"/>
          <w:lang w:val="en-US"/>
        </w:rPr>
        <w:t>s</w:t>
      </w:r>
      <w:r w:rsidRPr="002A063A">
        <w:rPr>
          <w:rFonts w:eastAsia="Helvetica Neue"/>
          <w:sz w:val="24"/>
          <w:szCs w:val="24"/>
          <w:lang w:val="en-US"/>
        </w:rPr>
        <w:t xml:space="preserve"> are similar for all stimuli. Also</w:t>
      </w:r>
      <w:r w:rsidR="00A16EC8">
        <w:rPr>
          <w:rFonts w:eastAsia="Helvetica Neue"/>
          <w:sz w:val="24"/>
          <w:szCs w:val="24"/>
          <w:lang w:val="en-US"/>
        </w:rPr>
        <w:t>,</w:t>
      </w:r>
      <w:r w:rsidRPr="002A063A">
        <w:rPr>
          <w:rFonts w:eastAsia="Helvetica Neue"/>
          <w:sz w:val="24"/>
          <w:szCs w:val="24"/>
          <w:lang w:val="en-US"/>
        </w:rPr>
        <w:t xml:space="preserve"> it is </w:t>
      </w:r>
      <w:r w:rsidR="00A16EC8">
        <w:rPr>
          <w:rFonts w:eastAsia="Helvetica Neue"/>
          <w:sz w:val="24"/>
          <w:szCs w:val="24"/>
          <w:lang w:val="en-US"/>
        </w:rPr>
        <w:t>likely</w:t>
      </w:r>
      <w:r w:rsidRPr="002A063A">
        <w:rPr>
          <w:rFonts w:eastAsia="Helvetica Neue"/>
          <w:sz w:val="24"/>
          <w:szCs w:val="24"/>
          <w:lang w:val="en-US"/>
        </w:rPr>
        <w:t xml:space="preserve"> to identify that power in alpha power was stronger in the EC than in the EO</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[105]</w:t>
      </w:r>
      <w:r w:rsidR="000464A3">
        <w:rPr>
          <w:rFonts w:eastAsia="Helvetica Neue"/>
          <w:sz w:val="24"/>
          <w:szCs w:val="24"/>
          <w:lang w:val="en-US"/>
        </w:rPr>
        <w:fldChar w:fldCharType="end"/>
      </w:r>
      <w:r w:rsidRPr="002A063A">
        <w:rPr>
          <w:rFonts w:eastAsia="Helvetica Neue"/>
          <w:sz w:val="24"/>
          <w:szCs w:val="24"/>
          <w:lang w:val="en-US"/>
        </w:rPr>
        <w:t xml:space="preserve"> while delta and theta were weaker in the EC than in the EO. </w:t>
      </w:r>
    </w:p>
    <w:p w14:paraId="6DA3A42A" w14:textId="39DDCC47" w:rsidR="00F47A23" w:rsidRDefault="00F47A23"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F705B7" w:rsidRPr="008926EC" w:rsidRDefault="00F705B7"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F705B7" w:rsidRPr="008926EC" w:rsidRDefault="00F705B7"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F705B7" w:rsidRPr="008926EC" w:rsidRDefault="00F705B7">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F705B7" w:rsidRPr="008926EC" w:rsidRDefault="00F705B7">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F705B7" w:rsidRPr="008926EC" w:rsidRDefault="00F705B7"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F705B7" w:rsidRPr="008926EC" w:rsidRDefault="00F705B7"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F705B7" w:rsidRPr="008926EC" w:rsidRDefault="00F705B7"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F705B7" w:rsidRPr="008926EC" w:rsidRDefault="00F705B7"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2A063A" w:rsidRDefault="009F1E6C" w:rsidP="00193100">
      <w:pPr>
        <w:rPr>
          <w:sz w:val="24"/>
          <w:szCs w:val="24"/>
        </w:rPr>
      </w:pPr>
    </w:p>
    <w:p w14:paraId="109E2D7E" w14:textId="5D3D37CC" w:rsidR="00E213EA" w:rsidRDefault="00E213EA" w:rsidP="00E213EA">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005FA188" w14:textId="49B3755A" w:rsidR="009F1E6C" w:rsidRDefault="009F1E6C" w:rsidP="00193100">
      <w:pPr>
        <w:rPr>
          <w:sz w:val="24"/>
          <w:szCs w:val="24"/>
          <w:lang w:val="en-US"/>
        </w:rPr>
      </w:pPr>
    </w:p>
    <w:p w14:paraId="04A9E0D4" w14:textId="2CDCFEE5" w:rsidR="00253BF5" w:rsidRDefault="00253BF5" w:rsidP="00253BF5">
      <w:pPr>
        <w:pStyle w:val="Descripcin"/>
        <w:jc w:val="center"/>
        <w:rPr>
          <w:sz w:val="24"/>
          <w:szCs w:val="24"/>
          <w:lang w:val="en-US"/>
        </w:rPr>
      </w:pPr>
      <w:r w:rsidRPr="00253BF5">
        <w:rPr>
          <w:lang w:val="en-US"/>
        </w:rPr>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w:t>
      </w:r>
      <w:proofErr w:type="spellStart"/>
      <w:r w:rsidRPr="00253BF5">
        <w:rPr>
          <w:lang w:val="en-US"/>
        </w:rPr>
        <w:t>Mauchly's</w:t>
      </w:r>
      <w:proofErr w:type="spellEnd"/>
      <w:r w:rsidRPr="00253BF5">
        <w:rPr>
          <w:lang w:val="en-US"/>
        </w:rPr>
        <w:t xml:space="preserve"> </w:t>
      </w:r>
      <w:proofErr w:type="spellStart"/>
      <w:r w:rsidRPr="00253BF5">
        <w:rPr>
          <w:lang w:val="en-US"/>
        </w:rPr>
        <w:t>sphericity</w:t>
      </w:r>
      <w:proofErr w:type="spellEnd"/>
      <w:r w:rsidRPr="00253BF5">
        <w:rPr>
          <w:lang w:val="en-US"/>
        </w:rPr>
        <w:t xml:space="preserve"> test for each stimulus (S), factor for frequency band (F) and type of vision (B, L AND R) for mix group - * </w:t>
      </w:r>
      <w:r w:rsidR="009C1C14">
        <w:rPr>
          <w:lang w:val="en-US"/>
        </w:rPr>
        <w:t xml:space="preserve"> S</w:t>
      </w:r>
      <w:r w:rsidRPr="00253BF5">
        <w:rPr>
          <w:lang w:val="en-US"/>
        </w:rPr>
        <w:t>ignificant difference</w:t>
      </w:r>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1 + </w:t>
            </w: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w:t>
            </w:r>
            <w:proofErr w:type="spellStart"/>
            <w:r w:rsidRPr="00487DB5">
              <w:rPr>
                <w:rFonts w:eastAsia="Times New Roman"/>
                <w:b/>
                <w:bCs/>
                <w:color w:val="FFFFFF"/>
                <w:sz w:val="20"/>
                <w:szCs w:val="20"/>
              </w:rPr>
              <w:t>value</w:t>
            </w:r>
            <w:proofErr w:type="spellEnd"/>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Vernier </w:t>
            </w:r>
            <w:proofErr w:type="spellStart"/>
            <w:r w:rsidRPr="00487DB5">
              <w:rPr>
                <w:rFonts w:eastAsia="Times New Roman"/>
                <w:color w:val="000000"/>
                <w:sz w:val="20"/>
                <w:szCs w:val="20"/>
              </w:rPr>
              <w:t>acuity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Contrast</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sensitivity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lastRenderedPageBreak/>
              <w:t xml:space="preserve">Visual </w:t>
            </w:r>
            <w:proofErr w:type="spellStart"/>
            <w:r w:rsidRPr="00487DB5">
              <w:rPr>
                <w:rFonts w:eastAsia="Times New Roman"/>
                <w:color w:val="000000"/>
                <w:sz w:val="20"/>
                <w:szCs w:val="20"/>
              </w:rPr>
              <w:t>field</w:t>
            </w:r>
            <w:proofErr w:type="spellEnd"/>
            <w:r w:rsidRPr="00487DB5">
              <w:rPr>
                <w:rFonts w:eastAsia="Times New Roman"/>
                <w:color w:val="000000"/>
                <w:sz w:val="20"/>
                <w:szCs w:val="20"/>
              </w:rPr>
              <w:t xml:space="preserve">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RDKs</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Square</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Form</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recognition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Read</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words</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Color </w:t>
            </w:r>
            <w:proofErr w:type="spellStart"/>
            <w:r w:rsidRPr="00487DB5">
              <w:rPr>
                <w:rFonts w:eastAsia="Times New Roman"/>
                <w:color w:val="000000"/>
                <w:sz w:val="20"/>
                <w:szCs w:val="20"/>
              </w:rPr>
              <w:t>detection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Image</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description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bookmarkStart w:id="58" w:name="_GoBack"/>
      <w:r w:rsidRPr="009B3EA9">
        <w:rPr>
          <w:sz w:val="24"/>
          <w:szCs w:val="24"/>
          <w:lang w:val="en-US"/>
        </w:rPr>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bookmarkEnd w:id="58"/>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172298" w:rsidRPr="008926EC" w:rsidRDefault="00172298"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172298" w:rsidRPr="008926EC" w:rsidRDefault="00172298"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172298" w:rsidRPr="008926EC" w:rsidRDefault="00172298"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172298" w:rsidRPr="008926EC" w:rsidRDefault="00172298"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172298" w:rsidRPr="008926EC" w:rsidRDefault="00172298"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172298" w:rsidRPr="008926EC" w:rsidRDefault="00172298"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172298" w:rsidRPr="008926EC" w:rsidRDefault="00172298"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172298" w:rsidRPr="008926EC" w:rsidRDefault="00172298"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1894EE9E" w14:textId="5C6A7C3B" w:rsidR="007A556B" w:rsidRDefault="00374483" w:rsidP="00AC2250">
      <w:pPr>
        <w:jc w:val="both"/>
        <w:rPr>
          <w:sz w:val="24"/>
          <w:szCs w:val="24"/>
          <w:lang w:val="en-US"/>
        </w:rPr>
      </w:pPr>
      <w:r>
        <w:rPr>
          <w:sz w:val="24"/>
          <w:szCs w:val="24"/>
          <w:lang w:val="en-US"/>
        </w:rPr>
        <w:t xml:space="preserve">According to these results, </w:t>
      </w:r>
      <w:r w:rsidR="00AC2250">
        <w:rPr>
          <w:sz w:val="24"/>
          <w:szCs w:val="24"/>
          <w:lang w:val="en-US"/>
        </w:rPr>
        <w:t xml:space="preserve">three analyses are essential. First, </w:t>
      </w:r>
      <w:proofErr w:type="spellStart"/>
      <w:r w:rsidR="00AC2250">
        <w:rPr>
          <w:sz w:val="24"/>
          <w:szCs w:val="24"/>
          <w:lang w:val="en-US"/>
        </w:rPr>
        <w:t>openBCI</w:t>
      </w:r>
      <w:proofErr w:type="spellEnd"/>
      <w:r w:rsidR="0038213B">
        <w:rPr>
          <w:sz w:val="24"/>
          <w:szCs w:val="24"/>
          <w:lang w:val="en-US"/>
        </w:rPr>
        <w:t xml:space="preserve"> </w:t>
      </w:r>
      <w:r w:rsidR="00AC2250">
        <w:rPr>
          <w:sz w:val="24"/>
          <w:szCs w:val="24"/>
          <w:lang w:val="en-US"/>
        </w:rPr>
        <w:t>allows</w:t>
      </w:r>
      <w:r w:rsidR="00CC751A">
        <w:rPr>
          <w:sz w:val="24"/>
          <w:szCs w:val="24"/>
          <w:lang w:val="en-US"/>
        </w:rPr>
        <w:t xml:space="preserve"> to</w:t>
      </w:r>
      <w:r w:rsidR="00AC2250">
        <w:rPr>
          <w:sz w:val="24"/>
          <w:szCs w:val="24"/>
          <w:lang w:val="en-US"/>
        </w:rPr>
        <w:t xml:space="preserve"> get EEG signals and measures the main condition that power spectrum can differentiate</w:t>
      </w:r>
    </w:p>
    <w:p w14:paraId="286CB20F" w14:textId="77777777" w:rsidR="00374483" w:rsidRPr="00374483" w:rsidRDefault="00374483" w:rsidP="009F1E6C">
      <w:pPr>
        <w:rPr>
          <w:sz w:val="24"/>
          <w:szCs w:val="24"/>
          <w:lang w:val="en-US"/>
        </w:rPr>
      </w:pPr>
    </w:p>
    <w:p w14:paraId="08D4954D" w14:textId="77777777" w:rsidR="00AC2250" w:rsidRDefault="00AC2250" w:rsidP="009F1E6C">
      <w:pPr>
        <w:rPr>
          <w:sz w:val="24"/>
          <w:szCs w:val="24"/>
          <w:lang w:val="en-US"/>
        </w:rPr>
      </w:pPr>
    </w:p>
    <w:p w14:paraId="6F3E818F" w14:textId="6D2D95B1" w:rsidR="009F1E6C" w:rsidRPr="00AC2250" w:rsidRDefault="00031084" w:rsidP="009F1E6C">
      <w:pPr>
        <w:rPr>
          <w:sz w:val="24"/>
          <w:szCs w:val="24"/>
        </w:rPr>
      </w:pPr>
      <w:r w:rsidRPr="00AC2250">
        <w:rPr>
          <w:sz w:val="24"/>
          <w:szCs w:val="24"/>
        </w:rPr>
        <w:t xml:space="preserve">Sesiilityto </w:t>
      </w:r>
      <w:proofErr w:type="spellStart"/>
      <w:r w:rsidRPr="00AC2250">
        <w:rPr>
          <w:sz w:val="24"/>
          <w:szCs w:val="24"/>
        </w:rPr>
        <w:t>separate</w:t>
      </w:r>
      <w:proofErr w:type="spellEnd"/>
      <w:r w:rsidRPr="00AC2250">
        <w:rPr>
          <w:sz w:val="24"/>
          <w:szCs w:val="24"/>
        </w:rPr>
        <w:t xml:space="preserve"> 3 </w:t>
      </w:r>
      <w:proofErr w:type="spellStart"/>
      <w:r w:rsidRPr="00AC2250">
        <w:rPr>
          <w:sz w:val="24"/>
          <w:szCs w:val="24"/>
        </w:rPr>
        <w:t>mesuares</w:t>
      </w:r>
      <w:proofErr w:type="spellEnd"/>
      <w:r w:rsidRPr="00AC2250">
        <w:rPr>
          <w:sz w:val="24"/>
          <w:szCs w:val="24"/>
        </w:rPr>
        <w:t xml:space="preserve"> </w:t>
      </w:r>
    </w:p>
    <w:p w14:paraId="5E38A575" w14:textId="20031278" w:rsidR="006E5FE7" w:rsidRPr="00BD01B6" w:rsidRDefault="00BD01B6" w:rsidP="00193100">
      <w:pPr>
        <w:rPr>
          <w:sz w:val="24"/>
          <w:szCs w:val="24"/>
        </w:rPr>
      </w:pPr>
      <w:r w:rsidRPr="00BD01B6">
        <w:rPr>
          <w:sz w:val="24"/>
          <w:szCs w:val="24"/>
        </w:rPr>
        <w:t xml:space="preserve">Primero que el equipo permite </w:t>
      </w:r>
      <w:proofErr w:type="spellStart"/>
      <w:r w:rsidRPr="00BD01B6">
        <w:rPr>
          <w:sz w:val="24"/>
          <w:szCs w:val="24"/>
        </w:rPr>
        <w:t>discriiar</w:t>
      </w:r>
      <w:proofErr w:type="spellEnd"/>
      <w:r w:rsidRPr="00BD01B6">
        <w:rPr>
          <w:sz w:val="24"/>
          <w:szCs w:val="24"/>
        </w:rPr>
        <w:t xml:space="preserve"> estados base</w:t>
      </w:r>
    </w:p>
    <w:p w14:paraId="30E84D9A" w14:textId="45F5DAAC" w:rsidR="00BD01B6" w:rsidRPr="00BD01B6" w:rsidRDefault="00BD01B6" w:rsidP="00BD01B6">
      <w:pPr>
        <w:pStyle w:val="Prrafodelista"/>
        <w:numPr>
          <w:ilvl w:val="0"/>
          <w:numId w:val="13"/>
        </w:numPr>
        <w:rPr>
          <w:sz w:val="24"/>
          <w:szCs w:val="24"/>
        </w:rPr>
      </w:pPr>
      <w:proofErr w:type="spellStart"/>
      <w:r w:rsidRPr="00BD01B6">
        <w:rPr>
          <w:sz w:val="24"/>
          <w:szCs w:val="24"/>
        </w:rPr>
        <w:t>estmulos</w:t>
      </w:r>
      <w:proofErr w:type="spellEnd"/>
      <w:r w:rsidRPr="00BD01B6">
        <w:rPr>
          <w:sz w:val="24"/>
          <w:szCs w:val="24"/>
        </w:rPr>
        <w:t xml:space="preserve"> son separables con </w:t>
      </w:r>
      <w:proofErr w:type="spellStart"/>
      <w:r w:rsidRPr="00BD01B6">
        <w:rPr>
          <w:sz w:val="24"/>
          <w:szCs w:val="24"/>
        </w:rPr>
        <w:t>power</w:t>
      </w:r>
      <w:proofErr w:type="spellEnd"/>
      <w:r w:rsidRPr="00BD01B6">
        <w:rPr>
          <w:sz w:val="24"/>
          <w:szCs w:val="24"/>
        </w:rPr>
        <w:t xml:space="preserve"> y es posible encontrar diferencias</w:t>
      </w:r>
    </w:p>
    <w:p w14:paraId="6BAC2434" w14:textId="3E61EEF7" w:rsidR="00BD01B6" w:rsidRDefault="00BD01B6" w:rsidP="00BD01B6">
      <w:pPr>
        <w:rPr>
          <w:sz w:val="24"/>
          <w:szCs w:val="24"/>
        </w:rPr>
      </w:pPr>
      <w:r>
        <w:rPr>
          <w:sz w:val="24"/>
          <w:szCs w:val="24"/>
        </w:rPr>
        <w:t xml:space="preserve">Entre </w:t>
      </w:r>
      <w:proofErr w:type="spellStart"/>
      <w:r>
        <w:rPr>
          <w:sz w:val="24"/>
          <w:szCs w:val="24"/>
        </w:rPr>
        <w:t>estimulos</w:t>
      </w:r>
      <w:proofErr w:type="spellEnd"/>
      <w:r>
        <w:rPr>
          <w:sz w:val="24"/>
          <w:szCs w:val="24"/>
        </w:rPr>
        <w:t xml:space="preserve"> de movimiento es mejor </w:t>
      </w:r>
      <w:proofErr w:type="spellStart"/>
      <w:r>
        <w:rPr>
          <w:sz w:val="24"/>
          <w:szCs w:val="24"/>
        </w:rPr>
        <w:t>dots</w:t>
      </w:r>
      <w:proofErr w:type="spellEnd"/>
      <w:r>
        <w:rPr>
          <w:sz w:val="24"/>
          <w:szCs w:val="24"/>
        </w:rPr>
        <w:t xml:space="preserve"> </w:t>
      </w:r>
    </w:p>
    <w:p w14:paraId="4E19597D" w14:textId="77777777" w:rsidR="00BD01B6" w:rsidRPr="00BD01B6" w:rsidRDefault="00BD01B6" w:rsidP="00BD01B6">
      <w:pPr>
        <w:rPr>
          <w:sz w:val="24"/>
          <w:szCs w:val="24"/>
        </w:rPr>
      </w:pPr>
    </w:p>
    <w:p w14:paraId="3E305E35" w14:textId="77777777" w:rsidR="00DB6C3F" w:rsidRPr="002A063A" w:rsidRDefault="00DB6C3F" w:rsidP="00193100">
      <w:pPr>
        <w:pStyle w:val="Ttulo2"/>
        <w:numPr>
          <w:ilvl w:val="1"/>
          <w:numId w:val="1"/>
        </w:numPr>
        <w:rPr>
          <w:rFonts w:eastAsia="Helvetica Neue"/>
          <w:b/>
          <w:sz w:val="24"/>
          <w:szCs w:val="24"/>
          <w:lang w:val="en-US"/>
        </w:rPr>
      </w:pPr>
      <w:bookmarkStart w:id="59" w:name="_Toc22095189"/>
      <w:r w:rsidRPr="002A063A">
        <w:rPr>
          <w:rFonts w:eastAsia="Helvetica Neue"/>
          <w:b/>
          <w:sz w:val="24"/>
          <w:szCs w:val="24"/>
          <w:lang w:val="en-US"/>
        </w:rPr>
        <w:lastRenderedPageBreak/>
        <w:t>Study in patients with neuro-ophthalmological disorders</w:t>
      </w:r>
      <w:bookmarkEnd w:id="59"/>
    </w:p>
    <w:p w14:paraId="609AF5E3" w14:textId="77777777" w:rsidR="00DB6C3F" w:rsidRPr="002A063A" w:rsidRDefault="00DB6C3F" w:rsidP="00193100">
      <w:pPr>
        <w:pStyle w:val="Ttulo2"/>
        <w:numPr>
          <w:ilvl w:val="1"/>
          <w:numId w:val="1"/>
        </w:numPr>
        <w:rPr>
          <w:rFonts w:eastAsia="Helvetica Neue"/>
          <w:b/>
          <w:sz w:val="24"/>
          <w:szCs w:val="24"/>
          <w:lang w:val="en-US"/>
        </w:rPr>
      </w:pPr>
      <w:bookmarkStart w:id="60" w:name="_Toc22095190"/>
      <w:r w:rsidRPr="002A063A">
        <w:rPr>
          <w:rFonts w:eastAsia="Helvetica Neue"/>
          <w:b/>
          <w:sz w:val="24"/>
          <w:szCs w:val="24"/>
          <w:lang w:val="en-US"/>
        </w:rPr>
        <w:t>Classification</w:t>
      </w:r>
      <w:bookmarkEnd w:id="60"/>
      <w:r w:rsidRPr="002A063A">
        <w:rPr>
          <w:rFonts w:eastAsia="Helvetica Neue"/>
          <w:b/>
          <w:sz w:val="24"/>
          <w:szCs w:val="24"/>
          <w:lang w:val="en-US"/>
        </w:rPr>
        <w:t xml:space="preserve"> </w:t>
      </w:r>
    </w:p>
    <w:p w14:paraId="33D7EF1D" w14:textId="77777777" w:rsidR="00587022" w:rsidRPr="002A063A" w:rsidRDefault="00587022" w:rsidP="00193100">
      <w:pPr>
        <w:pStyle w:val="Ttulo1"/>
        <w:numPr>
          <w:ilvl w:val="0"/>
          <w:numId w:val="1"/>
        </w:numPr>
        <w:jc w:val="center"/>
        <w:rPr>
          <w:rFonts w:eastAsia="Helvetica Neue"/>
          <w:b/>
          <w:sz w:val="24"/>
          <w:szCs w:val="24"/>
          <w:lang w:val="en-US"/>
        </w:rPr>
      </w:pPr>
      <w:bookmarkStart w:id="61" w:name="_Toc22095191"/>
      <w:r w:rsidRPr="002A063A">
        <w:rPr>
          <w:rFonts w:eastAsia="Helvetica Neue"/>
          <w:b/>
          <w:sz w:val="24"/>
          <w:szCs w:val="24"/>
          <w:lang w:val="en-US"/>
        </w:rPr>
        <w:t>Conclusions</w:t>
      </w:r>
      <w:bookmarkEnd w:id="61"/>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w:t>
      </w:r>
      <w:r w:rsidRPr="003F4A09">
        <w:rPr>
          <w:rFonts w:eastAsia="Helvetica Neue"/>
          <w:sz w:val="24"/>
          <w:szCs w:val="24"/>
          <w:highlight w:val="cyan"/>
          <w:lang w:val="en-US"/>
        </w:rPr>
        <w:t xml:space="preserve">he delta, theta, and alpha bands </w:t>
      </w:r>
      <w:r w:rsidRPr="003F4A09">
        <w:rPr>
          <w:rFonts w:eastAsia="Helvetica Neue"/>
          <w:sz w:val="24"/>
          <w:szCs w:val="24"/>
          <w:highlight w:val="cyan"/>
          <w:lang w:val="en-US"/>
        </w:rPr>
        <w:t>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t>T</w:t>
      </w:r>
      <w:r w:rsidR="00333784" w:rsidRPr="003F4A09">
        <w:rPr>
          <w:rFonts w:eastAsia="Helvetica Neue"/>
          <w:sz w:val="24"/>
          <w:szCs w:val="24"/>
          <w:highlight w:val="cyan"/>
          <w:lang w:val="en-US"/>
        </w:rPr>
        <w:t xml:space="preserve">heta band is useful for separate the three condition in Vernier acuity and </w:t>
      </w:r>
      <w:proofErr w:type="spellStart"/>
      <w:r w:rsidR="00333784" w:rsidRPr="003F4A09">
        <w:rPr>
          <w:rFonts w:eastAsia="Helvetica Neue"/>
          <w:sz w:val="24"/>
          <w:szCs w:val="24"/>
          <w:highlight w:val="cyan"/>
          <w:lang w:val="en-US"/>
        </w:rPr>
        <w:t>constrast</w:t>
      </w:r>
      <w:proofErr w:type="spellEnd"/>
      <w:r w:rsidR="00333784" w:rsidRPr="003F4A09">
        <w:rPr>
          <w:rFonts w:eastAsia="Helvetica Neue"/>
          <w:sz w:val="24"/>
          <w:szCs w:val="24"/>
          <w:highlight w:val="cyan"/>
          <w:lang w:val="en-US"/>
        </w:rPr>
        <w:t xml:space="preserve"> </w:t>
      </w:r>
      <w:proofErr w:type="spellStart"/>
      <w:r w:rsidR="00333784" w:rsidRPr="003F4A09">
        <w:rPr>
          <w:rFonts w:eastAsia="Helvetica Neue"/>
          <w:sz w:val="24"/>
          <w:szCs w:val="24"/>
          <w:highlight w:val="cyan"/>
          <w:lang w:val="en-US"/>
        </w:rPr>
        <w:t>sensivity</w:t>
      </w:r>
      <w:proofErr w:type="spellEnd"/>
      <w:r w:rsidR="00333784" w:rsidRPr="003F4A09">
        <w:rPr>
          <w:rFonts w:eastAsia="Helvetica Neue"/>
          <w:sz w:val="24"/>
          <w:szCs w:val="24"/>
          <w:highlight w:val="cyan"/>
          <w:lang w:val="en-US"/>
        </w:rPr>
        <w:t>, and alpha ban can separate the moments in motion perception and image description.</w:t>
      </w:r>
    </w:p>
    <w:p w14:paraId="5994A0ED" w14:textId="2F4FCE19" w:rsidR="001E0C87" w:rsidRPr="002A063A" w:rsidRDefault="001E0C87" w:rsidP="00193100">
      <w:pPr>
        <w:jc w:val="both"/>
        <w:rPr>
          <w:rFonts w:eastAsia="Helvetica Neue"/>
          <w:sz w:val="24"/>
          <w:szCs w:val="24"/>
          <w:lang w:val="en-US"/>
        </w:rPr>
      </w:pPr>
    </w:p>
    <w:p w14:paraId="6F6ABE0B" w14:textId="77777777" w:rsidR="003E3697" w:rsidRPr="002A063A" w:rsidRDefault="003E3697" w:rsidP="00193100">
      <w:pPr>
        <w:jc w:val="both"/>
        <w:rPr>
          <w:rFonts w:eastAsia="Helvetica Neue"/>
          <w:sz w:val="24"/>
          <w:szCs w:val="24"/>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62" w:name="_Toc22095192"/>
      <w:r w:rsidRPr="002A063A">
        <w:rPr>
          <w:rFonts w:eastAsia="Helvetica Neue"/>
          <w:b/>
          <w:sz w:val="24"/>
          <w:szCs w:val="24"/>
          <w:highlight w:val="white"/>
          <w:lang w:val="en-US"/>
        </w:rPr>
        <w:t>Bibliography</w:t>
      </w:r>
      <w:bookmarkEnd w:id="62"/>
    </w:p>
    <w:p w14:paraId="2582FD6C" w14:textId="77777777" w:rsidR="00A206AB" w:rsidRPr="002A063A" w:rsidRDefault="00A206AB" w:rsidP="00193100">
      <w:pPr>
        <w:rPr>
          <w:sz w:val="24"/>
          <w:szCs w:val="24"/>
          <w:highlight w:val="white"/>
          <w:lang w:val="en-US"/>
        </w:rPr>
      </w:pPr>
    </w:p>
    <w:p w14:paraId="648D04B1" w14:textId="4A1AB66E" w:rsidR="000464A3" w:rsidRPr="00031084" w:rsidRDefault="00552739" w:rsidP="000464A3">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0464A3" w:rsidRPr="00031084">
        <w:rPr>
          <w:noProof/>
          <w:sz w:val="24"/>
          <w:szCs w:val="24"/>
          <w:lang w:val="en-US"/>
        </w:rPr>
        <w:t>[1]</w:t>
      </w:r>
      <w:r w:rsidR="000464A3" w:rsidRPr="00031084">
        <w:rPr>
          <w:noProof/>
          <w:sz w:val="24"/>
          <w:szCs w:val="24"/>
          <w:lang w:val="en-US"/>
        </w:rPr>
        <w:tab/>
        <w:t xml:space="preserve">I. Pasley, S. Jobke, A. Julia Gudlin, and B. A. Sabel, “Application of Neural Plasticity for Vision Restoration after Brain Damage,” in </w:t>
      </w:r>
      <w:r w:rsidR="000464A3" w:rsidRPr="00031084">
        <w:rPr>
          <w:i/>
          <w:iCs/>
          <w:noProof/>
          <w:sz w:val="24"/>
          <w:szCs w:val="24"/>
          <w:lang w:val="en-US"/>
        </w:rPr>
        <w:t>Neuroengineering</w:t>
      </w:r>
      <w:r w:rsidR="000464A3" w:rsidRPr="00031084">
        <w:rPr>
          <w:noProof/>
          <w:sz w:val="24"/>
          <w:szCs w:val="24"/>
          <w:lang w:val="en-US"/>
        </w:rPr>
        <w:t>, 2008, p. 23.</w:t>
      </w:r>
    </w:p>
    <w:p w14:paraId="10F9E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w:t>
      </w:r>
      <w:r w:rsidRPr="00031084">
        <w:rPr>
          <w:noProof/>
          <w:sz w:val="24"/>
          <w:szCs w:val="24"/>
          <w:lang w:val="en-US"/>
        </w:rPr>
        <w:tab/>
        <w:t xml:space="preserve">F. I. R. Owe </w:t>
      </w:r>
      <w:r w:rsidRPr="00031084">
        <w:rPr>
          <w:i/>
          <w:iCs/>
          <w:noProof/>
          <w:sz w:val="24"/>
          <w:szCs w:val="24"/>
          <w:lang w:val="en-US"/>
        </w:rPr>
        <w:t>et al.</w:t>
      </w:r>
      <w:r w:rsidRPr="00031084">
        <w:rPr>
          <w:noProof/>
          <w:sz w:val="24"/>
          <w:szCs w:val="24"/>
          <w:lang w:val="en-US"/>
        </w:rPr>
        <w:t>, “Visual impairment following stroke : do stroke patients require vision assessment ?,” no. November 2008, pp. 188–193, 2009.</w:t>
      </w:r>
    </w:p>
    <w:p w14:paraId="5E8255C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w:t>
      </w:r>
      <w:r w:rsidRPr="00031084">
        <w:rPr>
          <w:noProof/>
          <w:sz w:val="24"/>
          <w:szCs w:val="24"/>
          <w:lang w:val="en-US"/>
        </w:rPr>
        <w:tab/>
        <w:t>Stroke Association, “State of the nation,” no. January, 2017.</w:t>
      </w:r>
    </w:p>
    <w:p w14:paraId="4920FD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w:t>
      </w:r>
      <w:r w:rsidRPr="00031084">
        <w:rPr>
          <w:noProof/>
          <w:sz w:val="24"/>
          <w:szCs w:val="24"/>
          <w:lang w:val="en-US"/>
        </w:rPr>
        <w:tab/>
        <w:t>E. Leung and W. M. Jay, “Stroke and Visual Rehabilitation,” vol. 15, no. 1, pp. 27–36, 2008.</w:t>
      </w:r>
    </w:p>
    <w:p w14:paraId="11B81A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w:t>
      </w:r>
      <w:r w:rsidRPr="00031084">
        <w:rPr>
          <w:noProof/>
          <w:sz w:val="24"/>
          <w:szCs w:val="24"/>
          <w:lang w:val="en-US"/>
        </w:rPr>
        <w:tab/>
        <w:t xml:space="preserve">L. Wright </w:t>
      </w:r>
      <w:r w:rsidRPr="00031084">
        <w:rPr>
          <w:i/>
          <w:iCs/>
          <w:noProof/>
          <w:sz w:val="24"/>
          <w:szCs w:val="24"/>
          <w:lang w:val="en-US"/>
        </w:rPr>
        <w:t>et al.</w:t>
      </w:r>
      <w:r w:rsidRPr="00031084">
        <w:rPr>
          <w:noProof/>
          <w:sz w:val="24"/>
          <w:szCs w:val="24"/>
          <w:lang w:val="en-US"/>
        </w:rPr>
        <w:t xml:space="preserve">, “Stroke management: Updated recommendations for treatment along the care continuum,” </w:t>
      </w:r>
      <w:r w:rsidRPr="00031084">
        <w:rPr>
          <w:i/>
          <w:iCs/>
          <w:noProof/>
          <w:sz w:val="24"/>
          <w:szCs w:val="24"/>
          <w:lang w:val="en-US"/>
        </w:rPr>
        <w:t>Intern. Med. J.</w:t>
      </w:r>
      <w:r w:rsidRPr="00031084">
        <w:rPr>
          <w:noProof/>
          <w:sz w:val="24"/>
          <w:szCs w:val="24"/>
          <w:lang w:val="en-US"/>
        </w:rPr>
        <w:t>, vol. 42, no. 5, pp. 562–569, 2012.</w:t>
      </w:r>
    </w:p>
    <w:p w14:paraId="5ED5979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w:t>
      </w:r>
      <w:r w:rsidRPr="00031084">
        <w:rPr>
          <w:noProof/>
          <w:sz w:val="24"/>
          <w:szCs w:val="24"/>
          <w:lang w:val="en-US"/>
        </w:rPr>
        <w:tab/>
        <w:t>B. E. Wallace, N. Carolina, A. K. Wagner, and E. P. Wagner, “A History and Review of Quantitative Electroencephalography in Traumatic Brain Injury,” vol. 16, no. 2, pp. 165–190, 2001.</w:t>
      </w:r>
    </w:p>
    <w:p w14:paraId="4326899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w:t>
      </w:r>
      <w:r w:rsidRPr="00031084">
        <w:rPr>
          <w:noProof/>
          <w:sz w:val="24"/>
          <w:szCs w:val="24"/>
          <w:lang w:val="en-US"/>
        </w:rPr>
        <w:tab/>
        <w:t xml:space="preserve">T. K. Pogoda </w:t>
      </w:r>
      <w:r w:rsidRPr="00031084">
        <w:rPr>
          <w:i/>
          <w:iCs/>
          <w:noProof/>
          <w:sz w:val="24"/>
          <w:szCs w:val="24"/>
          <w:lang w:val="en-US"/>
        </w:rPr>
        <w:t>et al.</w:t>
      </w:r>
      <w:r w:rsidRPr="00031084">
        <w:rPr>
          <w:noProof/>
          <w:sz w:val="24"/>
          <w:szCs w:val="24"/>
          <w:lang w:val="en-US"/>
        </w:rPr>
        <w:t xml:space="preserve">, “Multisensory impairment reported by veterans with and without mild traumatic brain injury history,” </w:t>
      </w:r>
      <w:r w:rsidRPr="00031084">
        <w:rPr>
          <w:i/>
          <w:iCs/>
          <w:noProof/>
          <w:sz w:val="24"/>
          <w:szCs w:val="24"/>
          <w:lang w:val="en-US"/>
        </w:rPr>
        <w:t>J. Rehabil. Res. Dev.</w:t>
      </w:r>
      <w:r w:rsidRPr="00031084">
        <w:rPr>
          <w:noProof/>
          <w:sz w:val="24"/>
          <w:szCs w:val="24"/>
          <w:lang w:val="en-US"/>
        </w:rPr>
        <w:t>, vol. 49, no. 7, p. 971, 2012.</w:t>
      </w:r>
    </w:p>
    <w:p w14:paraId="3878ABF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31084">
        <w:rPr>
          <w:noProof/>
          <w:sz w:val="24"/>
          <w:szCs w:val="24"/>
          <w:lang w:val="en-US"/>
        </w:rPr>
        <w:t>[8]</w:t>
      </w:r>
      <w:r w:rsidRPr="00031084">
        <w:rPr>
          <w:noProof/>
          <w:sz w:val="24"/>
          <w:szCs w:val="24"/>
          <w:lang w:val="en-US"/>
        </w:rPr>
        <w:tab/>
        <w:t xml:space="preserve">K. Mckenna, D. M. Cooke, J. Fleming, A. Jefferson, and S. Ogden, “The incidence of visual perceptual impairment in patients with severe traumatic brain injury,” vol. 20, no. </w:t>
      </w:r>
      <w:r w:rsidRPr="000464A3">
        <w:rPr>
          <w:noProof/>
          <w:sz w:val="24"/>
          <w:szCs w:val="24"/>
        </w:rPr>
        <w:t>May, pp. 507–518, 2006.</w:t>
      </w:r>
    </w:p>
    <w:p w14:paraId="0868E05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w:t>
      </w:r>
      <w:r w:rsidRPr="000464A3">
        <w:rPr>
          <w:noProof/>
          <w:sz w:val="24"/>
          <w:szCs w:val="24"/>
        </w:rPr>
        <w:tab/>
        <w:t xml:space="preserve">M. de Salud, “Carga de enfermedad por enfermedades crónicas no </w:t>
      </w:r>
      <w:r w:rsidRPr="000464A3">
        <w:rPr>
          <w:noProof/>
          <w:sz w:val="24"/>
          <w:szCs w:val="24"/>
        </w:rPr>
        <w:lastRenderedPageBreak/>
        <w:t>transmisibles y discapacidad en Colombia.,” pp. 38–53.</w:t>
      </w:r>
    </w:p>
    <w:p w14:paraId="3A74493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w:t>
      </w:r>
      <w:r w:rsidRPr="00031084">
        <w:rPr>
          <w:noProof/>
          <w:sz w:val="24"/>
          <w:szCs w:val="24"/>
          <w:lang w:val="en-US"/>
        </w:rPr>
        <w:tab/>
        <w:t>E. By and T. J. Liesegang, “Neurovisual rehabilitation: recent devel- opments and future directions.,” 2000.</w:t>
      </w:r>
    </w:p>
    <w:p w14:paraId="1A2ABA3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[11]</w:t>
      </w:r>
      <w:r w:rsidRPr="00031084">
        <w:rPr>
          <w:noProof/>
          <w:sz w:val="24"/>
          <w:szCs w:val="24"/>
          <w:lang w:val="en-US"/>
        </w:rPr>
        <w:tab/>
        <w:t xml:space="preserve">World Health Organization, “Neurological disorders: a public health approach,” </w:t>
      </w:r>
      <w:r w:rsidRPr="00031084">
        <w:rPr>
          <w:i/>
          <w:iCs/>
          <w:noProof/>
          <w:sz w:val="24"/>
          <w:szCs w:val="24"/>
          <w:lang w:val="en-US"/>
        </w:rPr>
        <w:t>Neurol. Disord. public Heal. challenges.</w:t>
      </w:r>
      <w:r w:rsidRPr="00031084">
        <w:rPr>
          <w:noProof/>
          <w:sz w:val="24"/>
          <w:szCs w:val="24"/>
          <w:lang w:val="en-US"/>
        </w:rPr>
        <w:t>, pp. 41–176, 2006.</w:t>
      </w:r>
    </w:p>
    <w:p w14:paraId="7436E9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[12]</w:t>
      </w:r>
      <w:r w:rsidRPr="00031084">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79A341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[13]</w:t>
      </w:r>
      <w:r w:rsidRPr="00031084">
        <w:rPr>
          <w:noProof/>
          <w:sz w:val="24"/>
          <w:szCs w:val="24"/>
          <w:lang w:val="en-US"/>
        </w:rPr>
        <w:tab/>
        <w:t>G. E. Legge and S. T. L. Chung, “Low Vision and Plasticity : Implications for Rehabilitation.”</w:t>
      </w:r>
    </w:p>
    <w:p w14:paraId="070CB03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[14]</w:t>
      </w:r>
      <w:r w:rsidRPr="00031084">
        <w:rPr>
          <w:noProof/>
          <w:sz w:val="24"/>
          <w:szCs w:val="24"/>
          <w:lang w:val="en-US"/>
        </w:rPr>
        <w:tab/>
        <w:t xml:space="preserve"> et al. Crosson B, Ford A, McGregor KM, “Functional Imaging and Related Techniques: An Introduction for Rehabilitation Researchers.,” </w:t>
      </w:r>
      <w:r w:rsidRPr="00031084">
        <w:rPr>
          <w:i/>
          <w:iCs/>
          <w:noProof/>
          <w:sz w:val="24"/>
          <w:szCs w:val="24"/>
          <w:lang w:val="en-US"/>
        </w:rPr>
        <w:t>J Rehabil Res Dev</w:t>
      </w:r>
      <w:r w:rsidRPr="00031084">
        <w:rPr>
          <w:noProof/>
          <w:sz w:val="24"/>
          <w:szCs w:val="24"/>
          <w:lang w:val="en-US"/>
        </w:rPr>
        <w:t>, vol. 47, no. 2, pp. 1–33, 2010.</w:t>
      </w:r>
    </w:p>
    <w:p w14:paraId="0CD0087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[15]</w:t>
      </w:r>
      <w:r w:rsidRPr="00031084">
        <w:rPr>
          <w:noProof/>
          <w:sz w:val="24"/>
          <w:szCs w:val="24"/>
          <w:lang w:val="en-US"/>
        </w:rPr>
        <w:tab/>
        <w:t xml:space="preserve">F. Lopes da Silva, “EEG and MEG: Relevance to neuroscience,” </w:t>
      </w:r>
      <w:r w:rsidRPr="00031084">
        <w:rPr>
          <w:i/>
          <w:iCs/>
          <w:noProof/>
          <w:sz w:val="24"/>
          <w:szCs w:val="24"/>
          <w:lang w:val="en-US"/>
        </w:rPr>
        <w:t>Neuron</w:t>
      </w:r>
      <w:r w:rsidRPr="00031084">
        <w:rPr>
          <w:noProof/>
          <w:sz w:val="24"/>
          <w:szCs w:val="24"/>
          <w:lang w:val="en-US"/>
        </w:rPr>
        <w:t>, vol. 80, no. 5, pp. 1112–1128, 2013.</w:t>
      </w:r>
    </w:p>
    <w:p w14:paraId="23E18DB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[16]</w:t>
      </w:r>
      <w:r w:rsidRPr="00031084">
        <w:rPr>
          <w:noProof/>
          <w:sz w:val="24"/>
          <w:szCs w:val="24"/>
          <w:lang w:val="en-US"/>
        </w:rPr>
        <w:tab/>
        <w:t xml:space="preserve">S. Finnigan and M. J. A. M. Van Putten, “EEG in ischaemic stroke : Quantitative EEG can uniquely inform ( sub- ) acute prognoses and clinical management,” </w:t>
      </w:r>
      <w:r w:rsidRPr="00031084">
        <w:rPr>
          <w:i/>
          <w:iCs/>
          <w:noProof/>
          <w:sz w:val="24"/>
          <w:szCs w:val="24"/>
          <w:lang w:val="en-US"/>
        </w:rPr>
        <w:t>Clin. Neurophysiol.</w:t>
      </w:r>
      <w:r w:rsidRPr="00031084">
        <w:rPr>
          <w:noProof/>
          <w:sz w:val="24"/>
          <w:szCs w:val="24"/>
          <w:lang w:val="en-US"/>
        </w:rPr>
        <w:t>, vol. 124, no. 1, pp. 10–19, 2013.</w:t>
      </w:r>
    </w:p>
    <w:p w14:paraId="1F060F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[17]</w:t>
      </w:r>
      <w:r w:rsidRPr="00031084">
        <w:rPr>
          <w:noProof/>
          <w:sz w:val="24"/>
          <w:szCs w:val="24"/>
          <w:lang w:val="en-US"/>
        </w:rPr>
        <w:tab/>
        <w:t>K. E. Thornton, “The Role of the Quantitative EEG in the Diagnosis and Rehabilitation of the Traumatic Brain Injured Patients,” pp. 345–361.</w:t>
      </w:r>
    </w:p>
    <w:p w14:paraId="4688BF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[18]</w:t>
      </w:r>
      <w:r w:rsidRPr="00031084">
        <w:rPr>
          <w:noProof/>
          <w:sz w:val="24"/>
          <w:szCs w:val="24"/>
          <w:lang w:val="en-US"/>
        </w:rPr>
        <w:tab/>
        <w:t xml:space="preserve">J. Sanchez-lopez </w:t>
      </w:r>
      <w:r w:rsidRPr="00031084">
        <w:rPr>
          <w:i/>
          <w:iCs/>
          <w:noProof/>
          <w:sz w:val="24"/>
          <w:szCs w:val="24"/>
          <w:lang w:val="en-US"/>
        </w:rPr>
        <w:t>et al.</w:t>
      </w:r>
      <w:r w:rsidRPr="00031084">
        <w:rPr>
          <w:noProof/>
          <w:sz w:val="24"/>
          <w:szCs w:val="24"/>
          <w:lang w:val="en-US"/>
        </w:rPr>
        <w:t xml:space="preserve">, “Visually evoked responses from the blind field of hemianopic patients,” </w:t>
      </w:r>
      <w:r w:rsidRPr="00031084">
        <w:rPr>
          <w:i/>
          <w:iCs/>
          <w:noProof/>
          <w:sz w:val="24"/>
          <w:szCs w:val="24"/>
          <w:lang w:val="en-US"/>
        </w:rPr>
        <w:t>Neuropsychologia</w:t>
      </w:r>
      <w:r w:rsidRPr="00031084">
        <w:rPr>
          <w:noProof/>
          <w:sz w:val="24"/>
          <w:szCs w:val="24"/>
          <w:lang w:val="en-US"/>
        </w:rPr>
        <w:t>, 2017.</w:t>
      </w:r>
    </w:p>
    <w:p w14:paraId="072E159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[19]</w:t>
      </w:r>
      <w:r w:rsidRPr="00031084">
        <w:rPr>
          <w:noProof/>
          <w:sz w:val="24"/>
          <w:szCs w:val="24"/>
          <w:lang w:val="en-US"/>
        </w:rPr>
        <w:tab/>
        <w:t xml:space="preserve">E. Mezer, C. A. Westall, G. Mirabella, T. Wygnanski-Jaffe, R. Yagev, and J. R. Buncic, “Measuring recovery of visual function in children with papilledema using sweep visual evoked potentials,” </w:t>
      </w:r>
      <w:r w:rsidRPr="00031084">
        <w:rPr>
          <w:i/>
          <w:iCs/>
          <w:noProof/>
          <w:sz w:val="24"/>
          <w:szCs w:val="24"/>
          <w:lang w:val="en-US"/>
        </w:rPr>
        <w:t>J. AAPOS</w:t>
      </w:r>
      <w:r w:rsidRPr="00031084">
        <w:rPr>
          <w:noProof/>
          <w:sz w:val="24"/>
          <w:szCs w:val="24"/>
          <w:lang w:val="en-US"/>
        </w:rPr>
        <w:t>, vol. 20, no. 3, pp. 252–257, 2016.</w:t>
      </w:r>
    </w:p>
    <w:p w14:paraId="0DFFB94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[20]</w:t>
      </w:r>
      <w:r w:rsidRPr="00031084">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031084">
        <w:rPr>
          <w:i/>
          <w:iCs/>
          <w:noProof/>
          <w:sz w:val="24"/>
          <w:szCs w:val="24"/>
          <w:lang w:val="en-US"/>
        </w:rPr>
        <w:t>Investig. Ophthalmol. Vis. Sci.</w:t>
      </w:r>
      <w:r w:rsidRPr="00031084">
        <w:rPr>
          <w:noProof/>
          <w:sz w:val="24"/>
          <w:szCs w:val="24"/>
          <w:lang w:val="en-US"/>
        </w:rPr>
        <w:t>, vol. 59, no. 2, pp. 1144–1157, 2018.</w:t>
      </w:r>
    </w:p>
    <w:p w14:paraId="26735D5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[21]</w:t>
      </w:r>
      <w:r w:rsidRPr="00031084">
        <w:rPr>
          <w:noProof/>
          <w:sz w:val="24"/>
          <w:szCs w:val="24"/>
          <w:lang w:val="en-US"/>
        </w:rPr>
        <w:tab/>
        <w:t xml:space="preserve">W. V. Good, C. Hou, and A. M. Norcia, “Spatial contrast sensitivity vision loss in children with cortical visual impairment,” </w:t>
      </w:r>
      <w:r w:rsidRPr="00031084">
        <w:rPr>
          <w:i/>
          <w:iCs/>
          <w:noProof/>
          <w:sz w:val="24"/>
          <w:szCs w:val="24"/>
          <w:lang w:val="en-US"/>
        </w:rPr>
        <w:t>Investig. Ophthalmol. Vis. Sci.</w:t>
      </w:r>
      <w:r w:rsidRPr="00031084">
        <w:rPr>
          <w:noProof/>
          <w:sz w:val="24"/>
          <w:szCs w:val="24"/>
          <w:lang w:val="en-US"/>
        </w:rPr>
        <w:t>, vol. 53, no. 12, pp. 7730–7734, 2012.</w:t>
      </w:r>
    </w:p>
    <w:p w14:paraId="32D195B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[22]</w:t>
      </w:r>
      <w:r w:rsidRPr="00031084">
        <w:rPr>
          <w:noProof/>
          <w:sz w:val="24"/>
          <w:szCs w:val="24"/>
          <w:lang w:val="en-US"/>
        </w:rPr>
        <w:tab/>
        <w:t xml:space="preserve">F. Almoqbel, S. J. Leat, and E. Irving, “The technique, validity and clinical use of the sweep VEP,” </w:t>
      </w:r>
      <w:r w:rsidRPr="00031084">
        <w:rPr>
          <w:i/>
          <w:iCs/>
          <w:noProof/>
          <w:sz w:val="24"/>
          <w:szCs w:val="24"/>
          <w:lang w:val="en-US"/>
        </w:rPr>
        <w:t>Ophthalmic Physiol. Opt.</w:t>
      </w:r>
      <w:r w:rsidRPr="00031084">
        <w:rPr>
          <w:noProof/>
          <w:sz w:val="24"/>
          <w:szCs w:val="24"/>
          <w:lang w:val="en-US"/>
        </w:rPr>
        <w:t>, vol. 28, no. 5, pp. 393–403, 2008.</w:t>
      </w:r>
    </w:p>
    <w:p w14:paraId="2D68B07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[23]</w:t>
      </w:r>
      <w:r w:rsidRPr="00031084">
        <w:rPr>
          <w:noProof/>
          <w:sz w:val="24"/>
          <w:szCs w:val="24"/>
          <w:lang w:val="en-US"/>
        </w:rPr>
        <w:tab/>
        <w:t xml:space="preserve">J. P. Kelly, K. Tarczy-Hornoch, E. Herlihy, and A. H. Weiss, “Occlusion therapy improves phase-alignment of the cortical response in amblyopia,” </w:t>
      </w:r>
      <w:r w:rsidRPr="00031084">
        <w:rPr>
          <w:i/>
          <w:iCs/>
          <w:noProof/>
          <w:sz w:val="24"/>
          <w:szCs w:val="24"/>
          <w:lang w:val="en-US"/>
        </w:rPr>
        <w:t>Vision Res.</w:t>
      </w:r>
      <w:r w:rsidRPr="00031084">
        <w:rPr>
          <w:noProof/>
          <w:sz w:val="24"/>
          <w:szCs w:val="24"/>
          <w:lang w:val="en-US"/>
        </w:rPr>
        <w:t>, vol. 114, pp. 142–150, 2015.</w:t>
      </w:r>
    </w:p>
    <w:p w14:paraId="2447C205"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[24]</w:t>
      </w:r>
      <w:r w:rsidRPr="00031084">
        <w:rPr>
          <w:noProof/>
          <w:sz w:val="24"/>
          <w:szCs w:val="24"/>
          <w:lang w:val="en-US"/>
        </w:rPr>
        <w:tab/>
        <w:t xml:space="preserve">H. S. M. Kiiski </w:t>
      </w:r>
      <w:r w:rsidRPr="00031084">
        <w:rPr>
          <w:i/>
          <w:iCs/>
          <w:noProof/>
          <w:sz w:val="24"/>
          <w:szCs w:val="24"/>
          <w:lang w:val="en-US"/>
        </w:rPr>
        <w:t>et al.</w:t>
      </w:r>
      <w:r w:rsidRPr="00031084">
        <w:rPr>
          <w:noProof/>
          <w:sz w:val="24"/>
          <w:szCs w:val="24"/>
          <w:lang w:val="en-US"/>
        </w:rPr>
        <w:t xml:space="preserve">, “Delayed P100-Like Latencies in Multiple Sclerosis: A Preliminary Investigation Using Visual Evoked Spread Spectrum Analysis,” </w:t>
      </w:r>
      <w:r w:rsidRPr="00031084">
        <w:rPr>
          <w:i/>
          <w:iCs/>
          <w:noProof/>
          <w:sz w:val="24"/>
          <w:szCs w:val="24"/>
          <w:lang w:val="en-US"/>
        </w:rPr>
        <w:t>PLoS One</w:t>
      </w:r>
      <w:r w:rsidRPr="00031084">
        <w:rPr>
          <w:noProof/>
          <w:sz w:val="24"/>
          <w:szCs w:val="24"/>
          <w:lang w:val="en-US"/>
        </w:rPr>
        <w:t>, vol. 11, no. 1, p. e0146084, 2016.</w:t>
      </w:r>
    </w:p>
    <w:p w14:paraId="6FEAF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[25]</w:t>
      </w:r>
      <w:r w:rsidRPr="00031084">
        <w:rPr>
          <w:noProof/>
          <w:sz w:val="24"/>
          <w:szCs w:val="24"/>
          <w:lang w:val="en-US"/>
        </w:rPr>
        <w:tab/>
        <w:t>C. Barber and D. Keating, “Comparison of cathode ray tube and liquid crystal display stimulators for use in multifocal VEP,” pp. 115–122, 2014.</w:t>
      </w:r>
    </w:p>
    <w:p w14:paraId="232DE17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[26]</w:t>
      </w:r>
      <w:r w:rsidRPr="00031084">
        <w:rPr>
          <w:noProof/>
          <w:sz w:val="24"/>
          <w:szCs w:val="24"/>
          <w:lang w:val="en-US"/>
        </w:rPr>
        <w:tab/>
        <w:t xml:space="preserve">M. Molnár </w:t>
      </w:r>
      <w:r w:rsidRPr="00031084">
        <w:rPr>
          <w:i/>
          <w:iCs/>
          <w:noProof/>
          <w:sz w:val="24"/>
          <w:szCs w:val="24"/>
          <w:lang w:val="en-US"/>
        </w:rPr>
        <w:t>et al.</w:t>
      </w:r>
      <w:r w:rsidRPr="00031084">
        <w:rPr>
          <w:noProof/>
          <w:sz w:val="24"/>
          <w:szCs w:val="24"/>
          <w:lang w:val="en-US"/>
        </w:rPr>
        <w:t xml:space="preserve">, “Spectral and complexity features of the EEG changed by visual input in a case of subcortical stroke compared to healthy controls,” </w:t>
      </w:r>
      <w:r w:rsidRPr="00031084">
        <w:rPr>
          <w:i/>
          <w:iCs/>
          <w:noProof/>
          <w:sz w:val="24"/>
          <w:szCs w:val="24"/>
          <w:lang w:val="en-US"/>
        </w:rPr>
        <w:t>Clin. Neurophysiol.</w:t>
      </w:r>
      <w:r w:rsidRPr="00031084">
        <w:rPr>
          <w:noProof/>
          <w:sz w:val="24"/>
          <w:szCs w:val="24"/>
          <w:lang w:val="en-US"/>
        </w:rPr>
        <w:t>, vol. 117, no. 4, pp. 771–780, 2006.</w:t>
      </w:r>
    </w:p>
    <w:p w14:paraId="322EEA4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[27]</w:t>
      </w:r>
      <w:r w:rsidRPr="00031084">
        <w:rPr>
          <w:noProof/>
          <w:sz w:val="24"/>
          <w:szCs w:val="24"/>
          <w:lang w:val="en-US"/>
        </w:rPr>
        <w:tab/>
        <w:t xml:space="preserve">A. A. Brewer and B. Barton, “Visual Field Map Organization in Human Visual Cortex,” </w:t>
      </w:r>
      <w:r w:rsidRPr="00031084">
        <w:rPr>
          <w:i/>
          <w:iCs/>
          <w:noProof/>
          <w:sz w:val="24"/>
          <w:szCs w:val="24"/>
          <w:lang w:val="en-US"/>
        </w:rPr>
        <w:t>Intech Open Sci.</w:t>
      </w:r>
      <w:r w:rsidRPr="00031084">
        <w:rPr>
          <w:noProof/>
          <w:sz w:val="24"/>
          <w:szCs w:val="24"/>
          <w:lang w:val="en-US"/>
        </w:rPr>
        <w:t>, vol. 10.5772/51, 2012.</w:t>
      </w:r>
    </w:p>
    <w:p w14:paraId="4CDF203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[28]</w:t>
      </w:r>
      <w:r w:rsidRPr="00031084">
        <w:rPr>
          <w:noProof/>
          <w:sz w:val="24"/>
          <w:szCs w:val="24"/>
          <w:lang w:val="en-US"/>
        </w:rPr>
        <w:tab/>
        <w:t xml:space="preserve">R. F. Dougherty, V. M. Koch, A. A. Brewer, J. Modersitzki, and B. A. Wandell, </w:t>
      </w:r>
      <w:r w:rsidRPr="00031084">
        <w:rPr>
          <w:noProof/>
          <w:sz w:val="24"/>
          <w:szCs w:val="24"/>
          <w:lang w:val="en-US"/>
        </w:rPr>
        <w:lastRenderedPageBreak/>
        <w:t>“Visual field representations and locations of visual areas V1 / 2 / 3 in human visual cortex,” pp. 586–598, 2003.</w:t>
      </w:r>
    </w:p>
    <w:p w14:paraId="26E3466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[29]</w:t>
      </w:r>
      <w:r w:rsidRPr="00031084">
        <w:rPr>
          <w:noProof/>
          <w:sz w:val="24"/>
          <w:szCs w:val="24"/>
          <w:lang w:val="en-US"/>
        </w:rPr>
        <w:tab/>
        <w:t>B. A. Wandell, S. O. Dumoulin, and A. A. Brewer, “Review Visual Field Maps in Human Cortex,” no. 1893, pp. 366–383, 2007.</w:t>
      </w:r>
    </w:p>
    <w:p w14:paraId="780FC8C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[30]</w:t>
      </w:r>
      <w:r w:rsidRPr="00031084">
        <w:rPr>
          <w:noProof/>
          <w:sz w:val="24"/>
          <w:szCs w:val="24"/>
          <w:lang w:val="en-US"/>
        </w:rPr>
        <w:tab/>
        <w:t xml:space="preserve">S. Prasad and S. L. Galetta, </w:t>
      </w:r>
      <w:r w:rsidRPr="00031084">
        <w:rPr>
          <w:i/>
          <w:iCs/>
          <w:noProof/>
          <w:sz w:val="24"/>
          <w:szCs w:val="24"/>
          <w:lang w:val="en-US"/>
        </w:rPr>
        <w:t>Anatomy and physiology of the afferent visual system</w:t>
      </w:r>
      <w:r w:rsidRPr="00031084">
        <w:rPr>
          <w:noProof/>
          <w:sz w:val="24"/>
          <w:szCs w:val="24"/>
          <w:lang w:val="en-US"/>
        </w:rPr>
        <w:t>, 1st ed., vol. 102, no. 617. Elsevier B.V., 2011.</w:t>
      </w:r>
    </w:p>
    <w:p w14:paraId="1095AC4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[31]</w:t>
      </w:r>
      <w:r w:rsidRPr="00031084">
        <w:rPr>
          <w:noProof/>
          <w:sz w:val="24"/>
          <w:szCs w:val="24"/>
          <w:lang w:val="en-US"/>
        </w:rPr>
        <w:tab/>
        <w:t xml:space="preserve">S. Stevens, “How to measure distance visual acuity,” </w:t>
      </w:r>
      <w:r w:rsidRPr="00031084">
        <w:rPr>
          <w:i/>
          <w:iCs/>
          <w:noProof/>
          <w:sz w:val="24"/>
          <w:szCs w:val="24"/>
          <w:lang w:val="en-US"/>
        </w:rPr>
        <w:t>Eye Heal. J.</w:t>
      </w:r>
      <w:r w:rsidRPr="00031084">
        <w:rPr>
          <w:noProof/>
          <w:sz w:val="24"/>
          <w:szCs w:val="24"/>
          <w:lang w:val="en-US"/>
        </w:rPr>
        <w:t>, p. 2014, 2014.</w:t>
      </w:r>
    </w:p>
    <w:p w14:paraId="58FF8FC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[32]</w:t>
      </w:r>
      <w:r w:rsidRPr="00031084">
        <w:rPr>
          <w:noProof/>
          <w:sz w:val="24"/>
          <w:szCs w:val="24"/>
          <w:lang w:val="en-US"/>
        </w:rPr>
        <w:tab/>
        <w:t>F. Ejzenbaum, A. Berezovsky, and P. Y. Sacai, “Age norms for monocular grating acuity measured by sweep-VEP in the first three years of age,” vol. 71, no. 3, pp. 7–8, 2008.</w:t>
      </w:r>
    </w:p>
    <w:p w14:paraId="5F3C0A5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[33]</w:t>
      </w:r>
      <w:r w:rsidRPr="00031084">
        <w:rPr>
          <w:noProof/>
          <w:sz w:val="24"/>
          <w:szCs w:val="24"/>
          <w:lang w:val="en-US"/>
        </w:rPr>
        <w:tab/>
        <w:t>B. H. Hospital and B. H. Hospital, “Improving outcome in stroke patients with visual problems,” no. July, pp. 560–565, 2006.</w:t>
      </w:r>
    </w:p>
    <w:p w14:paraId="1D6613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[34]</w:t>
      </w:r>
      <w:r w:rsidRPr="00031084">
        <w:rPr>
          <w:noProof/>
          <w:sz w:val="24"/>
          <w:szCs w:val="24"/>
          <w:lang w:val="en-US"/>
        </w:rPr>
        <w:tab/>
        <w:t>F. Ricci, C. Cedrone, and L. Cerulli, “Review article Standardized measurement of visual acuity,” no. 9100119, pp. 1990–1995, 1998.</w:t>
      </w:r>
    </w:p>
    <w:p w14:paraId="7018821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[35]</w:t>
      </w:r>
      <w:r w:rsidRPr="00031084">
        <w:rPr>
          <w:noProof/>
          <w:sz w:val="24"/>
          <w:szCs w:val="24"/>
          <w:lang w:val="en-US"/>
        </w:rPr>
        <w:tab/>
        <w:t>Y. Kim, “Cortical sources of Vernier acuity in the human visual system : An EEG-source imaging study,” vol. 17, pp. 1–12, 2017.</w:t>
      </w:r>
    </w:p>
    <w:p w14:paraId="7744396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[36]</w:t>
      </w:r>
      <w:r w:rsidRPr="00031084">
        <w:rPr>
          <w:noProof/>
          <w:sz w:val="24"/>
          <w:szCs w:val="24"/>
          <w:lang w:val="en-US"/>
        </w:rPr>
        <w:tab/>
        <w:t xml:space="preserve">S. Ajami, A. Mahnam, and V. Abootalebi, “Development of a practical high frequency brain–computer interface based on steady-state visual evoked potentials using a single channel of EEG,” </w:t>
      </w:r>
      <w:r w:rsidRPr="00031084">
        <w:rPr>
          <w:i/>
          <w:iCs/>
          <w:noProof/>
          <w:sz w:val="24"/>
          <w:szCs w:val="24"/>
          <w:lang w:val="en-US"/>
        </w:rPr>
        <w:t>Biocybern. Biomed. Eng.</w:t>
      </w:r>
      <w:r w:rsidRPr="00031084">
        <w:rPr>
          <w:noProof/>
          <w:sz w:val="24"/>
          <w:szCs w:val="24"/>
          <w:lang w:val="en-US"/>
        </w:rPr>
        <w:t>, vol. 38, no. 1, pp. 106–114, 2018.</w:t>
      </w:r>
    </w:p>
    <w:p w14:paraId="0F5BC89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[37]</w:t>
      </w:r>
      <w:r w:rsidRPr="00031084">
        <w:rPr>
          <w:noProof/>
          <w:sz w:val="24"/>
          <w:szCs w:val="24"/>
          <w:lang w:val="en-US"/>
        </w:rPr>
        <w:tab/>
        <w:t>F. M. Almoqbel, E. L. Irving, and S. J. Leat, “Visual Acuity and Contrast Sensitivity Development in Children : Sweep Visually Evoked Potential and Psychophysics,” vol. 94, no. 8, 2017.</w:t>
      </w:r>
    </w:p>
    <w:p w14:paraId="4F2A1E8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[38]</w:t>
      </w:r>
      <w:r w:rsidRPr="00031084">
        <w:rPr>
          <w:noProof/>
          <w:sz w:val="24"/>
          <w:szCs w:val="24"/>
          <w:lang w:val="en-US"/>
        </w:rPr>
        <w:tab/>
        <w:t xml:space="preserve">M. Bach, J. P. Maurer, and M. E. Wolf, “Visual evoked potential-based acuity assessment in normal vision, artificially degraded vision, and in patients,” </w:t>
      </w:r>
      <w:r w:rsidRPr="00031084">
        <w:rPr>
          <w:i/>
          <w:iCs/>
          <w:noProof/>
          <w:sz w:val="24"/>
          <w:szCs w:val="24"/>
          <w:lang w:val="en-US"/>
        </w:rPr>
        <w:t>Br. J. Ophthalmol.</w:t>
      </w:r>
      <w:r w:rsidRPr="00031084">
        <w:rPr>
          <w:noProof/>
          <w:sz w:val="24"/>
          <w:szCs w:val="24"/>
          <w:lang w:val="en-US"/>
        </w:rPr>
        <w:t>, vol. 92, no. 3, pp. 396–403, 2008.</w:t>
      </w:r>
    </w:p>
    <w:p w14:paraId="1DE2995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[39]</w:t>
      </w:r>
      <w:r w:rsidRPr="00031084">
        <w:rPr>
          <w:noProof/>
          <w:sz w:val="24"/>
          <w:szCs w:val="24"/>
          <w:lang w:val="en-US"/>
        </w:rPr>
        <w:tab/>
        <w:t xml:space="preserve">A. S. Hawkins, J. P. Szlyk, Z. Ardickas, K. R. Alexander, and J. T. Wilensky, “Comparison of contrast sensitivity, visual acuity, and Humphrey visual field testing in patients with glaucoma,” </w:t>
      </w:r>
      <w:r w:rsidRPr="00031084">
        <w:rPr>
          <w:i/>
          <w:iCs/>
          <w:noProof/>
          <w:sz w:val="24"/>
          <w:szCs w:val="24"/>
          <w:lang w:val="en-US"/>
        </w:rPr>
        <w:t>J Glaucoma</w:t>
      </w:r>
      <w:r w:rsidRPr="00031084">
        <w:rPr>
          <w:noProof/>
          <w:sz w:val="24"/>
          <w:szCs w:val="24"/>
          <w:lang w:val="en-US"/>
        </w:rPr>
        <w:t>, vol. 12, pp. 134–138, 2003.</w:t>
      </w:r>
    </w:p>
    <w:p w14:paraId="1922104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[40]</w:t>
      </w:r>
      <w:r w:rsidRPr="00031084">
        <w:rPr>
          <w:noProof/>
          <w:sz w:val="24"/>
          <w:szCs w:val="24"/>
          <w:lang w:val="en-US"/>
        </w:rPr>
        <w:tab/>
        <w:t>D. G. Pelli and P. Bex, “Measuring contrast sensitivity,” pp. 10–14, 2014.</w:t>
      </w:r>
    </w:p>
    <w:p w14:paraId="4AD6391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[41]</w:t>
      </w:r>
      <w:r w:rsidRPr="00031084">
        <w:rPr>
          <w:noProof/>
          <w:sz w:val="24"/>
          <w:szCs w:val="24"/>
          <w:lang w:val="en-US"/>
        </w:rPr>
        <w:tab/>
        <w:t xml:space="preserve">L. J. Balcer </w:t>
      </w:r>
      <w:r w:rsidRPr="00031084">
        <w:rPr>
          <w:i/>
          <w:iCs/>
          <w:noProof/>
          <w:sz w:val="24"/>
          <w:szCs w:val="24"/>
          <w:lang w:val="en-US"/>
        </w:rPr>
        <w:t>et al.</w:t>
      </w:r>
      <w:r w:rsidRPr="00031084">
        <w:rPr>
          <w:noProof/>
          <w:sz w:val="24"/>
          <w:szCs w:val="24"/>
          <w:lang w:val="en-US"/>
        </w:rPr>
        <w:t>, “Contrast letter acuity as a visual component for the Multiple Sclerosis Functional Composite,” vol. 000, pp. 1367–1374, 2003.</w:t>
      </w:r>
    </w:p>
    <w:p w14:paraId="17584ED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[42]</w:t>
      </w:r>
      <w:r w:rsidRPr="00031084">
        <w:rPr>
          <w:noProof/>
          <w:sz w:val="24"/>
          <w:szCs w:val="24"/>
          <w:lang w:val="en-US"/>
        </w:rPr>
        <w:tab/>
        <w:t>K. Boyd, “Visual Field Test,” 2019. [Online]. Available: https://www.aao.org/eye-health/tips-prevention/visual-field-testing.</w:t>
      </w:r>
    </w:p>
    <w:p w14:paraId="31D660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[43]</w:t>
      </w:r>
      <w:r w:rsidRPr="00031084">
        <w:rPr>
          <w:noProof/>
          <w:sz w:val="24"/>
          <w:szCs w:val="24"/>
          <w:lang w:val="en-US"/>
        </w:rPr>
        <w:tab/>
        <w:t>J. G. Romano, P. Schulz, S. Kenkel, and D. P. Todd, “Visual field changes after a rehabilitation intervention: Vision restoration therapy,” vol. 273, pp. 70–74, 2008.</w:t>
      </w:r>
    </w:p>
    <w:p w14:paraId="0845F3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[44]</w:t>
      </w:r>
      <w:r w:rsidRPr="00031084">
        <w:rPr>
          <w:noProof/>
          <w:sz w:val="24"/>
          <w:szCs w:val="24"/>
          <w:lang w:val="en-US"/>
        </w:rPr>
        <w:tab/>
        <w:t>E. Kasten, U. Bunzenthal, and B. A. Sabel, “Visual field recovery after vision restoration therapy ( VRT ) is independent of eye movements : An eye tracker study,” vol. 175, pp. 18–26, 2006.</w:t>
      </w:r>
    </w:p>
    <w:p w14:paraId="7E95AEF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[45]</w:t>
      </w:r>
      <w:r w:rsidRPr="00031084">
        <w:rPr>
          <w:noProof/>
          <w:sz w:val="24"/>
          <w:szCs w:val="24"/>
          <w:lang w:val="en-US"/>
        </w:rPr>
        <w:tab/>
        <w:t>I. Mueller, H. Mast, and B. A. Sabel, “Recovery of visual field defects : A large clinical observational study using vision restoration therapy,” vol. 25, pp. 563–572, 2007.</w:t>
      </w:r>
    </w:p>
    <w:p w14:paraId="4F67244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[46]</w:t>
      </w:r>
      <w:r w:rsidRPr="00031084">
        <w:rPr>
          <w:noProof/>
          <w:sz w:val="24"/>
          <w:szCs w:val="24"/>
          <w:lang w:val="en-US"/>
        </w:rPr>
        <w:tab/>
        <w:t>A. Borst and M. Egelhaaf, “Principles of visual motion detection,” pp. 297–306, 1989.</w:t>
      </w:r>
    </w:p>
    <w:p w14:paraId="42E8C30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[47]</w:t>
      </w:r>
      <w:r w:rsidRPr="00031084">
        <w:rPr>
          <w:noProof/>
          <w:sz w:val="24"/>
          <w:szCs w:val="24"/>
          <w:lang w:val="en-US"/>
        </w:rPr>
        <w:tab/>
        <w:t xml:space="preserve">T. H. Donner, M. Siegel, R. Oostenveld, P. Fries, M. Bauer, and A. K. Engel, “Population Activity in the Human Dorsal Pathway Predicts the Accuracy of Visual Motion Detection,” </w:t>
      </w:r>
      <w:r w:rsidRPr="00031084">
        <w:rPr>
          <w:i/>
          <w:iCs/>
          <w:noProof/>
          <w:sz w:val="24"/>
          <w:szCs w:val="24"/>
          <w:lang w:val="en-US"/>
        </w:rPr>
        <w:t>J Neurophysiol 98</w:t>
      </w:r>
      <w:r w:rsidRPr="00031084">
        <w:rPr>
          <w:noProof/>
          <w:sz w:val="24"/>
          <w:szCs w:val="24"/>
          <w:lang w:val="en-US"/>
        </w:rPr>
        <w:t>, vol. 98, pp. 345–359, 2007.</w:t>
      </w:r>
    </w:p>
    <w:p w14:paraId="768F366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[48]</w:t>
      </w:r>
      <w:r w:rsidRPr="00031084">
        <w:rPr>
          <w:noProof/>
          <w:sz w:val="24"/>
          <w:szCs w:val="24"/>
          <w:lang w:val="en-US"/>
        </w:rPr>
        <w:tab/>
        <w:t xml:space="preserve">V. Walsh, A. Ellison, L. Battelli, and A. Cowey, “Task-specific impairments and </w:t>
      </w:r>
      <w:r w:rsidRPr="00031084">
        <w:rPr>
          <w:noProof/>
          <w:sz w:val="24"/>
          <w:szCs w:val="24"/>
          <w:lang w:val="en-US"/>
        </w:rPr>
        <w:lastRenderedPageBreak/>
        <w:t>enhancements induced by magnetic stimulation of human visual area V5,” vol. 5, no. November 1997, 1998.</w:t>
      </w:r>
    </w:p>
    <w:p w14:paraId="6F2679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[49]</w:t>
      </w:r>
      <w:r w:rsidRPr="00031084">
        <w:rPr>
          <w:noProof/>
          <w:sz w:val="24"/>
          <w:szCs w:val="24"/>
          <w:lang w:val="en-US"/>
        </w:rPr>
        <w:tab/>
        <w:t>L. M. Hamm, J. Black, S. Dai, and B. Thompson, “Global processing in amblyopia: a review,” vol. 5, no. June, pp. 1–21, 2014.</w:t>
      </w:r>
    </w:p>
    <w:p w14:paraId="320C9E5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[50]</w:t>
      </w:r>
      <w:r w:rsidRPr="00031084">
        <w:rPr>
          <w:noProof/>
          <w:sz w:val="24"/>
          <w:szCs w:val="24"/>
          <w:lang w:val="en-US"/>
        </w:rPr>
        <w:tab/>
        <w:t>F. Rocchi and B. S. Webb, “Criterion-free measurement of motion transparency perception at different speeds,” vol. 18, pp. 1–12, 2018.</w:t>
      </w:r>
    </w:p>
    <w:p w14:paraId="292255E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[51]</w:t>
      </w:r>
      <w:r w:rsidRPr="00031084">
        <w:rPr>
          <w:noProof/>
          <w:sz w:val="24"/>
          <w:szCs w:val="24"/>
          <w:lang w:val="en-US"/>
        </w:rPr>
        <w:tab/>
        <w:t>J. E. Raymond, “Attentional modulation of visual motion perception,” vol. 4, no. 2, pp. 42–50, 2000.</w:t>
      </w:r>
    </w:p>
    <w:p w14:paraId="2547506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[52]</w:t>
      </w:r>
      <w:r w:rsidRPr="00031084">
        <w:rPr>
          <w:noProof/>
          <w:sz w:val="24"/>
          <w:szCs w:val="24"/>
          <w:lang w:val="en-US"/>
        </w:rPr>
        <w:tab/>
        <w:t xml:space="preserve">S. O. Murray, D. Kersten, B. A. Olshausen, P. Schrater, and D. L. Woods, “Shape perception reduces activity in human primary visual cortex,” </w:t>
      </w:r>
      <w:r w:rsidRPr="00031084">
        <w:rPr>
          <w:i/>
          <w:iCs/>
          <w:noProof/>
          <w:sz w:val="24"/>
          <w:szCs w:val="24"/>
          <w:lang w:val="en-US"/>
        </w:rPr>
        <w:t>PNAS</w:t>
      </w:r>
      <w:r w:rsidRPr="00031084">
        <w:rPr>
          <w:noProof/>
          <w:sz w:val="24"/>
          <w:szCs w:val="24"/>
          <w:lang w:val="en-US"/>
        </w:rPr>
        <w:t>, vol. 99, p. 23, 2002.</w:t>
      </w:r>
    </w:p>
    <w:p w14:paraId="3BE410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[53]</w:t>
      </w:r>
      <w:r w:rsidRPr="00031084">
        <w:rPr>
          <w:noProof/>
          <w:sz w:val="24"/>
          <w:szCs w:val="24"/>
          <w:lang w:val="en-US"/>
        </w:rPr>
        <w:tab/>
        <w:t>T. W. James, J. Culham, G. K. Humphrey, A. D. Milner, and M. A. Goodale, “Ventral occipital lesions impair object recognition but not object-directed grasping : an fMRI study,” 2003.</w:t>
      </w:r>
    </w:p>
    <w:p w14:paraId="376287D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[54]</w:t>
      </w:r>
      <w:r w:rsidRPr="00031084">
        <w:rPr>
          <w:noProof/>
          <w:sz w:val="24"/>
          <w:szCs w:val="24"/>
          <w:lang w:val="en-US"/>
        </w:rPr>
        <w:tab/>
        <w:t xml:space="preserve">I. Kurki and J. Saarinen, “Investigating shape perception by classification images,” </w:t>
      </w:r>
      <w:r w:rsidRPr="00031084">
        <w:rPr>
          <w:i/>
          <w:iCs/>
          <w:noProof/>
          <w:sz w:val="24"/>
          <w:szCs w:val="24"/>
          <w:lang w:val="en-US"/>
        </w:rPr>
        <w:t>J. Vis.</w:t>
      </w:r>
      <w:r w:rsidRPr="00031084">
        <w:rPr>
          <w:noProof/>
          <w:sz w:val="24"/>
          <w:szCs w:val="24"/>
          <w:lang w:val="en-US"/>
        </w:rPr>
        <w:t>, vol. 14, pp. 1–19, 2014.</w:t>
      </w:r>
    </w:p>
    <w:p w14:paraId="5A01F58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[55]</w:t>
      </w:r>
      <w:r w:rsidRPr="00031084">
        <w:rPr>
          <w:noProof/>
          <w:sz w:val="24"/>
          <w:szCs w:val="24"/>
          <w:lang w:val="en-US"/>
        </w:rPr>
        <w:tab/>
        <w:t xml:space="preserve">B. J. B. Nicole M. Gage, </w:t>
      </w:r>
      <w:r w:rsidRPr="00031084">
        <w:rPr>
          <w:i/>
          <w:iCs/>
          <w:noProof/>
          <w:sz w:val="24"/>
          <w:szCs w:val="24"/>
          <w:lang w:val="en-US"/>
        </w:rPr>
        <w:t>Fundamentals of Cognitive Neuroscience (Second Edition)</w:t>
      </w:r>
      <w:r w:rsidRPr="00031084">
        <w:rPr>
          <w:noProof/>
          <w:sz w:val="24"/>
          <w:szCs w:val="24"/>
          <w:lang w:val="en-US"/>
        </w:rPr>
        <w:t>. 2018.</w:t>
      </w:r>
    </w:p>
    <w:p w14:paraId="1835459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[56]</w:t>
      </w:r>
      <w:r w:rsidRPr="00031084">
        <w:rPr>
          <w:noProof/>
          <w:sz w:val="24"/>
          <w:szCs w:val="24"/>
          <w:lang w:val="en-US"/>
        </w:rPr>
        <w:tab/>
        <w:t xml:space="preserve">H. O. Karnath, J. Rüter, A. Mandler, and M. Himmelbach, “The anatomy of object recognition - Visual form agnosia caused by medial occipitotemporal stroke,” </w:t>
      </w:r>
      <w:r w:rsidRPr="00031084">
        <w:rPr>
          <w:i/>
          <w:iCs/>
          <w:noProof/>
          <w:sz w:val="24"/>
          <w:szCs w:val="24"/>
          <w:lang w:val="en-US"/>
        </w:rPr>
        <w:t>J. Neurosci.</w:t>
      </w:r>
      <w:r w:rsidRPr="00031084">
        <w:rPr>
          <w:noProof/>
          <w:sz w:val="24"/>
          <w:szCs w:val="24"/>
          <w:lang w:val="en-US"/>
        </w:rPr>
        <w:t>, vol. 29, no. 18, pp. 5854–5862, 2009.</w:t>
      </w:r>
    </w:p>
    <w:p w14:paraId="4EBC5E6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[57]</w:t>
      </w:r>
      <w:r w:rsidRPr="00031084">
        <w:rPr>
          <w:noProof/>
          <w:sz w:val="24"/>
          <w:szCs w:val="24"/>
          <w:lang w:val="en-US"/>
        </w:rPr>
        <w:tab/>
        <w:t xml:space="preserve">G. W. A. James C. Grotta, </w:t>
      </w:r>
      <w:r w:rsidRPr="00031084">
        <w:rPr>
          <w:i/>
          <w:iCs/>
          <w:noProof/>
          <w:sz w:val="24"/>
          <w:szCs w:val="24"/>
          <w:lang w:val="en-US"/>
        </w:rPr>
        <w:t>Stroke. Pathophysiology, Diagnosis, and Management</w:t>
      </w:r>
      <w:r w:rsidRPr="00031084">
        <w:rPr>
          <w:noProof/>
          <w:sz w:val="24"/>
          <w:szCs w:val="24"/>
          <w:lang w:val="en-US"/>
        </w:rPr>
        <w:t>. 2016.</w:t>
      </w:r>
    </w:p>
    <w:p w14:paraId="2B7E11A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[58]</w:t>
      </w:r>
      <w:r w:rsidRPr="00031084">
        <w:rPr>
          <w:noProof/>
          <w:sz w:val="24"/>
          <w:szCs w:val="24"/>
          <w:lang w:val="en-US"/>
        </w:rPr>
        <w:tab/>
        <w:t xml:space="preserve">P. Kok and F. P. De Lange, “Shape perception simultaneously up- and downregulates neural activity in the primary visual cortex,” </w:t>
      </w:r>
      <w:r w:rsidRPr="00031084">
        <w:rPr>
          <w:i/>
          <w:iCs/>
          <w:noProof/>
          <w:sz w:val="24"/>
          <w:szCs w:val="24"/>
          <w:lang w:val="en-US"/>
        </w:rPr>
        <w:t>Curr. Biol.</w:t>
      </w:r>
      <w:r w:rsidRPr="00031084">
        <w:rPr>
          <w:noProof/>
          <w:sz w:val="24"/>
          <w:szCs w:val="24"/>
          <w:lang w:val="en-US"/>
        </w:rPr>
        <w:t>, vol. 24, no. 13, pp. 1531–1535, 2014.</w:t>
      </w:r>
    </w:p>
    <w:p w14:paraId="1E78CA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[59]</w:t>
      </w:r>
      <w:r w:rsidRPr="00031084">
        <w:rPr>
          <w:noProof/>
          <w:sz w:val="24"/>
          <w:szCs w:val="24"/>
          <w:lang w:val="en-US"/>
        </w:rPr>
        <w:tab/>
        <w:t xml:space="preserve">J. D. Yeatman, A. M. Rauschecker, and B. A. Wandell, “Brain &amp; Language Anatomy of the visual word form area : Adjacent cortical circuits and long-range white matter connections,” </w:t>
      </w:r>
      <w:r w:rsidRPr="00031084">
        <w:rPr>
          <w:i/>
          <w:iCs/>
          <w:noProof/>
          <w:sz w:val="24"/>
          <w:szCs w:val="24"/>
          <w:lang w:val="en-US"/>
        </w:rPr>
        <w:t>Brain Lang.</w:t>
      </w:r>
      <w:r w:rsidRPr="00031084">
        <w:rPr>
          <w:noProof/>
          <w:sz w:val="24"/>
          <w:szCs w:val="24"/>
          <w:lang w:val="en-US"/>
        </w:rPr>
        <w:t>, vol. 125, no. 2, pp. 146–155, 2013.</w:t>
      </w:r>
    </w:p>
    <w:p w14:paraId="1AF1004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[60]</w:t>
      </w:r>
      <w:r w:rsidRPr="00031084">
        <w:rPr>
          <w:noProof/>
          <w:sz w:val="24"/>
          <w:szCs w:val="24"/>
          <w:lang w:val="en-US"/>
        </w:rPr>
        <w:tab/>
        <w:t>L. Cohen, S. Dehaene, F. Vinckier, A. Jobert, and A. Montavont, “Reading normal and degraded words : Contribution of the dorsal and ventral visual pathways,” vol. 40, pp. 353–366, 2008.</w:t>
      </w:r>
    </w:p>
    <w:p w14:paraId="2AA3AAA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[61]</w:t>
      </w:r>
      <w:r w:rsidRPr="00031084">
        <w:rPr>
          <w:noProof/>
          <w:sz w:val="24"/>
          <w:szCs w:val="24"/>
          <w:lang w:val="en-US"/>
        </w:rPr>
        <w:tab/>
        <w:t>M. Vigneau, G. Jobard, B. Mazoyer, and N. Tzourio-mazoyer, “Word and non-word reading : What role for the Visual Word Form Area ?,” vol. 27, pp. 694–705, 2005.</w:t>
      </w:r>
    </w:p>
    <w:p w14:paraId="63D5EDB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[62]</w:t>
      </w:r>
      <w:r w:rsidRPr="00031084">
        <w:rPr>
          <w:noProof/>
          <w:sz w:val="24"/>
          <w:szCs w:val="24"/>
          <w:lang w:val="en-US"/>
        </w:rPr>
        <w:tab/>
        <w:t xml:space="preserve">F. Chochon </w:t>
      </w:r>
      <w:r w:rsidRPr="00031084">
        <w:rPr>
          <w:i/>
          <w:iCs/>
          <w:noProof/>
          <w:sz w:val="24"/>
          <w:szCs w:val="24"/>
          <w:lang w:val="en-US"/>
        </w:rPr>
        <w:t>et al.</w:t>
      </w:r>
      <w:r w:rsidRPr="00031084">
        <w:rPr>
          <w:noProof/>
          <w:sz w:val="24"/>
          <w:szCs w:val="24"/>
          <w:lang w:val="en-US"/>
        </w:rPr>
        <w:t xml:space="preserve">, “Language-specific tuning of visual cortex ? Functional properties of the Visual Word Form Area,” </w:t>
      </w:r>
      <w:r w:rsidRPr="00031084">
        <w:rPr>
          <w:i/>
          <w:iCs/>
          <w:noProof/>
          <w:sz w:val="24"/>
          <w:szCs w:val="24"/>
          <w:lang w:val="en-US"/>
        </w:rPr>
        <w:t>Brain</w:t>
      </w:r>
      <w:r w:rsidRPr="00031084">
        <w:rPr>
          <w:noProof/>
          <w:sz w:val="24"/>
          <w:szCs w:val="24"/>
          <w:lang w:val="en-US"/>
        </w:rPr>
        <w:t>, pp. 1054–1069, 2002.</w:t>
      </w:r>
    </w:p>
    <w:p w14:paraId="210CFEF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[63]</w:t>
      </w:r>
      <w:r w:rsidRPr="00031084">
        <w:rPr>
          <w:noProof/>
          <w:sz w:val="24"/>
          <w:szCs w:val="24"/>
          <w:lang w:val="en-US"/>
        </w:rPr>
        <w:tab/>
        <w:t xml:space="preserve">P. E. Turkeltaub </w:t>
      </w:r>
      <w:r w:rsidRPr="00031084">
        <w:rPr>
          <w:i/>
          <w:iCs/>
          <w:noProof/>
          <w:sz w:val="24"/>
          <w:szCs w:val="24"/>
          <w:lang w:val="en-US"/>
        </w:rPr>
        <w:t>et al.</w:t>
      </w:r>
      <w:r w:rsidRPr="00031084">
        <w:rPr>
          <w:noProof/>
          <w:sz w:val="24"/>
          <w:szCs w:val="24"/>
          <w:lang w:val="en-US"/>
        </w:rPr>
        <w:t xml:space="preserve">, “Alexia due to ischemic stroke of the visual word form area,” </w:t>
      </w:r>
      <w:r w:rsidRPr="00031084">
        <w:rPr>
          <w:i/>
          <w:iCs/>
          <w:noProof/>
          <w:sz w:val="24"/>
          <w:szCs w:val="24"/>
          <w:lang w:val="en-US"/>
        </w:rPr>
        <w:t>Neurocase</w:t>
      </w:r>
      <w:r w:rsidRPr="00031084">
        <w:rPr>
          <w:noProof/>
          <w:sz w:val="24"/>
          <w:szCs w:val="24"/>
          <w:lang w:val="en-US"/>
        </w:rPr>
        <w:t>, vol. 20, no. 2, pp. 230–235, 2014.</w:t>
      </w:r>
    </w:p>
    <w:p w14:paraId="0A9E04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[64]</w:t>
      </w:r>
      <w:r w:rsidRPr="00031084">
        <w:rPr>
          <w:noProof/>
          <w:sz w:val="24"/>
          <w:szCs w:val="24"/>
          <w:lang w:val="en-US"/>
        </w:rPr>
        <w:tab/>
        <w:t>C. Terms, “Color Vision,” vol. 41, no. 3, 2000.</w:t>
      </w:r>
    </w:p>
    <w:p w14:paraId="6B29FED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[65]</w:t>
      </w:r>
      <w:r w:rsidRPr="00031084">
        <w:rPr>
          <w:noProof/>
          <w:sz w:val="24"/>
          <w:szCs w:val="24"/>
          <w:lang w:val="en-US"/>
        </w:rPr>
        <w:tab/>
        <w:t xml:space="preserve">K. Seymour, C. W. G. Clifford, and N. K. Logothetis, “The Coding of Color , Motion , and Their Conjunction in the Human Visual Cortex,” </w:t>
      </w:r>
      <w:r w:rsidRPr="00031084">
        <w:rPr>
          <w:i/>
          <w:iCs/>
          <w:noProof/>
          <w:sz w:val="24"/>
          <w:szCs w:val="24"/>
          <w:lang w:val="en-US"/>
        </w:rPr>
        <w:t>Curr. Biol.</w:t>
      </w:r>
      <w:r w:rsidRPr="00031084">
        <w:rPr>
          <w:noProof/>
          <w:sz w:val="24"/>
          <w:szCs w:val="24"/>
          <w:lang w:val="en-US"/>
        </w:rPr>
        <w:t>, vol. 19, no. 3, pp. 177–183, 2009.</w:t>
      </w:r>
    </w:p>
    <w:p w14:paraId="4523437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[66]</w:t>
      </w:r>
      <w:r w:rsidRPr="00031084">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74DF3A4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[67]</w:t>
      </w:r>
      <w:r w:rsidRPr="00031084">
        <w:rPr>
          <w:noProof/>
          <w:sz w:val="24"/>
          <w:szCs w:val="24"/>
          <w:lang w:val="en-US"/>
        </w:rPr>
        <w:tab/>
        <w:t xml:space="preserve">S. E. Bouvier and S. A. Engel, “Behavioral Deficits and Cortical Damage Loci in Cerebral Achromatopsia,” </w:t>
      </w:r>
      <w:r w:rsidRPr="00031084">
        <w:rPr>
          <w:i/>
          <w:iCs/>
          <w:noProof/>
          <w:sz w:val="24"/>
          <w:szCs w:val="24"/>
          <w:lang w:val="en-US"/>
        </w:rPr>
        <w:t>Cereb. Cortex</w:t>
      </w:r>
      <w:r w:rsidRPr="00031084">
        <w:rPr>
          <w:noProof/>
          <w:sz w:val="24"/>
          <w:szCs w:val="24"/>
          <w:lang w:val="en-US"/>
        </w:rPr>
        <w:t>, no. February, pp. 183–191, 2006.</w:t>
      </w:r>
    </w:p>
    <w:p w14:paraId="32CB11F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[68]</w:t>
      </w:r>
      <w:r w:rsidRPr="00031084">
        <w:rPr>
          <w:noProof/>
          <w:sz w:val="24"/>
          <w:szCs w:val="24"/>
          <w:lang w:val="en-US"/>
        </w:rPr>
        <w:tab/>
        <w:t xml:space="preserve">M. A. Crognale, C. S. Duncan, D. J. Peterson, and M. E. Berryhill, “The locus </w:t>
      </w:r>
      <w:r w:rsidRPr="00031084">
        <w:rPr>
          <w:noProof/>
          <w:sz w:val="24"/>
          <w:szCs w:val="24"/>
          <w:lang w:val="en-US"/>
        </w:rPr>
        <w:lastRenderedPageBreak/>
        <w:t xml:space="preserve">of color sensation : Cortical color loss and the chromatic visual evoked potential,” </w:t>
      </w:r>
      <w:r w:rsidRPr="00031084">
        <w:rPr>
          <w:i/>
          <w:iCs/>
          <w:noProof/>
          <w:sz w:val="24"/>
          <w:szCs w:val="24"/>
          <w:lang w:val="en-US"/>
        </w:rPr>
        <w:t>Vision</w:t>
      </w:r>
      <w:r w:rsidRPr="00031084">
        <w:rPr>
          <w:noProof/>
          <w:sz w:val="24"/>
          <w:szCs w:val="24"/>
          <w:lang w:val="en-US"/>
        </w:rPr>
        <w:t>, vol. 13, pp. 1–11, 2013.</w:t>
      </w:r>
    </w:p>
    <w:p w14:paraId="337D848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[69]</w:t>
      </w:r>
      <w:r w:rsidRPr="00031084">
        <w:rPr>
          <w:noProof/>
          <w:sz w:val="24"/>
          <w:szCs w:val="24"/>
          <w:lang w:val="en-US"/>
        </w:rPr>
        <w:tab/>
        <w:t>D. J. Mckeefry and S. Zeki, “The position and topography of the human colour centre as revealed by functional magnetic resonance imaging,” pp. 2229–2242, 1997.</w:t>
      </w:r>
    </w:p>
    <w:p w14:paraId="715302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[70]</w:t>
      </w:r>
      <w:r w:rsidRPr="00031084">
        <w:rPr>
          <w:noProof/>
          <w:sz w:val="24"/>
          <w:szCs w:val="24"/>
          <w:lang w:val="en-US"/>
        </w:rPr>
        <w:tab/>
        <w:t xml:space="preserve"> and N. K. Mona Spiridon, Bruce Fischl, “Location and Spatial Profile of Category-Specific Regions in Human Extrastriate Cortex,” vol. 27, no. 1, pp. 77–89, 2012.</w:t>
      </w:r>
    </w:p>
    <w:p w14:paraId="1887098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[71]</w:t>
      </w:r>
      <w:r w:rsidRPr="00031084">
        <w:rPr>
          <w:noProof/>
          <w:sz w:val="24"/>
          <w:szCs w:val="24"/>
          <w:lang w:val="en-US"/>
        </w:rPr>
        <w:tab/>
        <w:t>S. Km, A. Midelfart, L. Thomassen, A. Melms, H. Wilhelm, and H. Jm, “Visual impairment in stroke patients – a review,” vol. 127, pp. 52–56, 2013.</w:t>
      </w:r>
    </w:p>
    <w:p w14:paraId="0F848AA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[72]</w:t>
      </w:r>
      <w:r w:rsidRPr="00031084">
        <w:rPr>
          <w:noProof/>
          <w:sz w:val="24"/>
          <w:szCs w:val="24"/>
          <w:lang w:val="en-US"/>
        </w:rPr>
        <w:tab/>
        <w:t>G. Kerkhoff, “Restorative and compensatory therapy approaches in cerebral blindness – a review,” vol. 15, pp. 255–271, 1999.</w:t>
      </w:r>
    </w:p>
    <w:p w14:paraId="6AC72A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[73]</w:t>
      </w:r>
      <w:r w:rsidRPr="00031084">
        <w:rPr>
          <w:noProof/>
          <w:sz w:val="24"/>
          <w:szCs w:val="24"/>
          <w:lang w:val="en-US"/>
        </w:rPr>
        <w:tab/>
        <w:t xml:space="preserve">R. J. Nudo, “Recovery after brain injury: mechanisms and principles,” </w:t>
      </w:r>
      <w:r w:rsidRPr="00031084">
        <w:rPr>
          <w:i/>
          <w:iCs/>
          <w:noProof/>
          <w:sz w:val="24"/>
          <w:szCs w:val="24"/>
          <w:lang w:val="en-US"/>
        </w:rPr>
        <w:t>Front. Hum. Neurosci.</w:t>
      </w:r>
      <w:r w:rsidRPr="00031084">
        <w:rPr>
          <w:noProof/>
          <w:sz w:val="24"/>
          <w:szCs w:val="24"/>
          <w:lang w:val="en-US"/>
        </w:rPr>
        <w:t>, vol. 7, no. December, pp. 1–14, 2013.</w:t>
      </w:r>
    </w:p>
    <w:p w14:paraId="75B5DBB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[74]</w:t>
      </w:r>
      <w:r w:rsidRPr="00031084">
        <w:rPr>
          <w:noProof/>
          <w:sz w:val="24"/>
          <w:szCs w:val="24"/>
          <w:lang w:val="en-US"/>
        </w:rPr>
        <w:tab/>
        <w:t>A. Pascual-leone, A. Amedi, F. Fregni, and L. B. Merabet, “The Plastic Human Brain Cortex,” 2005.</w:t>
      </w:r>
    </w:p>
    <w:p w14:paraId="5CBBFC3C"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[75]</w:t>
      </w:r>
      <w:r w:rsidRPr="00031084">
        <w:rPr>
          <w:noProof/>
          <w:sz w:val="24"/>
          <w:szCs w:val="24"/>
          <w:lang w:val="en-US"/>
        </w:rPr>
        <w:tab/>
        <w:t>A. T. Toosy, “Valuable Insights Into Visual Neuroplasticity After Optic Neuritis,” pp. 1–2, 2018.</w:t>
      </w:r>
    </w:p>
    <w:p w14:paraId="32C87F83"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[76]</w:t>
      </w:r>
      <w:r w:rsidRPr="00031084">
        <w:rPr>
          <w:noProof/>
          <w:sz w:val="24"/>
          <w:szCs w:val="24"/>
          <w:lang w:val="en-US"/>
        </w:rPr>
        <w:tab/>
        <w:t xml:space="preserve">I. Mueller </w:t>
      </w:r>
      <w:r w:rsidRPr="00031084">
        <w:rPr>
          <w:i/>
          <w:iCs/>
          <w:noProof/>
          <w:sz w:val="24"/>
          <w:szCs w:val="24"/>
          <w:lang w:val="en-US"/>
        </w:rPr>
        <w:t>et al.</w:t>
      </w:r>
      <w:r w:rsidRPr="00031084">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0D085C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[77]</w:t>
      </w:r>
      <w:r w:rsidRPr="00031084">
        <w:rPr>
          <w:noProof/>
          <w:sz w:val="24"/>
          <w:szCs w:val="24"/>
          <w:lang w:val="en-US"/>
        </w:rPr>
        <w:tab/>
        <w:t>G. K. V, D. Strasse, and D.- München, “Neurovisual rehabilitation : recent developments and future directions,” pp. 691–706, 2000.</w:t>
      </w:r>
    </w:p>
    <w:p w14:paraId="6AA8FE2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[78]</w:t>
      </w:r>
      <w:r w:rsidRPr="00031084">
        <w:rPr>
          <w:noProof/>
          <w:sz w:val="24"/>
          <w:szCs w:val="24"/>
          <w:lang w:val="en-US"/>
        </w:rPr>
        <w:tab/>
        <w:t xml:space="preserve">J. H. Pula and C. A. Yuen, “Eyes and stroke: The visual aspects of cerebrovascular disease,” </w:t>
      </w:r>
      <w:r w:rsidRPr="00031084">
        <w:rPr>
          <w:i/>
          <w:iCs/>
          <w:noProof/>
          <w:sz w:val="24"/>
          <w:szCs w:val="24"/>
          <w:lang w:val="en-US"/>
        </w:rPr>
        <w:t>Stroke Vasc. Neurol.</w:t>
      </w:r>
      <w:r w:rsidRPr="00031084">
        <w:rPr>
          <w:noProof/>
          <w:sz w:val="24"/>
          <w:szCs w:val="24"/>
          <w:lang w:val="en-US"/>
        </w:rPr>
        <w:t>, vol. 2, no. 4, pp. 210–220, 2017.</w:t>
      </w:r>
    </w:p>
    <w:p w14:paraId="702C113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[79]</w:t>
      </w:r>
      <w:r w:rsidRPr="00031084">
        <w:rPr>
          <w:noProof/>
          <w:sz w:val="24"/>
          <w:szCs w:val="24"/>
          <w:lang w:val="en-US"/>
        </w:rPr>
        <w:tab/>
        <w:t xml:space="preserve">L. F. Nicolas-Alonso and J. Gomez-Gil, “Brain computer interfaces, a review,” </w:t>
      </w:r>
      <w:r w:rsidRPr="00031084">
        <w:rPr>
          <w:i/>
          <w:iCs/>
          <w:noProof/>
          <w:sz w:val="24"/>
          <w:szCs w:val="24"/>
          <w:lang w:val="en-US"/>
        </w:rPr>
        <w:t>Sensors</w:t>
      </w:r>
      <w:r w:rsidRPr="00031084">
        <w:rPr>
          <w:noProof/>
          <w:sz w:val="24"/>
          <w:szCs w:val="24"/>
          <w:lang w:val="en-US"/>
        </w:rPr>
        <w:t>, vol. 12, no. 2, pp. 1211–1279, 2012.</w:t>
      </w:r>
    </w:p>
    <w:p w14:paraId="659D310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[80]</w:t>
      </w:r>
      <w:r w:rsidRPr="00031084">
        <w:rPr>
          <w:noProof/>
          <w:sz w:val="24"/>
          <w:szCs w:val="24"/>
          <w:lang w:val="en-US"/>
        </w:rPr>
        <w:tab/>
        <w:t xml:space="preserve">S. S. and J. A. Chambers, </w:t>
      </w:r>
      <w:r w:rsidRPr="00031084">
        <w:rPr>
          <w:i/>
          <w:iCs/>
          <w:noProof/>
          <w:sz w:val="24"/>
          <w:szCs w:val="24"/>
          <w:lang w:val="en-US"/>
        </w:rPr>
        <w:t>EEG Signal Processing</w:t>
      </w:r>
      <w:r w:rsidRPr="00031084">
        <w:rPr>
          <w:noProof/>
          <w:sz w:val="24"/>
          <w:szCs w:val="24"/>
          <w:lang w:val="en-US"/>
        </w:rPr>
        <w:t>. 2007.</w:t>
      </w:r>
    </w:p>
    <w:p w14:paraId="5A6F202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[81]</w:t>
      </w:r>
      <w:r w:rsidRPr="00031084">
        <w:rPr>
          <w:noProof/>
          <w:sz w:val="24"/>
          <w:szCs w:val="24"/>
          <w:lang w:val="en-US"/>
        </w:rPr>
        <w:tab/>
        <w:t xml:space="preserve">X. Lei </w:t>
      </w:r>
      <w:r w:rsidRPr="00031084">
        <w:rPr>
          <w:i/>
          <w:iCs/>
          <w:noProof/>
          <w:sz w:val="24"/>
          <w:szCs w:val="24"/>
          <w:lang w:val="en-US"/>
        </w:rPr>
        <w:t>et al.</w:t>
      </w:r>
      <w:r w:rsidRPr="00031084">
        <w:rPr>
          <w:noProof/>
          <w:sz w:val="24"/>
          <w:szCs w:val="24"/>
          <w:lang w:val="en-US"/>
        </w:rPr>
        <w:t>, “Identification of EEG features in Stroke Patients based on Common Spatial Pattern and Sparse Representation Classification,” pp. 114–117, 2017.</w:t>
      </w:r>
    </w:p>
    <w:p w14:paraId="74324C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[82]</w:t>
      </w:r>
      <w:r w:rsidRPr="00031084">
        <w:rPr>
          <w:noProof/>
          <w:sz w:val="24"/>
          <w:szCs w:val="24"/>
          <w:lang w:val="en-US"/>
        </w:rPr>
        <w:tab/>
        <w:t xml:space="preserve">Encyclopedia, </w:t>
      </w:r>
      <w:r w:rsidRPr="00031084">
        <w:rPr>
          <w:i/>
          <w:iCs/>
          <w:noProof/>
          <w:sz w:val="24"/>
          <w:szCs w:val="24"/>
          <w:lang w:val="en-US"/>
        </w:rPr>
        <w:t>Medical Devices and Human Engineering</w:t>
      </w:r>
      <w:r w:rsidRPr="00031084">
        <w:rPr>
          <w:noProof/>
          <w:sz w:val="24"/>
          <w:szCs w:val="24"/>
          <w:lang w:val="en-US"/>
        </w:rPr>
        <w:t>, vol. 5. 2006.</w:t>
      </w:r>
    </w:p>
    <w:p w14:paraId="48AD581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[83]</w:t>
      </w:r>
      <w:r w:rsidRPr="00031084">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031084">
        <w:rPr>
          <w:i/>
          <w:iCs/>
          <w:noProof/>
          <w:sz w:val="24"/>
          <w:szCs w:val="24"/>
          <w:lang w:val="en-US"/>
        </w:rPr>
        <w:t>Clin. Neurophysiol.</w:t>
      </w:r>
      <w:r w:rsidRPr="00031084">
        <w:rPr>
          <w:noProof/>
          <w:sz w:val="24"/>
          <w:szCs w:val="24"/>
          <w:lang w:val="en-US"/>
        </w:rPr>
        <w:t>, vol. 120, no. 6, pp. 1039–1045, 2009.</w:t>
      </w:r>
    </w:p>
    <w:p w14:paraId="3D18330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[84]</w:t>
      </w:r>
      <w:r w:rsidRPr="00031084">
        <w:rPr>
          <w:noProof/>
          <w:sz w:val="24"/>
          <w:szCs w:val="24"/>
          <w:lang w:val="en-US"/>
        </w:rPr>
        <w:tab/>
        <w:t xml:space="preserve">A. Mora-Cortes, K. R. Ridderinkhof, and M. X. Cohen, “Evaluating the feasibility of the steady-state visual evoked potential (SSVEP) to study temporal attention,” </w:t>
      </w:r>
      <w:r w:rsidRPr="00031084">
        <w:rPr>
          <w:i/>
          <w:iCs/>
          <w:noProof/>
          <w:sz w:val="24"/>
          <w:szCs w:val="24"/>
          <w:lang w:val="en-US"/>
        </w:rPr>
        <w:t>Psychophysiology</w:t>
      </w:r>
      <w:r w:rsidRPr="00031084">
        <w:rPr>
          <w:noProof/>
          <w:sz w:val="24"/>
          <w:szCs w:val="24"/>
          <w:lang w:val="en-US"/>
        </w:rPr>
        <w:t>, no. June, 2017.</w:t>
      </w:r>
    </w:p>
    <w:p w14:paraId="64699B5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[85]</w:t>
      </w:r>
      <w:r w:rsidRPr="00031084">
        <w:rPr>
          <w:noProof/>
          <w:sz w:val="24"/>
          <w:szCs w:val="24"/>
          <w:lang w:val="en-US"/>
        </w:rPr>
        <w:tab/>
        <w:t xml:space="preserve">X. Gao, D. Xu, M. Cheng, and S. Gao, “A BCI-based environmental controller for the motion-disabled,” </w:t>
      </w:r>
      <w:r w:rsidRPr="00031084">
        <w:rPr>
          <w:i/>
          <w:iCs/>
          <w:noProof/>
          <w:sz w:val="24"/>
          <w:szCs w:val="24"/>
          <w:lang w:val="en-US"/>
        </w:rPr>
        <w:t>IEEE Trans. Neural Syst. Rehabil. Eng.</w:t>
      </w:r>
      <w:r w:rsidRPr="00031084">
        <w:rPr>
          <w:noProof/>
          <w:sz w:val="24"/>
          <w:szCs w:val="24"/>
          <w:lang w:val="en-US"/>
        </w:rPr>
        <w:t>, vol. 11, no. 2, pp. 137–140, 2003.</w:t>
      </w:r>
    </w:p>
    <w:p w14:paraId="4279E4C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[86]</w:t>
      </w:r>
      <w:r w:rsidRPr="00031084">
        <w:rPr>
          <w:noProof/>
          <w:sz w:val="24"/>
          <w:szCs w:val="24"/>
          <w:lang w:val="en-US"/>
        </w:rPr>
        <w:tab/>
        <w:t xml:space="preserve">A. M. Norcia, L. G. G. Appelbaum, J. M. J. M. Ales, B. R. B. R. Cottereau, and B. Rossion, “The steady-state visual evoked potential in vision research: a review,” </w:t>
      </w:r>
      <w:r w:rsidRPr="00031084">
        <w:rPr>
          <w:i/>
          <w:iCs/>
          <w:noProof/>
          <w:sz w:val="24"/>
          <w:szCs w:val="24"/>
          <w:lang w:val="en-US"/>
        </w:rPr>
        <w:t>J. Vis.</w:t>
      </w:r>
      <w:r w:rsidRPr="00031084">
        <w:rPr>
          <w:noProof/>
          <w:sz w:val="24"/>
          <w:szCs w:val="24"/>
          <w:lang w:val="en-US"/>
        </w:rPr>
        <w:t>, vol. 15, no. 6, p. 4, 2015.</w:t>
      </w:r>
    </w:p>
    <w:p w14:paraId="594A5D4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[87]</w:t>
      </w:r>
      <w:r w:rsidRPr="00031084">
        <w:rPr>
          <w:noProof/>
          <w:sz w:val="24"/>
          <w:szCs w:val="24"/>
          <w:lang w:val="en-US"/>
        </w:rPr>
        <w:tab/>
        <w:t xml:space="preserve">Y. Wang, X. Gao, B. Hong, C. Jia, and S. Gao, “Brain-Computer Interfaces Based on Visual Evoked Potentials,” </w:t>
      </w:r>
      <w:r w:rsidRPr="00031084">
        <w:rPr>
          <w:i/>
          <w:iCs/>
          <w:noProof/>
          <w:sz w:val="24"/>
          <w:szCs w:val="24"/>
          <w:lang w:val="en-US"/>
        </w:rPr>
        <w:t>Ieee Eng. Med. Biol. Mag.</w:t>
      </w:r>
      <w:r w:rsidRPr="00031084">
        <w:rPr>
          <w:noProof/>
          <w:sz w:val="24"/>
          <w:szCs w:val="24"/>
          <w:lang w:val="en-US"/>
        </w:rPr>
        <w:t>, vol. 27, no. 5, pp. 64–71, 2008.</w:t>
      </w:r>
    </w:p>
    <w:p w14:paraId="14E9C62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[88]</w:t>
      </w:r>
      <w:r w:rsidRPr="00031084">
        <w:rPr>
          <w:noProof/>
          <w:sz w:val="24"/>
          <w:szCs w:val="24"/>
          <w:lang w:val="en-US"/>
        </w:rPr>
        <w:tab/>
        <w:t xml:space="preserve">J. A. G. Heckenlively, </w:t>
      </w:r>
      <w:r w:rsidRPr="00031084">
        <w:rPr>
          <w:i/>
          <w:iCs/>
          <w:noProof/>
          <w:sz w:val="24"/>
          <w:szCs w:val="24"/>
          <w:lang w:val="en-US"/>
        </w:rPr>
        <w:t xml:space="preserve">Principles and practice of clinical electrophysiology of </w:t>
      </w:r>
      <w:r w:rsidRPr="00031084">
        <w:rPr>
          <w:i/>
          <w:iCs/>
          <w:noProof/>
          <w:sz w:val="24"/>
          <w:szCs w:val="24"/>
          <w:lang w:val="en-US"/>
        </w:rPr>
        <w:lastRenderedPageBreak/>
        <w:t>vision.</w:t>
      </w:r>
      <w:r w:rsidRPr="00031084">
        <w:rPr>
          <w:noProof/>
          <w:sz w:val="24"/>
          <w:szCs w:val="24"/>
          <w:lang w:val="en-US"/>
        </w:rPr>
        <w:t xml:space="preserve"> 2006.</w:t>
      </w:r>
    </w:p>
    <w:p w14:paraId="6763EA6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[89]</w:t>
      </w:r>
      <w:r w:rsidRPr="00031084">
        <w:rPr>
          <w:noProof/>
          <w:sz w:val="24"/>
          <w:szCs w:val="24"/>
          <w:lang w:val="en-US"/>
        </w:rPr>
        <w:tab/>
        <w:t xml:space="preserve">S. J. Leat, L. M. Head, and E. L. Irving, “Effects of sweep VEP parameters on visual acuity and contrast thresholds in children and adults,” </w:t>
      </w:r>
      <w:r w:rsidRPr="00031084">
        <w:rPr>
          <w:i/>
          <w:iCs/>
          <w:noProof/>
          <w:sz w:val="24"/>
          <w:szCs w:val="24"/>
          <w:lang w:val="en-US"/>
        </w:rPr>
        <w:t>Graefes Arch Clin Exp Ophthalmol</w:t>
      </w:r>
      <w:r w:rsidRPr="00031084">
        <w:rPr>
          <w:noProof/>
          <w:sz w:val="24"/>
          <w:szCs w:val="24"/>
          <w:lang w:val="en-US"/>
        </w:rPr>
        <w:t>, pp. 613–623, 2011.</w:t>
      </w:r>
    </w:p>
    <w:p w14:paraId="7F249DF9"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[90]</w:t>
      </w:r>
      <w:r w:rsidRPr="00031084">
        <w:rPr>
          <w:noProof/>
          <w:sz w:val="24"/>
          <w:szCs w:val="24"/>
          <w:lang w:val="en-US"/>
        </w:rPr>
        <w:tab/>
        <w:t xml:space="preserve">N. V. T. Shanbao Tong, </w:t>
      </w:r>
      <w:r w:rsidRPr="00031084">
        <w:rPr>
          <w:i/>
          <w:iCs/>
          <w:noProof/>
          <w:sz w:val="24"/>
          <w:szCs w:val="24"/>
          <w:lang w:val="en-US"/>
        </w:rPr>
        <w:t>Quantative EEG Analysis Methods and Clinical Applications</w:t>
      </w:r>
      <w:r w:rsidRPr="00031084">
        <w:rPr>
          <w:noProof/>
          <w:sz w:val="24"/>
          <w:szCs w:val="24"/>
          <w:lang w:val="en-US"/>
        </w:rPr>
        <w:t>. 2009.</w:t>
      </w:r>
    </w:p>
    <w:p w14:paraId="3ACD65E0"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[91]</w:t>
      </w:r>
      <w:r w:rsidRPr="00031084">
        <w:rPr>
          <w:noProof/>
          <w:sz w:val="24"/>
          <w:szCs w:val="24"/>
          <w:lang w:val="en-US"/>
        </w:rPr>
        <w:tab/>
        <w:t xml:space="preserve">S. Stathopoulou, “EEG Changes in Traumatic Brain Injured Patients After Cognitive Rehabilitation,” </w:t>
      </w:r>
      <w:r w:rsidRPr="00031084">
        <w:rPr>
          <w:i/>
          <w:iCs/>
          <w:noProof/>
          <w:sz w:val="24"/>
          <w:szCs w:val="24"/>
          <w:lang w:val="en-US"/>
        </w:rPr>
        <w:t>J. Neurother.</w:t>
      </w:r>
      <w:r w:rsidRPr="00031084">
        <w:rPr>
          <w:noProof/>
          <w:sz w:val="24"/>
          <w:szCs w:val="24"/>
          <w:lang w:val="en-US"/>
        </w:rPr>
        <w:t>, vol. 8, no. 2.</w:t>
      </w:r>
    </w:p>
    <w:p w14:paraId="74CA052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[92]</w:t>
      </w:r>
      <w:r w:rsidRPr="00031084">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031084">
        <w:rPr>
          <w:i/>
          <w:iCs/>
          <w:noProof/>
          <w:sz w:val="24"/>
          <w:szCs w:val="24"/>
          <w:lang w:val="en-US"/>
        </w:rPr>
        <w:t>J Neurosurg</w:t>
      </w:r>
      <w:r w:rsidRPr="00031084">
        <w:rPr>
          <w:noProof/>
          <w:sz w:val="24"/>
          <w:szCs w:val="24"/>
          <w:lang w:val="en-US"/>
        </w:rPr>
        <w:t>, vol. 97, pp. 84–92, 2002.</w:t>
      </w:r>
    </w:p>
    <w:p w14:paraId="0533E3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[93]</w:t>
      </w:r>
      <w:r w:rsidRPr="00031084">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031084">
        <w:rPr>
          <w:i/>
          <w:iCs/>
          <w:noProof/>
          <w:sz w:val="24"/>
          <w:szCs w:val="24"/>
          <w:lang w:val="en-US"/>
        </w:rPr>
        <w:t>Clin. Neurophysiol.</w:t>
      </w:r>
      <w:r w:rsidRPr="00031084">
        <w:rPr>
          <w:noProof/>
          <w:sz w:val="24"/>
          <w:szCs w:val="24"/>
          <w:lang w:val="en-US"/>
        </w:rPr>
        <w:t>, vol. 115, no. 6, pp. 1332–1339, 2004.</w:t>
      </w:r>
    </w:p>
    <w:p w14:paraId="32AAE8E2"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[94]</w:t>
      </w:r>
      <w:r w:rsidRPr="00031084">
        <w:rPr>
          <w:noProof/>
          <w:sz w:val="24"/>
          <w:szCs w:val="24"/>
          <w:lang w:val="en-US"/>
        </w:rPr>
        <w:tab/>
        <w:t xml:space="preserve">C. J. Stam and B. W. Van Dijk, “Synchronization likelihood: An unbiased measure of generalized synchronization in multivariate data sets,” </w:t>
      </w:r>
      <w:r w:rsidRPr="00031084">
        <w:rPr>
          <w:i/>
          <w:iCs/>
          <w:noProof/>
          <w:sz w:val="24"/>
          <w:szCs w:val="24"/>
          <w:lang w:val="en-US"/>
        </w:rPr>
        <w:t>Phys. D Nonlinear Phenom.</w:t>
      </w:r>
      <w:r w:rsidRPr="00031084">
        <w:rPr>
          <w:noProof/>
          <w:sz w:val="24"/>
          <w:szCs w:val="24"/>
          <w:lang w:val="en-US"/>
        </w:rPr>
        <w:t>, vol. 163, no. 3–4, pp. 236–251, 2002.</w:t>
      </w:r>
    </w:p>
    <w:p w14:paraId="61B501F6"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[95]</w:t>
      </w:r>
      <w:r w:rsidRPr="00031084">
        <w:rPr>
          <w:noProof/>
          <w:sz w:val="24"/>
          <w:szCs w:val="24"/>
          <w:lang w:val="en-US"/>
        </w:rPr>
        <w:tab/>
        <w:t xml:space="preserve">J. T. Lizier, M. Prokopenko, and A. Y. Zomaya, “Local measures of information storage in complex distributed computation,” </w:t>
      </w:r>
      <w:r w:rsidRPr="00031084">
        <w:rPr>
          <w:i/>
          <w:iCs/>
          <w:noProof/>
          <w:sz w:val="24"/>
          <w:szCs w:val="24"/>
          <w:lang w:val="en-US"/>
        </w:rPr>
        <w:t>Inf. Sci. (Ny).</w:t>
      </w:r>
      <w:r w:rsidRPr="00031084">
        <w:rPr>
          <w:noProof/>
          <w:sz w:val="24"/>
          <w:szCs w:val="24"/>
          <w:lang w:val="en-US"/>
        </w:rPr>
        <w:t>, vol. 208, pp. 39–54, 2012.</w:t>
      </w:r>
    </w:p>
    <w:p w14:paraId="78192EBA"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[96]</w:t>
      </w:r>
      <w:r w:rsidRPr="00031084">
        <w:rPr>
          <w:noProof/>
          <w:sz w:val="24"/>
          <w:szCs w:val="24"/>
          <w:lang w:val="en-US"/>
        </w:rPr>
        <w:tab/>
        <w:t xml:space="preserve">“OpenBCI shop,” </w:t>
      </w:r>
      <w:r w:rsidRPr="00031084">
        <w:rPr>
          <w:i/>
          <w:iCs/>
          <w:noProof/>
          <w:sz w:val="24"/>
          <w:szCs w:val="24"/>
          <w:lang w:val="en-US"/>
        </w:rPr>
        <w:t>https://shop.openbci.com/products/cyton-biosensing-board-8-channel?variant=38958638542</w:t>
      </w:r>
      <w:r w:rsidRPr="00031084">
        <w:rPr>
          <w:noProof/>
          <w:sz w:val="24"/>
          <w:szCs w:val="24"/>
          <w:lang w:val="en-US"/>
        </w:rPr>
        <w:t>. .</w:t>
      </w:r>
    </w:p>
    <w:p w14:paraId="79229924"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[97]</w:t>
      </w:r>
      <w:r w:rsidRPr="00031084">
        <w:rPr>
          <w:noProof/>
          <w:sz w:val="24"/>
          <w:szCs w:val="24"/>
          <w:lang w:val="en-US"/>
        </w:rPr>
        <w:tab/>
        <w:t xml:space="preserve">W. H. Ridder, I. I. I. Anna, and T. Floresca, “Reliability of acuities determined with the sweep visual evoked potential ( sVEP ),” </w:t>
      </w:r>
      <w:r w:rsidRPr="00031084">
        <w:rPr>
          <w:i/>
          <w:iCs/>
          <w:noProof/>
          <w:sz w:val="24"/>
          <w:szCs w:val="24"/>
          <w:lang w:val="en-US"/>
        </w:rPr>
        <w:t>Doc Ophthalmol</w:t>
      </w:r>
      <w:r w:rsidRPr="00031084">
        <w:rPr>
          <w:noProof/>
          <w:sz w:val="24"/>
          <w:szCs w:val="24"/>
          <w:lang w:val="en-US"/>
        </w:rPr>
        <w:t>, pp. 99–107, 2012.</w:t>
      </w:r>
    </w:p>
    <w:p w14:paraId="3F59F8C8"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[98]</w:t>
      </w:r>
      <w:r w:rsidRPr="00031084">
        <w:rPr>
          <w:noProof/>
          <w:sz w:val="24"/>
          <w:szCs w:val="24"/>
          <w:lang w:val="en-US"/>
        </w:rPr>
        <w:tab/>
        <w:t xml:space="preserve">J. M. L. De Faria, O. Katsumi, M. Arai, and T. Hirose, “Objective measurement of contrast sensitivity function using contrast sweep visual evoked responses,” </w:t>
      </w:r>
      <w:r w:rsidRPr="00031084">
        <w:rPr>
          <w:i/>
          <w:iCs/>
          <w:noProof/>
          <w:sz w:val="24"/>
          <w:szCs w:val="24"/>
          <w:lang w:val="en-US"/>
        </w:rPr>
        <w:t>Br. J. Ophthalmol.</w:t>
      </w:r>
      <w:r w:rsidRPr="00031084">
        <w:rPr>
          <w:noProof/>
          <w:sz w:val="24"/>
          <w:szCs w:val="24"/>
          <w:lang w:val="en-US"/>
        </w:rPr>
        <w:t>, pp. 168–173, 1998.</w:t>
      </w:r>
    </w:p>
    <w:p w14:paraId="79A9F07D"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[99]</w:t>
      </w:r>
      <w:r w:rsidRPr="00031084">
        <w:rPr>
          <w:noProof/>
          <w:sz w:val="24"/>
          <w:szCs w:val="24"/>
          <w:lang w:val="en-US"/>
        </w:rPr>
        <w:tab/>
        <w:t xml:space="preserve">A. M. Skoczenski and A. M. Norcia, “Development of VEP Vernier Acuity and Grating Acuity in Human Infants,” </w:t>
      </w:r>
      <w:r w:rsidRPr="00031084">
        <w:rPr>
          <w:i/>
          <w:iCs/>
          <w:noProof/>
          <w:sz w:val="24"/>
          <w:szCs w:val="24"/>
          <w:lang w:val="en-US"/>
        </w:rPr>
        <w:t>Invest. Ophthalmol. Vis. Sci.</w:t>
      </w:r>
      <w:r w:rsidRPr="00031084">
        <w:rPr>
          <w:noProof/>
          <w:sz w:val="24"/>
          <w:szCs w:val="24"/>
          <w:lang w:val="en-US"/>
        </w:rPr>
        <w:t>, 2018.</w:t>
      </w:r>
    </w:p>
    <w:p w14:paraId="077BD177"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[100]</w:t>
      </w:r>
      <w:r w:rsidRPr="00031084">
        <w:rPr>
          <w:noProof/>
          <w:sz w:val="24"/>
          <w:szCs w:val="24"/>
          <w:lang w:val="en-US"/>
        </w:rPr>
        <w:tab/>
        <w:t xml:space="preserve">C. Hou, W. V Good, and A. M. Norcia, “Detection of Amblyopia Using Sweep VEP Vernier and Grating Acuity,” </w:t>
      </w:r>
      <w:r w:rsidRPr="00031084">
        <w:rPr>
          <w:i/>
          <w:iCs/>
          <w:noProof/>
          <w:sz w:val="24"/>
          <w:szCs w:val="24"/>
          <w:lang w:val="en-US"/>
        </w:rPr>
        <w:t>Investig. Ophthalmol. Vis. Sci.</w:t>
      </w:r>
      <w:r w:rsidRPr="00031084">
        <w:rPr>
          <w:noProof/>
          <w:sz w:val="24"/>
          <w:szCs w:val="24"/>
          <w:lang w:val="en-US"/>
        </w:rPr>
        <w:t>, 2018.</w:t>
      </w:r>
    </w:p>
    <w:p w14:paraId="341F84FE"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[101]</w:t>
      </w:r>
      <w:r w:rsidRPr="00031084">
        <w:rPr>
          <w:noProof/>
          <w:sz w:val="24"/>
          <w:szCs w:val="24"/>
          <w:lang w:val="en-US"/>
        </w:rPr>
        <w:tab/>
        <w:t xml:space="preserve">A. L. Ely </w:t>
      </w:r>
      <w:r w:rsidRPr="00031084">
        <w:rPr>
          <w:i/>
          <w:iCs/>
          <w:noProof/>
          <w:sz w:val="24"/>
          <w:szCs w:val="24"/>
          <w:lang w:val="en-US"/>
        </w:rPr>
        <w:t>et al.</w:t>
      </w:r>
      <w:r w:rsidRPr="00031084">
        <w:rPr>
          <w:noProof/>
          <w:sz w:val="24"/>
          <w:szCs w:val="24"/>
          <w:lang w:val="en-US"/>
        </w:rPr>
        <w:t xml:space="preserve">, “Degradation of Swept-Parameter VEP Responses by Neutral Density Filters in Amblyopic and Normal Subjects,” </w:t>
      </w:r>
      <w:r w:rsidRPr="00031084">
        <w:rPr>
          <w:i/>
          <w:iCs/>
          <w:noProof/>
          <w:sz w:val="24"/>
          <w:szCs w:val="24"/>
          <w:lang w:val="en-US"/>
        </w:rPr>
        <w:t>Investig. opthalmology Vis. Sci.</w:t>
      </w:r>
      <w:r w:rsidRPr="00031084">
        <w:rPr>
          <w:noProof/>
          <w:sz w:val="24"/>
          <w:szCs w:val="24"/>
          <w:lang w:val="en-US"/>
        </w:rPr>
        <w:t>, 2018.</w:t>
      </w:r>
    </w:p>
    <w:p w14:paraId="383DD80B"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[102]</w:t>
      </w:r>
      <w:r w:rsidRPr="00031084">
        <w:rPr>
          <w:noProof/>
          <w:sz w:val="24"/>
          <w:szCs w:val="24"/>
          <w:lang w:val="en-US"/>
        </w:rPr>
        <w:tab/>
        <w:t xml:space="preserve">H. Ja, “A comparison of the performance of three visual evoked potential-based methods to estimate visual acuity,” </w:t>
      </w:r>
      <w:r w:rsidRPr="00031084">
        <w:rPr>
          <w:i/>
          <w:iCs/>
          <w:noProof/>
          <w:sz w:val="24"/>
          <w:szCs w:val="24"/>
          <w:lang w:val="en-US"/>
        </w:rPr>
        <w:t>Doc Ophthalmol</w:t>
      </w:r>
      <w:r w:rsidRPr="00031084">
        <w:rPr>
          <w:noProof/>
          <w:sz w:val="24"/>
          <w:szCs w:val="24"/>
          <w:lang w:val="en-US"/>
        </w:rPr>
        <w:t>, pp. 45–56, 2013.</w:t>
      </w:r>
    </w:p>
    <w:p w14:paraId="3795FAAF"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[103]</w:t>
      </w:r>
      <w:r w:rsidRPr="00031084">
        <w:rPr>
          <w:noProof/>
          <w:sz w:val="24"/>
          <w:szCs w:val="24"/>
          <w:lang w:val="en-US"/>
        </w:rPr>
        <w:tab/>
        <w:t>E. M. Santos, E. K. Gnang, and E. Kowler, “Anticipatory smooth eye movements with random-dot kinematograms,” vol. 12, pp. 1–20, 2012.</w:t>
      </w:r>
    </w:p>
    <w:p w14:paraId="0FBED981" w14:textId="77777777" w:rsidR="000464A3" w:rsidRPr="00031084" w:rsidRDefault="000464A3" w:rsidP="000464A3">
      <w:pPr>
        <w:widowControl w:val="0"/>
        <w:autoSpaceDE w:val="0"/>
        <w:autoSpaceDN w:val="0"/>
        <w:adjustRightInd w:val="0"/>
        <w:spacing w:line="240" w:lineRule="auto"/>
        <w:ind w:left="640" w:hanging="640"/>
        <w:rPr>
          <w:noProof/>
          <w:sz w:val="24"/>
          <w:szCs w:val="24"/>
          <w:lang w:val="en-US"/>
        </w:rPr>
      </w:pPr>
      <w:r w:rsidRPr="00031084">
        <w:rPr>
          <w:noProof/>
          <w:sz w:val="24"/>
          <w:szCs w:val="24"/>
          <w:lang w:val="en-US"/>
        </w:rPr>
        <w:t>[104]</w:t>
      </w:r>
      <w:r w:rsidRPr="00031084">
        <w:rPr>
          <w:noProof/>
          <w:sz w:val="24"/>
          <w:szCs w:val="24"/>
          <w:lang w:val="en-US"/>
        </w:rPr>
        <w:tab/>
        <w:t>R. J. Barry, A. R. Clarke, S. J. Johnstone, C. A. Magee, and J. A. Rushby, “EEG differences between eyes-closed and eyes-open resting conditions,” vol. 118, pp. 2765–2773, 2007.</w:t>
      </w:r>
    </w:p>
    <w:p w14:paraId="27AAD9BF" w14:textId="77777777" w:rsidR="000464A3" w:rsidRPr="000464A3" w:rsidRDefault="000464A3" w:rsidP="000464A3">
      <w:pPr>
        <w:widowControl w:val="0"/>
        <w:autoSpaceDE w:val="0"/>
        <w:autoSpaceDN w:val="0"/>
        <w:adjustRightInd w:val="0"/>
        <w:spacing w:line="240" w:lineRule="auto"/>
        <w:ind w:left="640" w:hanging="640"/>
        <w:rPr>
          <w:noProof/>
          <w:sz w:val="24"/>
        </w:rPr>
      </w:pPr>
      <w:r w:rsidRPr="00031084">
        <w:rPr>
          <w:noProof/>
          <w:sz w:val="24"/>
          <w:szCs w:val="24"/>
          <w:lang w:val="en-US"/>
        </w:rPr>
        <w:t>[105]</w:t>
      </w:r>
      <w:r w:rsidRPr="00031084">
        <w:rPr>
          <w:noProof/>
          <w:sz w:val="24"/>
          <w:szCs w:val="24"/>
          <w:lang w:val="en-US"/>
        </w:rPr>
        <w:tab/>
        <w:t xml:space="preserve">L. Li, “The Differences among Eyes-closed , Eyes-open and Attention States : An EEG Study,” no. </w:t>
      </w:r>
      <w:r w:rsidRPr="000464A3">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lastRenderedPageBreak/>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193100">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63" w:name="_Toc22095193"/>
      <w:r w:rsidR="00487240" w:rsidRPr="002A063A">
        <w:rPr>
          <w:rFonts w:eastAsia="Helvetica Neue"/>
          <w:b/>
          <w:sz w:val="24"/>
          <w:szCs w:val="24"/>
          <w:highlight w:val="white"/>
          <w:lang w:val="en-US"/>
        </w:rPr>
        <w:t>Supplementary material</w:t>
      </w:r>
      <w:bookmarkEnd w:id="63"/>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A07AF2">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A07AF2">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A07AF2">
        <w:trPr>
          <w:trHeight w:val="519"/>
          <w:jc w:val="center"/>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F705B7" w:rsidP="00A9581B">
      <w:pPr>
        <w:rPr>
          <w:sz w:val="24"/>
          <w:szCs w:val="24"/>
          <w:highlight w:val="yellow"/>
          <w:lang w:val="en-US"/>
        </w:rPr>
      </w:pPr>
      <w:hyperlink r:id="rId60"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F705B7" w:rsidP="00A9581B">
      <w:pPr>
        <w:rPr>
          <w:lang w:val="en-US"/>
        </w:rPr>
      </w:pPr>
      <w:hyperlink r:id="rId61" w:history="1">
        <w:r w:rsidR="00A9581B" w:rsidRPr="002A063A">
          <w:rPr>
            <w:rStyle w:val="Hipervnculo"/>
            <w:color w:val="auto"/>
            <w:lang w:val="en-US"/>
          </w:rPr>
          <w:t>http://fourier.eng.hmc.edu/e180/lectures/v1/node7.html</w:t>
        </w:r>
      </w:hyperlink>
    </w:p>
    <w:p w14:paraId="62BBB5BD" w14:textId="77777777" w:rsidR="00A9581B" w:rsidRPr="002A063A" w:rsidRDefault="00F705B7" w:rsidP="00A9581B">
      <w:hyperlink r:id="rId62"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F705B7" w:rsidP="00A9581B">
      <w:pPr>
        <w:rPr>
          <w:lang w:val="en-US"/>
        </w:rPr>
      </w:pPr>
      <w:hyperlink r:id="rId64"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F705B7" w:rsidP="00A9581B">
      <w:pPr>
        <w:rPr>
          <w:lang w:val="en-US"/>
        </w:rPr>
      </w:pPr>
      <w:hyperlink r:id="rId65"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6"/>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29B19" w14:textId="77777777" w:rsidR="00541434" w:rsidRDefault="00541434" w:rsidP="00733246">
      <w:pPr>
        <w:spacing w:line="240" w:lineRule="auto"/>
      </w:pPr>
      <w:r>
        <w:separator/>
      </w:r>
    </w:p>
  </w:endnote>
  <w:endnote w:type="continuationSeparator" w:id="0">
    <w:p w14:paraId="605E5D08" w14:textId="77777777" w:rsidR="00541434" w:rsidRDefault="00541434"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F705B7" w:rsidRDefault="00F705B7">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5B816" w14:textId="77777777" w:rsidR="00541434" w:rsidRDefault="00541434" w:rsidP="00733246">
      <w:pPr>
        <w:spacing w:line="240" w:lineRule="auto"/>
      </w:pPr>
      <w:r>
        <w:separator/>
      </w:r>
    </w:p>
  </w:footnote>
  <w:footnote w:type="continuationSeparator" w:id="0">
    <w:p w14:paraId="3C00B795" w14:textId="77777777" w:rsidR="00541434" w:rsidRDefault="00541434"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4DEB"/>
    <w:rsid w:val="00115158"/>
    <w:rsid w:val="00125CCF"/>
    <w:rsid w:val="00127C97"/>
    <w:rsid w:val="001302D7"/>
    <w:rsid w:val="00130455"/>
    <w:rsid w:val="00130EDF"/>
    <w:rsid w:val="00131E6B"/>
    <w:rsid w:val="001405A6"/>
    <w:rsid w:val="001430AC"/>
    <w:rsid w:val="00144319"/>
    <w:rsid w:val="00146D6E"/>
    <w:rsid w:val="00150C0F"/>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722"/>
    <w:rsid w:val="001D0FC7"/>
    <w:rsid w:val="001D1BA3"/>
    <w:rsid w:val="001D1CAF"/>
    <w:rsid w:val="001D460A"/>
    <w:rsid w:val="001D5DA3"/>
    <w:rsid w:val="001D6FFA"/>
    <w:rsid w:val="001D76F6"/>
    <w:rsid w:val="001D774A"/>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E14AC"/>
    <w:rsid w:val="002E555E"/>
    <w:rsid w:val="002E5A4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6F89"/>
    <w:rsid w:val="00350051"/>
    <w:rsid w:val="00350745"/>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650"/>
    <w:rsid w:val="003F24AB"/>
    <w:rsid w:val="003F427E"/>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714B"/>
    <w:rsid w:val="004671B1"/>
    <w:rsid w:val="00470576"/>
    <w:rsid w:val="00470DEE"/>
    <w:rsid w:val="004710C5"/>
    <w:rsid w:val="00476825"/>
    <w:rsid w:val="00477C8A"/>
    <w:rsid w:val="00481526"/>
    <w:rsid w:val="0048161A"/>
    <w:rsid w:val="00483760"/>
    <w:rsid w:val="00487240"/>
    <w:rsid w:val="00487D67"/>
    <w:rsid w:val="00487DB5"/>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2621"/>
    <w:rsid w:val="004F77D8"/>
    <w:rsid w:val="005009BA"/>
    <w:rsid w:val="00501333"/>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5B15"/>
    <w:rsid w:val="00541434"/>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45A0"/>
    <w:rsid w:val="006F65AC"/>
    <w:rsid w:val="006F707E"/>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CE3"/>
    <w:rsid w:val="00770A8C"/>
    <w:rsid w:val="0077317D"/>
    <w:rsid w:val="00776EBA"/>
    <w:rsid w:val="007777A5"/>
    <w:rsid w:val="00777C68"/>
    <w:rsid w:val="00780768"/>
    <w:rsid w:val="00780E5D"/>
    <w:rsid w:val="00786A43"/>
    <w:rsid w:val="00787065"/>
    <w:rsid w:val="007874EE"/>
    <w:rsid w:val="00791418"/>
    <w:rsid w:val="0079277D"/>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44B9"/>
    <w:rsid w:val="00896729"/>
    <w:rsid w:val="0089719B"/>
    <w:rsid w:val="008A0410"/>
    <w:rsid w:val="008A1617"/>
    <w:rsid w:val="008A4118"/>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4214"/>
    <w:rsid w:val="00AF511E"/>
    <w:rsid w:val="00B004DC"/>
    <w:rsid w:val="00B01A42"/>
    <w:rsid w:val="00B05B12"/>
    <w:rsid w:val="00B06755"/>
    <w:rsid w:val="00B10F70"/>
    <w:rsid w:val="00B23BA4"/>
    <w:rsid w:val="00B24100"/>
    <w:rsid w:val="00B245A7"/>
    <w:rsid w:val="00B259CB"/>
    <w:rsid w:val="00B259FA"/>
    <w:rsid w:val="00B34282"/>
    <w:rsid w:val="00B3708C"/>
    <w:rsid w:val="00B37186"/>
    <w:rsid w:val="00B3773F"/>
    <w:rsid w:val="00B40032"/>
    <w:rsid w:val="00B444FE"/>
    <w:rsid w:val="00B46F23"/>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1B6"/>
    <w:rsid w:val="00BD0B50"/>
    <w:rsid w:val="00BE02F0"/>
    <w:rsid w:val="00BE4681"/>
    <w:rsid w:val="00BE477E"/>
    <w:rsid w:val="00BF0A91"/>
    <w:rsid w:val="00BF131C"/>
    <w:rsid w:val="00BF212B"/>
    <w:rsid w:val="00BF33CC"/>
    <w:rsid w:val="00BF4C40"/>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4836"/>
    <w:rsid w:val="00C849BC"/>
    <w:rsid w:val="00C8531A"/>
    <w:rsid w:val="00C921BE"/>
    <w:rsid w:val="00CA0395"/>
    <w:rsid w:val="00CA12F2"/>
    <w:rsid w:val="00CA19E5"/>
    <w:rsid w:val="00CA244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4D33"/>
    <w:rsid w:val="00D7607F"/>
    <w:rsid w:val="00D76325"/>
    <w:rsid w:val="00D76AB2"/>
    <w:rsid w:val="00D77106"/>
    <w:rsid w:val="00D778EF"/>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hyperlink" Target="https://github.com/danni9310/Thesis_group_1"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fourier.eng.hmc.edu/e180/lectures/v1/node7.html" TargetMode="Externa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hyperlink" Target="https://github.com/danni9310/Thesis_group_2" TargetMode="External"/><Relationship Id="rId56" Type="http://schemas.openxmlformats.org/officeDocument/2006/relationships/image" Target="media/image36.png"/><Relationship Id="rId64" Type="http://schemas.openxmlformats.org/officeDocument/2006/relationships/hyperlink" Target="https://mlsauce.wordpress.com/2018/06/12/simple-and-complex-cells-in-the-visual-cortex-inspiring-the-sauce/" TargetMode="External"/><Relationship Id="rId8" Type="http://schemas.openxmlformats.org/officeDocument/2006/relationships/hyperlink" Target="mailto:john.ochoa@udea.edu.co" TargetMode="Externa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slideplayer.com/slide/98319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s://github.com/danni9310/Thesis_stimuli" TargetMode="External"/><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hyperlink" Target="http://wiki.bethanycrane.com/introducingtheeye" TargetMode="External"/><Relationship Id="rId65" Type="http://schemas.openxmlformats.org/officeDocument/2006/relationships/hyperlink" Target="https://www.researchgate.net/publication/277310946_Dynamic_Field_Theory_of_Visuospatial_Cognition/figures?lo=1"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A621C598-C927-44D3-903D-114EDF73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55</Pages>
  <Words>56288</Words>
  <Characters>309586</Characters>
  <Application>Microsoft Office Word</Application>
  <DocSecurity>0</DocSecurity>
  <Lines>2579</Lines>
  <Paragraphs>730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219</cp:revision>
  <cp:lastPrinted>2018-12-09T23:17:00Z</cp:lastPrinted>
  <dcterms:created xsi:type="dcterms:W3CDTF">2019-10-15T11:59:00Z</dcterms:created>
  <dcterms:modified xsi:type="dcterms:W3CDTF">2019-10-18T15:16:00Z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