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726D38">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726D38">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726D38">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726D38">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726D38">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726D38">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726D38">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726D38">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726D38">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726D38">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726D38">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726D38">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726D38">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726D38">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726D38">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726D38">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726D38">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726D38">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726D38">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726D38">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726D38">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726D38">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726D38">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726D38">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726D38">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726D38">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726D38">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726D38">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726D38">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726D38">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726D38">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726D38">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726D38">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726D38">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726D38">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726D38">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726D38">
      <w:pPr>
        <w:pStyle w:val="Tabladeilustraciones"/>
        <w:tabs>
          <w:tab w:val="right" w:leader="dot" w:pos="9019"/>
        </w:tabs>
        <w:rPr>
          <w:rFonts w:asciiTheme="minorHAnsi" w:eastAsiaTheme="minorEastAsia" w:hAnsiTheme="minorHAnsi" w:cstheme="minorBidi"/>
          <w:noProof/>
        </w:rPr>
      </w:pPr>
      <w:hyperlink w:anchor="_Toc22371257" w:history="1">
        <w:r w:rsidR="00150D2D" w:rsidRPr="00936F22">
          <w:rPr>
            <w:rStyle w:val="Hipervnculo"/>
            <w:noProof/>
            <w:lang w:val="en-US"/>
          </w:rPr>
          <w:t>Table 2. Stimuli description</w:t>
        </w:r>
        <w:r w:rsidR="00150D2D">
          <w:rPr>
            <w:noProof/>
            <w:webHidden/>
          </w:rPr>
          <w:tab/>
        </w:r>
        <w:r w:rsidR="00150D2D">
          <w:rPr>
            <w:noProof/>
            <w:webHidden/>
          </w:rPr>
          <w:fldChar w:fldCharType="begin"/>
        </w:r>
        <w:r w:rsidR="00150D2D">
          <w:rPr>
            <w:noProof/>
            <w:webHidden/>
          </w:rPr>
          <w:instrText xml:space="preserve"> PAGEREF _Toc22371257 \h </w:instrText>
        </w:r>
        <w:r w:rsidR="00150D2D">
          <w:rPr>
            <w:noProof/>
            <w:webHidden/>
          </w:rPr>
        </w:r>
        <w:r w:rsidR="00150D2D">
          <w:rPr>
            <w:noProof/>
            <w:webHidden/>
          </w:rPr>
          <w:fldChar w:fldCharType="separate"/>
        </w:r>
        <w:r w:rsidR="00150D2D">
          <w:rPr>
            <w:noProof/>
            <w:webHidden/>
          </w:rPr>
          <w:t>33</w:t>
        </w:r>
        <w:r w:rsidR="00150D2D">
          <w:rPr>
            <w:noProof/>
            <w:webHidden/>
          </w:rPr>
          <w:fldChar w:fldCharType="end"/>
        </w:r>
      </w:hyperlink>
    </w:p>
    <w:p w14:paraId="3FE696AA" w14:textId="0D2216A4" w:rsidR="00150D2D" w:rsidRDefault="00726D38">
      <w:pPr>
        <w:pStyle w:val="Tabladeilustraciones"/>
        <w:tabs>
          <w:tab w:val="right" w:leader="dot" w:pos="9019"/>
        </w:tabs>
        <w:rPr>
          <w:rFonts w:asciiTheme="minorHAnsi" w:eastAsiaTheme="minorEastAsia" w:hAnsiTheme="minorHAnsi" w:cstheme="minorBidi"/>
          <w:noProof/>
        </w:rPr>
      </w:pPr>
      <w:hyperlink w:anchor="_Toc22371258" w:history="1">
        <w:r w:rsidR="00150D2D" w:rsidRPr="00936F22">
          <w:rPr>
            <w:rStyle w:val="Hipervnculo"/>
            <w:noProof/>
            <w:lang w:val="en-US"/>
          </w:rPr>
          <w:t>Table 3. Subjects caracterization</w:t>
        </w:r>
        <w:r w:rsidR="00150D2D">
          <w:rPr>
            <w:noProof/>
            <w:webHidden/>
          </w:rPr>
          <w:tab/>
        </w:r>
        <w:r w:rsidR="00150D2D">
          <w:rPr>
            <w:noProof/>
            <w:webHidden/>
          </w:rPr>
          <w:fldChar w:fldCharType="begin"/>
        </w:r>
        <w:r w:rsidR="00150D2D">
          <w:rPr>
            <w:noProof/>
            <w:webHidden/>
          </w:rPr>
          <w:instrText xml:space="preserve"> PAGEREF _Toc22371258 \h </w:instrText>
        </w:r>
        <w:r w:rsidR="00150D2D">
          <w:rPr>
            <w:noProof/>
            <w:webHidden/>
          </w:rPr>
        </w:r>
        <w:r w:rsidR="00150D2D">
          <w:rPr>
            <w:noProof/>
            <w:webHidden/>
          </w:rPr>
          <w:fldChar w:fldCharType="separate"/>
        </w:r>
        <w:r w:rsidR="00150D2D">
          <w:rPr>
            <w:noProof/>
            <w:webHidden/>
          </w:rPr>
          <w:t>37</w:t>
        </w:r>
        <w:r w:rsidR="00150D2D">
          <w:rPr>
            <w:noProof/>
            <w:webHidden/>
          </w:rPr>
          <w:fldChar w:fldCharType="end"/>
        </w:r>
      </w:hyperlink>
    </w:p>
    <w:p w14:paraId="0C2ED340" w14:textId="73FD8F55" w:rsidR="00150D2D" w:rsidRDefault="00726D38">
      <w:pPr>
        <w:pStyle w:val="Tabladeilustraciones"/>
        <w:tabs>
          <w:tab w:val="right" w:leader="dot" w:pos="9019"/>
        </w:tabs>
        <w:rPr>
          <w:rFonts w:asciiTheme="minorHAnsi" w:eastAsiaTheme="minorEastAsia" w:hAnsiTheme="minorHAnsi" w:cstheme="minorBidi"/>
          <w:noProof/>
        </w:rPr>
      </w:pPr>
      <w:hyperlink w:anchor="_Toc22371259" w:history="1">
        <w:r w:rsidR="00150D2D" w:rsidRPr="00936F22">
          <w:rPr>
            <w:rStyle w:val="Hipervnculo"/>
            <w:noProof/>
            <w:lang w:val="en-US"/>
          </w:rPr>
          <w:t>Table 4. P-value in Mauchly's sphericity test for each stimulus (S), factor for frequency band (F) and type of vision (B, L AND R) for each group - * Significant difference</w:t>
        </w:r>
        <w:r w:rsidR="00150D2D">
          <w:rPr>
            <w:noProof/>
            <w:webHidden/>
          </w:rPr>
          <w:tab/>
        </w:r>
        <w:r w:rsidR="00150D2D">
          <w:rPr>
            <w:noProof/>
            <w:webHidden/>
          </w:rPr>
          <w:fldChar w:fldCharType="begin"/>
        </w:r>
        <w:r w:rsidR="00150D2D">
          <w:rPr>
            <w:noProof/>
            <w:webHidden/>
          </w:rPr>
          <w:instrText xml:space="preserve"> PAGEREF _Toc22371259 \h </w:instrText>
        </w:r>
        <w:r w:rsidR="00150D2D">
          <w:rPr>
            <w:noProof/>
            <w:webHidden/>
          </w:rPr>
        </w:r>
        <w:r w:rsidR="00150D2D">
          <w:rPr>
            <w:noProof/>
            <w:webHidden/>
          </w:rPr>
          <w:fldChar w:fldCharType="separate"/>
        </w:r>
        <w:r w:rsidR="00150D2D">
          <w:rPr>
            <w:noProof/>
            <w:webHidden/>
          </w:rPr>
          <w:t>39</w:t>
        </w:r>
        <w:r w:rsidR="00150D2D">
          <w:rPr>
            <w:noProof/>
            <w:webHidden/>
          </w:rPr>
          <w:fldChar w:fldCharType="end"/>
        </w:r>
      </w:hyperlink>
    </w:p>
    <w:p w14:paraId="7B6AE968" w14:textId="6CFDC0CB" w:rsidR="00150D2D" w:rsidRDefault="00726D38">
      <w:pPr>
        <w:pStyle w:val="Tabladeilustraciones"/>
        <w:tabs>
          <w:tab w:val="right" w:leader="dot" w:pos="9019"/>
        </w:tabs>
        <w:rPr>
          <w:rFonts w:asciiTheme="minorHAnsi" w:eastAsiaTheme="minorEastAsia" w:hAnsiTheme="minorHAnsi" w:cstheme="minorBidi"/>
          <w:noProof/>
        </w:rPr>
      </w:pPr>
      <w:hyperlink w:anchor="_Toc22371260" w:history="1">
        <w:r w:rsidR="00150D2D" w:rsidRPr="00936F22">
          <w:rPr>
            <w:rStyle w:val="Hipervnculo"/>
            <w:noProof/>
            <w:lang w:val="en-US"/>
          </w:rPr>
          <w:t>Table 5. P-value in Mauchly's sphericity test for each stimulus (S), factor for frequency band (F) and type of vision (B, L AND R) for mix group - *  Significant difference</w:t>
        </w:r>
        <w:r w:rsidR="00150D2D">
          <w:rPr>
            <w:noProof/>
            <w:webHidden/>
          </w:rPr>
          <w:tab/>
        </w:r>
        <w:r w:rsidR="00150D2D">
          <w:rPr>
            <w:noProof/>
            <w:webHidden/>
          </w:rPr>
          <w:fldChar w:fldCharType="begin"/>
        </w:r>
        <w:r w:rsidR="00150D2D">
          <w:rPr>
            <w:noProof/>
            <w:webHidden/>
          </w:rPr>
          <w:instrText xml:space="preserve"> PAGEREF _Toc22371260 \h </w:instrText>
        </w:r>
        <w:r w:rsidR="00150D2D">
          <w:rPr>
            <w:noProof/>
            <w:webHidden/>
          </w:rPr>
        </w:r>
        <w:r w:rsidR="00150D2D">
          <w:rPr>
            <w:noProof/>
            <w:webHidden/>
          </w:rPr>
          <w:fldChar w:fldCharType="separate"/>
        </w:r>
        <w:r w:rsidR="00150D2D">
          <w:rPr>
            <w:noProof/>
            <w:webHidden/>
          </w:rPr>
          <w:t>42</w:t>
        </w:r>
        <w:r w:rsidR="00150D2D">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726D38">
      <w:pPr>
        <w:pStyle w:val="Tabladeilustraciones"/>
        <w:tabs>
          <w:tab w:val="right" w:leader="dot" w:pos="9019"/>
        </w:tabs>
        <w:rPr>
          <w:rFonts w:asciiTheme="minorHAnsi" w:eastAsiaTheme="minorEastAsia" w:hAnsiTheme="minorHAnsi" w:cstheme="minorBidi"/>
          <w:noProof/>
        </w:rPr>
      </w:pPr>
      <w:hyperlink w:anchor="_Toc22371225" w:history="1">
        <w:r w:rsidR="00150D2D" w:rsidRPr="003D68AB">
          <w:rPr>
            <w:rStyle w:val="Hipervnculo"/>
            <w:noProof/>
            <w:lang w:val="en-US"/>
          </w:rPr>
          <w:t>Figure 2. Schematic of the dorsal and ventral processing streams. MST, medial superior temporal area; LO, lateral occipital; FFA, fusiform face area; PPA, parahippocampal place area. [30]</w:t>
        </w:r>
        <w:r w:rsidR="00150D2D">
          <w:rPr>
            <w:noProof/>
            <w:webHidden/>
          </w:rPr>
          <w:tab/>
        </w:r>
        <w:r w:rsidR="00150D2D">
          <w:rPr>
            <w:noProof/>
            <w:webHidden/>
          </w:rPr>
          <w:fldChar w:fldCharType="begin"/>
        </w:r>
        <w:r w:rsidR="00150D2D">
          <w:rPr>
            <w:noProof/>
            <w:webHidden/>
          </w:rPr>
          <w:instrText xml:space="preserve"> PAGEREF _Toc22371225 \h </w:instrText>
        </w:r>
        <w:r w:rsidR="00150D2D">
          <w:rPr>
            <w:noProof/>
            <w:webHidden/>
          </w:rPr>
        </w:r>
        <w:r w:rsidR="00150D2D">
          <w:rPr>
            <w:noProof/>
            <w:webHidden/>
          </w:rPr>
          <w:fldChar w:fldCharType="separate"/>
        </w:r>
        <w:r w:rsidR="00150D2D">
          <w:rPr>
            <w:noProof/>
            <w:webHidden/>
          </w:rPr>
          <w:t>12</w:t>
        </w:r>
        <w:r w:rsidR="00150D2D">
          <w:rPr>
            <w:noProof/>
            <w:webHidden/>
          </w:rPr>
          <w:fldChar w:fldCharType="end"/>
        </w:r>
      </w:hyperlink>
    </w:p>
    <w:p w14:paraId="2F4B74EA" w14:textId="0FB3A5EA" w:rsidR="00150D2D" w:rsidRDefault="00726D38">
      <w:pPr>
        <w:pStyle w:val="Tabladeilustraciones"/>
        <w:tabs>
          <w:tab w:val="right" w:leader="dot" w:pos="9019"/>
        </w:tabs>
        <w:rPr>
          <w:rFonts w:asciiTheme="minorHAnsi" w:eastAsiaTheme="minorEastAsia" w:hAnsiTheme="minorHAnsi" w:cstheme="minorBidi"/>
          <w:noProof/>
        </w:rPr>
      </w:pPr>
      <w:hyperlink w:anchor="_Toc22371226" w:history="1">
        <w:r w:rsidR="00150D2D"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sidR="00150D2D">
          <w:rPr>
            <w:noProof/>
            <w:webHidden/>
          </w:rPr>
          <w:tab/>
        </w:r>
        <w:r w:rsidR="00150D2D">
          <w:rPr>
            <w:noProof/>
            <w:webHidden/>
          </w:rPr>
          <w:fldChar w:fldCharType="begin"/>
        </w:r>
        <w:r w:rsidR="00150D2D">
          <w:rPr>
            <w:noProof/>
            <w:webHidden/>
          </w:rPr>
          <w:instrText xml:space="preserve"> PAGEREF _Toc22371226 \h </w:instrText>
        </w:r>
        <w:r w:rsidR="00150D2D">
          <w:rPr>
            <w:noProof/>
            <w:webHidden/>
          </w:rPr>
        </w:r>
        <w:r w:rsidR="00150D2D">
          <w:rPr>
            <w:noProof/>
            <w:webHidden/>
          </w:rPr>
          <w:fldChar w:fldCharType="separate"/>
        </w:r>
        <w:r w:rsidR="00150D2D">
          <w:rPr>
            <w:noProof/>
            <w:webHidden/>
          </w:rPr>
          <w:t>14</w:t>
        </w:r>
        <w:r w:rsidR="00150D2D">
          <w:rPr>
            <w:noProof/>
            <w:webHidden/>
          </w:rPr>
          <w:fldChar w:fldCharType="end"/>
        </w:r>
      </w:hyperlink>
    </w:p>
    <w:p w14:paraId="7CD10BD9" w14:textId="0DE3607B" w:rsidR="00150D2D" w:rsidRDefault="00726D38">
      <w:pPr>
        <w:pStyle w:val="Tabladeilustraciones"/>
        <w:tabs>
          <w:tab w:val="right" w:leader="dot" w:pos="9019"/>
        </w:tabs>
        <w:rPr>
          <w:rFonts w:asciiTheme="minorHAnsi" w:eastAsiaTheme="minorEastAsia" w:hAnsiTheme="minorHAnsi" w:cstheme="minorBidi"/>
          <w:noProof/>
        </w:rPr>
      </w:pPr>
      <w:hyperlink w:anchor="_Toc22371227" w:history="1">
        <w:r w:rsidR="00150D2D" w:rsidRPr="003D68AB">
          <w:rPr>
            <w:rStyle w:val="Hipervnculo"/>
            <w:noProof/>
            <w:lang w:val="en-US"/>
          </w:rPr>
          <w:t>Figure 4. The expected location of LOC based on group data from seven neurologically intact participants. [53]</w:t>
        </w:r>
        <w:r w:rsidR="00150D2D">
          <w:rPr>
            <w:noProof/>
            <w:webHidden/>
          </w:rPr>
          <w:tab/>
        </w:r>
        <w:r w:rsidR="00150D2D">
          <w:rPr>
            <w:noProof/>
            <w:webHidden/>
          </w:rPr>
          <w:fldChar w:fldCharType="begin"/>
        </w:r>
        <w:r w:rsidR="00150D2D">
          <w:rPr>
            <w:noProof/>
            <w:webHidden/>
          </w:rPr>
          <w:instrText xml:space="preserve"> PAGEREF _Toc22371227 \h </w:instrText>
        </w:r>
        <w:r w:rsidR="00150D2D">
          <w:rPr>
            <w:noProof/>
            <w:webHidden/>
          </w:rPr>
        </w:r>
        <w:r w:rsidR="00150D2D">
          <w:rPr>
            <w:noProof/>
            <w:webHidden/>
          </w:rPr>
          <w:fldChar w:fldCharType="separate"/>
        </w:r>
        <w:r w:rsidR="00150D2D">
          <w:rPr>
            <w:noProof/>
            <w:webHidden/>
          </w:rPr>
          <w:t>15</w:t>
        </w:r>
        <w:r w:rsidR="00150D2D">
          <w:rPr>
            <w:noProof/>
            <w:webHidden/>
          </w:rPr>
          <w:fldChar w:fldCharType="end"/>
        </w:r>
      </w:hyperlink>
    </w:p>
    <w:p w14:paraId="7AC071AC" w14:textId="08CD7D3B" w:rsidR="00150D2D" w:rsidRDefault="00726D38">
      <w:pPr>
        <w:pStyle w:val="Tabladeilustraciones"/>
        <w:tabs>
          <w:tab w:val="right" w:leader="dot" w:pos="9019"/>
        </w:tabs>
        <w:rPr>
          <w:rFonts w:asciiTheme="minorHAnsi" w:eastAsiaTheme="minorEastAsia" w:hAnsiTheme="minorHAnsi" w:cstheme="minorBidi"/>
          <w:noProof/>
        </w:rPr>
      </w:pPr>
      <w:hyperlink w:anchor="_Toc22371228" w:history="1">
        <w:r w:rsidR="00150D2D" w:rsidRPr="003D68AB">
          <w:rPr>
            <w:rStyle w:val="Hipervnculo"/>
            <w:noProof/>
            <w:lang w:val="en-US"/>
          </w:rPr>
          <w:t>Figure 5. Survey of procedures used in neurovisual rehabilitation [77]</w:t>
        </w:r>
        <w:r w:rsidR="00150D2D">
          <w:rPr>
            <w:noProof/>
            <w:webHidden/>
          </w:rPr>
          <w:tab/>
        </w:r>
        <w:r w:rsidR="00150D2D">
          <w:rPr>
            <w:noProof/>
            <w:webHidden/>
          </w:rPr>
          <w:fldChar w:fldCharType="begin"/>
        </w:r>
        <w:r w:rsidR="00150D2D">
          <w:rPr>
            <w:noProof/>
            <w:webHidden/>
          </w:rPr>
          <w:instrText xml:space="preserve"> PAGEREF _Toc22371228 \h </w:instrText>
        </w:r>
        <w:r w:rsidR="00150D2D">
          <w:rPr>
            <w:noProof/>
            <w:webHidden/>
          </w:rPr>
        </w:r>
        <w:r w:rsidR="00150D2D">
          <w:rPr>
            <w:noProof/>
            <w:webHidden/>
          </w:rPr>
          <w:fldChar w:fldCharType="separate"/>
        </w:r>
        <w:r w:rsidR="00150D2D">
          <w:rPr>
            <w:noProof/>
            <w:webHidden/>
          </w:rPr>
          <w:t>18</w:t>
        </w:r>
        <w:r w:rsidR="00150D2D">
          <w:rPr>
            <w:noProof/>
            <w:webHidden/>
          </w:rPr>
          <w:fldChar w:fldCharType="end"/>
        </w:r>
      </w:hyperlink>
    </w:p>
    <w:p w14:paraId="43D5DEC7" w14:textId="75109BDB" w:rsidR="00150D2D" w:rsidRDefault="00726D38">
      <w:pPr>
        <w:pStyle w:val="Tabladeilustraciones"/>
        <w:tabs>
          <w:tab w:val="right" w:leader="dot" w:pos="9019"/>
        </w:tabs>
        <w:rPr>
          <w:rFonts w:asciiTheme="minorHAnsi" w:eastAsiaTheme="minorEastAsia" w:hAnsiTheme="minorHAnsi" w:cstheme="minorBidi"/>
          <w:noProof/>
        </w:rPr>
      </w:pPr>
      <w:hyperlink w:anchor="_Toc22371229" w:history="1">
        <w:r w:rsidR="00150D2D" w:rsidRPr="003D68AB">
          <w:rPr>
            <w:rStyle w:val="Hipervnculo"/>
            <w:noProof/>
            <w:lang w:val="en-US"/>
          </w:rPr>
          <w:t>Figure 6. The SSVEP elicited by the 7-Hz stimulation shows characteristic frequency components with peaks at the fundamental and harmonic frequencies at the O2 electrode [44].</w:t>
        </w:r>
        <w:r w:rsidR="00150D2D">
          <w:rPr>
            <w:noProof/>
            <w:webHidden/>
          </w:rPr>
          <w:tab/>
        </w:r>
        <w:r w:rsidR="00150D2D">
          <w:rPr>
            <w:noProof/>
            <w:webHidden/>
          </w:rPr>
          <w:fldChar w:fldCharType="begin"/>
        </w:r>
        <w:r w:rsidR="00150D2D">
          <w:rPr>
            <w:noProof/>
            <w:webHidden/>
          </w:rPr>
          <w:instrText xml:space="preserve"> PAGEREF _Toc22371229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7ED0458A" w14:textId="5FCF9F50" w:rsidR="00150D2D" w:rsidRDefault="00726D38">
      <w:pPr>
        <w:pStyle w:val="Tabladeilustraciones"/>
        <w:tabs>
          <w:tab w:val="right" w:leader="dot" w:pos="9019"/>
        </w:tabs>
        <w:rPr>
          <w:rFonts w:asciiTheme="minorHAnsi" w:eastAsiaTheme="minorEastAsia" w:hAnsiTheme="minorHAnsi" w:cstheme="minorBidi"/>
          <w:noProof/>
        </w:rPr>
      </w:pPr>
      <w:hyperlink w:anchor="_Toc22371230" w:history="1">
        <w:r w:rsidR="00150D2D"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sidR="00150D2D">
          <w:rPr>
            <w:noProof/>
            <w:webHidden/>
          </w:rPr>
          <w:tab/>
        </w:r>
        <w:r w:rsidR="00150D2D">
          <w:rPr>
            <w:noProof/>
            <w:webHidden/>
          </w:rPr>
          <w:fldChar w:fldCharType="begin"/>
        </w:r>
        <w:r w:rsidR="00150D2D">
          <w:rPr>
            <w:noProof/>
            <w:webHidden/>
          </w:rPr>
          <w:instrText xml:space="preserve"> PAGEREF _Toc22371230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1708C9C1" w14:textId="3C988490" w:rsidR="00150D2D" w:rsidRDefault="00726D38">
      <w:pPr>
        <w:pStyle w:val="Tabladeilustraciones"/>
        <w:tabs>
          <w:tab w:val="right" w:leader="dot" w:pos="9019"/>
        </w:tabs>
        <w:rPr>
          <w:rFonts w:asciiTheme="minorHAnsi" w:eastAsiaTheme="minorEastAsia" w:hAnsiTheme="minorHAnsi" w:cstheme="minorBidi"/>
          <w:noProof/>
        </w:rPr>
      </w:pPr>
      <w:hyperlink w:anchor="_Toc22371231" w:history="1">
        <w:r w:rsidR="00150D2D" w:rsidRPr="003D68AB">
          <w:rPr>
            <w:rStyle w:val="Hipervnculo"/>
            <w:noProof/>
            <w:lang w:val="en-US"/>
          </w:rPr>
          <w:t>Figure 8. Stimuli for contrast sensitivity [21]</w:t>
        </w:r>
        <w:r w:rsidR="00150D2D">
          <w:rPr>
            <w:noProof/>
            <w:webHidden/>
          </w:rPr>
          <w:tab/>
        </w:r>
        <w:r w:rsidR="00150D2D">
          <w:rPr>
            <w:noProof/>
            <w:webHidden/>
          </w:rPr>
          <w:fldChar w:fldCharType="begin"/>
        </w:r>
        <w:r w:rsidR="00150D2D">
          <w:rPr>
            <w:noProof/>
            <w:webHidden/>
          </w:rPr>
          <w:instrText xml:space="preserve"> PAGEREF _Toc22371231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4730A616" w14:textId="62E26AD2" w:rsidR="00150D2D" w:rsidRDefault="00726D38">
      <w:pPr>
        <w:pStyle w:val="Tabladeilustraciones"/>
        <w:tabs>
          <w:tab w:val="right" w:leader="dot" w:pos="9019"/>
        </w:tabs>
        <w:rPr>
          <w:rFonts w:asciiTheme="minorHAnsi" w:eastAsiaTheme="minorEastAsia" w:hAnsiTheme="minorHAnsi" w:cstheme="minorBidi"/>
          <w:noProof/>
        </w:rPr>
      </w:pPr>
      <w:hyperlink w:anchor="_Toc22371232" w:history="1">
        <w:r w:rsidR="00150D2D" w:rsidRPr="003D68AB">
          <w:rPr>
            <w:rStyle w:val="Hipervnculo"/>
            <w:noProof/>
            <w:lang w:val="en-US"/>
          </w:rPr>
          <w:t>Figure 9. Example showing contrast plot [89].</w:t>
        </w:r>
        <w:r w:rsidR="00150D2D">
          <w:rPr>
            <w:noProof/>
            <w:webHidden/>
          </w:rPr>
          <w:tab/>
        </w:r>
        <w:r w:rsidR="00150D2D">
          <w:rPr>
            <w:noProof/>
            <w:webHidden/>
          </w:rPr>
          <w:fldChar w:fldCharType="begin"/>
        </w:r>
        <w:r w:rsidR="00150D2D">
          <w:rPr>
            <w:noProof/>
            <w:webHidden/>
          </w:rPr>
          <w:instrText xml:space="preserve"> PAGEREF _Toc22371232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306083F1" w14:textId="72052AD5" w:rsidR="00150D2D" w:rsidRDefault="00726D38">
      <w:pPr>
        <w:pStyle w:val="Tabladeilustraciones"/>
        <w:tabs>
          <w:tab w:val="right" w:leader="dot" w:pos="9019"/>
        </w:tabs>
        <w:rPr>
          <w:rFonts w:asciiTheme="minorHAnsi" w:eastAsiaTheme="minorEastAsia" w:hAnsiTheme="minorHAnsi" w:cstheme="minorBidi"/>
          <w:noProof/>
        </w:rPr>
      </w:pPr>
      <w:hyperlink w:anchor="_Toc22371233" w:history="1">
        <w:r w:rsidR="00150D2D" w:rsidRPr="003D68AB">
          <w:rPr>
            <w:rStyle w:val="Hipervnculo"/>
            <w:noProof/>
            <w:lang w:val="en-US"/>
          </w:rPr>
          <w:t>Figure 10. Illustration of the concept of the synchronization likelihood [50].</w:t>
        </w:r>
        <w:r w:rsidR="00150D2D">
          <w:rPr>
            <w:noProof/>
            <w:webHidden/>
          </w:rPr>
          <w:tab/>
        </w:r>
        <w:r w:rsidR="00150D2D">
          <w:rPr>
            <w:noProof/>
            <w:webHidden/>
          </w:rPr>
          <w:fldChar w:fldCharType="begin"/>
        </w:r>
        <w:r w:rsidR="00150D2D">
          <w:rPr>
            <w:noProof/>
            <w:webHidden/>
          </w:rPr>
          <w:instrText xml:space="preserve"> PAGEREF _Toc22371233 \h </w:instrText>
        </w:r>
        <w:r w:rsidR="00150D2D">
          <w:rPr>
            <w:noProof/>
            <w:webHidden/>
          </w:rPr>
        </w:r>
        <w:r w:rsidR="00150D2D">
          <w:rPr>
            <w:noProof/>
            <w:webHidden/>
          </w:rPr>
          <w:fldChar w:fldCharType="separate"/>
        </w:r>
        <w:r w:rsidR="00150D2D">
          <w:rPr>
            <w:noProof/>
            <w:webHidden/>
          </w:rPr>
          <w:t>26</w:t>
        </w:r>
        <w:r w:rsidR="00150D2D">
          <w:rPr>
            <w:noProof/>
            <w:webHidden/>
          </w:rPr>
          <w:fldChar w:fldCharType="end"/>
        </w:r>
      </w:hyperlink>
    </w:p>
    <w:p w14:paraId="01B28840" w14:textId="5F8D9EAE" w:rsidR="00150D2D" w:rsidRDefault="00726D38">
      <w:pPr>
        <w:pStyle w:val="Tabladeilustraciones"/>
        <w:tabs>
          <w:tab w:val="right" w:leader="dot" w:pos="9019"/>
        </w:tabs>
        <w:rPr>
          <w:rFonts w:asciiTheme="minorHAnsi" w:eastAsiaTheme="minorEastAsia" w:hAnsiTheme="minorHAnsi" w:cstheme="minorBidi"/>
          <w:noProof/>
        </w:rPr>
      </w:pPr>
      <w:hyperlink w:anchor="_Toc22371234" w:history="1">
        <w:r w:rsidR="00150D2D" w:rsidRPr="003D68AB">
          <w:rPr>
            <w:rStyle w:val="Hipervnculo"/>
            <w:noProof/>
            <w:lang w:val="en-US"/>
          </w:rPr>
          <w:t>Figure 11. Conditions for the room</w:t>
        </w:r>
        <w:r w:rsidR="00150D2D">
          <w:rPr>
            <w:noProof/>
            <w:webHidden/>
          </w:rPr>
          <w:tab/>
        </w:r>
        <w:r w:rsidR="00150D2D">
          <w:rPr>
            <w:noProof/>
            <w:webHidden/>
          </w:rPr>
          <w:fldChar w:fldCharType="begin"/>
        </w:r>
        <w:r w:rsidR="00150D2D">
          <w:rPr>
            <w:noProof/>
            <w:webHidden/>
          </w:rPr>
          <w:instrText xml:space="preserve"> PAGEREF _Toc22371234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3921AE9B" w14:textId="52D526F3" w:rsidR="00150D2D" w:rsidRDefault="00726D38">
      <w:pPr>
        <w:pStyle w:val="Tabladeilustraciones"/>
        <w:tabs>
          <w:tab w:val="right" w:leader="dot" w:pos="9019"/>
        </w:tabs>
        <w:rPr>
          <w:rFonts w:asciiTheme="minorHAnsi" w:eastAsiaTheme="minorEastAsia" w:hAnsiTheme="minorHAnsi" w:cstheme="minorBidi"/>
          <w:noProof/>
        </w:rPr>
      </w:pPr>
      <w:hyperlink w:anchor="_Toc22371235" w:history="1">
        <w:r w:rsidR="00150D2D" w:rsidRPr="003D68AB">
          <w:rPr>
            <w:rStyle w:val="Hipervnculo"/>
            <w:noProof/>
            <w:lang w:val="en-US"/>
          </w:rPr>
          <w:t>Figure 12. Electrode Placement</w:t>
        </w:r>
        <w:r w:rsidR="00150D2D">
          <w:rPr>
            <w:noProof/>
            <w:webHidden/>
          </w:rPr>
          <w:tab/>
        </w:r>
        <w:r w:rsidR="00150D2D">
          <w:rPr>
            <w:noProof/>
            <w:webHidden/>
          </w:rPr>
          <w:fldChar w:fldCharType="begin"/>
        </w:r>
        <w:r w:rsidR="00150D2D">
          <w:rPr>
            <w:noProof/>
            <w:webHidden/>
          </w:rPr>
          <w:instrText xml:space="preserve"> PAGEREF _Toc22371235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5C34425B" w14:textId="22D21284" w:rsidR="00150D2D" w:rsidRDefault="00726D38">
      <w:pPr>
        <w:pStyle w:val="Tabladeilustraciones"/>
        <w:tabs>
          <w:tab w:val="right" w:leader="dot" w:pos="9019"/>
        </w:tabs>
        <w:rPr>
          <w:rFonts w:asciiTheme="minorHAnsi" w:eastAsiaTheme="minorEastAsia" w:hAnsiTheme="minorHAnsi" w:cstheme="minorBidi"/>
          <w:noProof/>
        </w:rPr>
      </w:pPr>
      <w:hyperlink w:anchor="_Toc22371236" w:history="1">
        <w:r w:rsidR="00150D2D" w:rsidRPr="003D68AB">
          <w:rPr>
            <w:rStyle w:val="Hipervnculo"/>
            <w:noProof/>
            <w:lang w:val="en-US"/>
          </w:rPr>
          <w:t>Figure 13. Diagram for data processing</w:t>
        </w:r>
        <w:r w:rsidR="00150D2D">
          <w:rPr>
            <w:noProof/>
            <w:webHidden/>
          </w:rPr>
          <w:tab/>
        </w:r>
        <w:r w:rsidR="00150D2D">
          <w:rPr>
            <w:noProof/>
            <w:webHidden/>
          </w:rPr>
          <w:fldChar w:fldCharType="begin"/>
        </w:r>
        <w:r w:rsidR="00150D2D">
          <w:rPr>
            <w:noProof/>
            <w:webHidden/>
          </w:rPr>
          <w:instrText xml:space="preserve"> PAGEREF _Toc22371236 \h </w:instrText>
        </w:r>
        <w:r w:rsidR="00150D2D">
          <w:rPr>
            <w:noProof/>
            <w:webHidden/>
          </w:rPr>
        </w:r>
        <w:r w:rsidR="00150D2D">
          <w:rPr>
            <w:noProof/>
            <w:webHidden/>
          </w:rPr>
          <w:fldChar w:fldCharType="separate"/>
        </w:r>
        <w:r w:rsidR="00150D2D">
          <w:rPr>
            <w:noProof/>
            <w:webHidden/>
          </w:rPr>
          <w:t>30</w:t>
        </w:r>
        <w:r w:rsidR="00150D2D">
          <w:rPr>
            <w:noProof/>
            <w:webHidden/>
          </w:rPr>
          <w:fldChar w:fldCharType="end"/>
        </w:r>
      </w:hyperlink>
    </w:p>
    <w:p w14:paraId="5BE289EE" w14:textId="1F0EE974" w:rsidR="00150D2D" w:rsidRDefault="00726D38">
      <w:pPr>
        <w:pStyle w:val="Tabladeilustraciones"/>
        <w:tabs>
          <w:tab w:val="right" w:leader="dot" w:pos="9019"/>
        </w:tabs>
        <w:rPr>
          <w:rFonts w:asciiTheme="minorHAnsi" w:eastAsiaTheme="minorEastAsia" w:hAnsiTheme="minorHAnsi" w:cstheme="minorBidi"/>
          <w:noProof/>
        </w:rPr>
      </w:pPr>
      <w:hyperlink w:anchor="_Toc22371237" w:history="1">
        <w:r w:rsidR="00150D2D" w:rsidRPr="003D68AB">
          <w:rPr>
            <w:rStyle w:val="Hipervnculo"/>
            <w:noProof/>
            <w:lang w:val="en-US"/>
          </w:rPr>
          <w:t>Figure 14. Sample signals A) Normal signals B) Signals with only atypical data C) Signals with many atypical data</w:t>
        </w:r>
        <w:r w:rsidR="00150D2D">
          <w:rPr>
            <w:noProof/>
            <w:webHidden/>
          </w:rPr>
          <w:tab/>
        </w:r>
        <w:r w:rsidR="00150D2D">
          <w:rPr>
            <w:noProof/>
            <w:webHidden/>
          </w:rPr>
          <w:fldChar w:fldCharType="begin"/>
        </w:r>
        <w:r w:rsidR="00150D2D">
          <w:rPr>
            <w:noProof/>
            <w:webHidden/>
          </w:rPr>
          <w:instrText xml:space="preserve"> PAGEREF _Toc22371237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1CD24661" w14:textId="271DA5A1" w:rsidR="00150D2D" w:rsidRDefault="00726D38">
      <w:pPr>
        <w:pStyle w:val="Tabladeilustraciones"/>
        <w:tabs>
          <w:tab w:val="right" w:leader="dot" w:pos="9019"/>
        </w:tabs>
        <w:rPr>
          <w:rFonts w:asciiTheme="minorHAnsi" w:eastAsiaTheme="minorEastAsia" w:hAnsiTheme="minorHAnsi" w:cstheme="minorBidi"/>
          <w:noProof/>
        </w:rPr>
      </w:pPr>
      <w:hyperlink w:anchor="_Toc22371238" w:history="1">
        <w:r w:rsidR="00150D2D" w:rsidRPr="003D68AB">
          <w:rPr>
            <w:rStyle w:val="Hipervnculo"/>
            <w:noProof/>
            <w:lang w:val="en-US"/>
          </w:rPr>
          <w:t>Figure 15. Example for correlation matrix in acuity stimulus for both eyes and alpha band.</w:t>
        </w:r>
        <w:r w:rsidR="00150D2D">
          <w:rPr>
            <w:noProof/>
            <w:webHidden/>
          </w:rPr>
          <w:tab/>
        </w:r>
        <w:r w:rsidR="00150D2D">
          <w:rPr>
            <w:noProof/>
            <w:webHidden/>
          </w:rPr>
          <w:fldChar w:fldCharType="begin"/>
        </w:r>
        <w:r w:rsidR="00150D2D">
          <w:rPr>
            <w:noProof/>
            <w:webHidden/>
          </w:rPr>
          <w:instrText xml:space="preserve"> PAGEREF _Toc22371238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49E2C5B0" w14:textId="10E49288" w:rsidR="00150D2D" w:rsidRDefault="00726D38">
      <w:pPr>
        <w:pStyle w:val="Tabladeilustraciones"/>
        <w:tabs>
          <w:tab w:val="right" w:leader="dot" w:pos="9019"/>
        </w:tabs>
        <w:rPr>
          <w:rFonts w:asciiTheme="minorHAnsi" w:eastAsiaTheme="minorEastAsia" w:hAnsiTheme="minorHAnsi" w:cstheme="minorBidi"/>
          <w:noProof/>
        </w:rPr>
      </w:pPr>
      <w:hyperlink w:anchor="_Toc22371239" w:history="1">
        <w:r w:rsidR="00150D2D" w:rsidRPr="003D68AB">
          <w:rPr>
            <w:rStyle w:val="Hipervnculo"/>
            <w:noProof/>
            <w:lang w:val="en-US"/>
          </w:rPr>
          <w:t>Figure 16. Means and 95.0 percent LSD intervals for A) delta band B) theta band C) alpha band and D) beta band for group 1 in color stimulus with binocular vision.</w:t>
        </w:r>
        <w:r w:rsidR="00150D2D">
          <w:rPr>
            <w:noProof/>
            <w:webHidden/>
          </w:rPr>
          <w:tab/>
        </w:r>
        <w:r w:rsidR="00150D2D">
          <w:rPr>
            <w:noProof/>
            <w:webHidden/>
          </w:rPr>
          <w:fldChar w:fldCharType="begin"/>
        </w:r>
        <w:r w:rsidR="00150D2D">
          <w:rPr>
            <w:noProof/>
            <w:webHidden/>
          </w:rPr>
          <w:instrText xml:space="preserve"> PAGEREF _Toc22371239 \h </w:instrText>
        </w:r>
        <w:r w:rsidR="00150D2D">
          <w:rPr>
            <w:noProof/>
            <w:webHidden/>
          </w:rPr>
        </w:r>
        <w:r w:rsidR="00150D2D">
          <w:rPr>
            <w:noProof/>
            <w:webHidden/>
          </w:rPr>
          <w:fldChar w:fldCharType="separate"/>
        </w:r>
        <w:r w:rsidR="00150D2D">
          <w:rPr>
            <w:noProof/>
            <w:webHidden/>
          </w:rPr>
          <w:t>40</w:t>
        </w:r>
        <w:r w:rsidR="00150D2D">
          <w:rPr>
            <w:noProof/>
            <w:webHidden/>
          </w:rPr>
          <w:fldChar w:fldCharType="end"/>
        </w:r>
      </w:hyperlink>
    </w:p>
    <w:p w14:paraId="1BC6D199" w14:textId="587CE1F2" w:rsidR="00150D2D" w:rsidRDefault="00726D38">
      <w:pPr>
        <w:pStyle w:val="Tabladeilustraciones"/>
        <w:tabs>
          <w:tab w:val="right" w:leader="dot" w:pos="9019"/>
        </w:tabs>
        <w:rPr>
          <w:rFonts w:asciiTheme="minorHAnsi" w:eastAsiaTheme="minorEastAsia" w:hAnsiTheme="minorHAnsi" w:cstheme="minorBidi"/>
          <w:noProof/>
        </w:rPr>
      </w:pPr>
      <w:hyperlink w:anchor="_Toc22371240" w:history="1">
        <w:r w:rsidR="00150D2D" w:rsidRPr="003D68AB">
          <w:rPr>
            <w:rStyle w:val="Hipervnculo"/>
            <w:noProof/>
            <w:lang w:val="en-US"/>
          </w:rPr>
          <w:t>Figure 17. Means and 95.0 percent LSD intervals for A) delta band B) theta band C) alpha band and D) beta band for mix group in motion perception stimulus with binocular vision.</w:t>
        </w:r>
        <w:r w:rsidR="00150D2D">
          <w:rPr>
            <w:noProof/>
            <w:webHidden/>
          </w:rPr>
          <w:tab/>
        </w:r>
        <w:r w:rsidR="00150D2D">
          <w:rPr>
            <w:noProof/>
            <w:webHidden/>
          </w:rPr>
          <w:fldChar w:fldCharType="begin"/>
        </w:r>
        <w:r w:rsidR="00150D2D">
          <w:rPr>
            <w:noProof/>
            <w:webHidden/>
          </w:rPr>
          <w:instrText xml:space="preserve"> PAGEREF _Toc22371240 \h </w:instrText>
        </w:r>
        <w:r w:rsidR="00150D2D">
          <w:rPr>
            <w:noProof/>
            <w:webHidden/>
          </w:rPr>
        </w:r>
        <w:r w:rsidR="00150D2D">
          <w:rPr>
            <w:noProof/>
            <w:webHidden/>
          </w:rPr>
          <w:fldChar w:fldCharType="separate"/>
        </w:r>
        <w:r w:rsidR="00150D2D">
          <w:rPr>
            <w:noProof/>
            <w:webHidden/>
          </w:rPr>
          <w:t>43</w:t>
        </w:r>
        <w:r w:rsidR="00150D2D">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Toc22371224"/>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2"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2"/>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3"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3"/>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4" w:name="_Toc22095160"/>
      <w:r w:rsidRPr="002A063A">
        <w:rPr>
          <w:color w:val="auto"/>
          <w:sz w:val="24"/>
          <w:szCs w:val="24"/>
          <w:lang w:val="en-US"/>
        </w:rPr>
        <w:t xml:space="preserve">3.2.1 </w:t>
      </w:r>
      <w:r w:rsidR="00476825" w:rsidRPr="002A063A">
        <w:rPr>
          <w:color w:val="auto"/>
          <w:sz w:val="24"/>
          <w:szCs w:val="24"/>
          <w:lang w:val="en-US"/>
        </w:rPr>
        <w:t>Acuity</w:t>
      </w:r>
      <w:bookmarkEnd w:id="14"/>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5" w:name="_Toc22095161"/>
      <w:r w:rsidRPr="002A063A">
        <w:rPr>
          <w:color w:val="auto"/>
          <w:sz w:val="24"/>
          <w:szCs w:val="24"/>
          <w:lang w:val="en-US"/>
        </w:rPr>
        <w:t>3.2.2 Contrast sensitivity</w:t>
      </w:r>
      <w:bookmarkEnd w:id="15"/>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6" w:name="_Toc22095162"/>
      <w:r w:rsidRPr="002A063A">
        <w:rPr>
          <w:color w:val="auto"/>
          <w:sz w:val="24"/>
          <w:szCs w:val="24"/>
          <w:lang w:val="en-US"/>
        </w:rPr>
        <w:t>3.2.3</w:t>
      </w:r>
      <w:r w:rsidR="00AA496B" w:rsidRPr="002A063A">
        <w:rPr>
          <w:color w:val="auto"/>
          <w:sz w:val="24"/>
          <w:szCs w:val="24"/>
          <w:lang w:val="en-US"/>
        </w:rPr>
        <w:t xml:space="preserve"> Visual field</w:t>
      </w:r>
      <w:bookmarkEnd w:id="16"/>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7" w:name="_Toc22095163"/>
      <w:r w:rsidRPr="002A063A">
        <w:rPr>
          <w:color w:val="auto"/>
          <w:sz w:val="24"/>
          <w:szCs w:val="24"/>
          <w:lang w:val="en-US"/>
        </w:rPr>
        <w:t>3.2.4 Motion perception</w:t>
      </w:r>
      <w:bookmarkEnd w:id="17"/>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8"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8"/>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9" w:name="_Toc22095164"/>
      <w:r w:rsidRPr="002A063A">
        <w:rPr>
          <w:color w:val="auto"/>
          <w:sz w:val="24"/>
          <w:szCs w:val="24"/>
          <w:lang w:val="en-US"/>
        </w:rPr>
        <w:lastRenderedPageBreak/>
        <w:t>3.2.5 Form recognition</w:t>
      </w:r>
      <w:bookmarkEnd w:id="19"/>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0"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0"/>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1" w:name="_Toc22095165"/>
      <w:r w:rsidRPr="002A063A">
        <w:rPr>
          <w:color w:val="auto"/>
          <w:sz w:val="24"/>
          <w:szCs w:val="24"/>
          <w:lang w:val="en-US"/>
        </w:rPr>
        <w:lastRenderedPageBreak/>
        <w:t>3.2.6 Read words</w:t>
      </w:r>
      <w:bookmarkEnd w:id="21"/>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2" w:name="_Toc22095166"/>
      <w:r w:rsidRPr="002A063A">
        <w:rPr>
          <w:color w:val="auto"/>
          <w:sz w:val="24"/>
          <w:szCs w:val="24"/>
          <w:lang w:val="en-US"/>
        </w:rPr>
        <w:t>3.2.7 Color detection</w:t>
      </w:r>
      <w:bookmarkEnd w:id="22"/>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3" w:name="m_4099952373375245207_bbib4"/>
      <w:bookmarkStart w:id="24"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3"/>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4"/>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 xml:space="preserve">red elements, assembled in such a way as to provide </w:t>
      </w:r>
      <w:r w:rsidR="0063751C" w:rsidRPr="002A063A">
        <w:rPr>
          <w:sz w:val="24"/>
          <w:szCs w:val="24"/>
          <w:lang w:val="en-US"/>
        </w:rPr>
        <w:lastRenderedPageBreak/>
        <w:t>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5" w:name="_Toc22095167"/>
      <w:r w:rsidRPr="002A063A">
        <w:rPr>
          <w:color w:val="auto"/>
          <w:sz w:val="24"/>
          <w:szCs w:val="24"/>
          <w:lang w:val="en-US"/>
        </w:rPr>
        <w:t>3.2.8 Image description</w:t>
      </w:r>
      <w:bookmarkEnd w:id="25"/>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6" w:name="_Toc22095168"/>
      <w:r w:rsidRPr="002A063A">
        <w:rPr>
          <w:b/>
          <w:sz w:val="24"/>
          <w:szCs w:val="24"/>
          <w:lang w:val="en-US"/>
        </w:rPr>
        <w:t>3.3 Therapy</w:t>
      </w:r>
      <w:r w:rsidR="00F779B5" w:rsidRPr="002A063A">
        <w:rPr>
          <w:b/>
          <w:sz w:val="24"/>
          <w:szCs w:val="24"/>
          <w:lang w:val="en-US"/>
        </w:rPr>
        <w:t xml:space="preserve"> and neuroplasticity</w:t>
      </w:r>
      <w:bookmarkEnd w:id="26"/>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xml:space="preserve">. For example, they felt more comfortable walking on the street because they felt safer after VRT than before. Also, they were able to read the newspaper again. Interestingly, some patients with no evidence of improved visual field size (according </w:t>
      </w:r>
      <w:r w:rsidR="001A7434" w:rsidRPr="002A063A">
        <w:rPr>
          <w:rFonts w:eastAsia="Helvetica Neue"/>
          <w:sz w:val="24"/>
          <w:szCs w:val="24"/>
          <w:highlight w:val="white"/>
          <w:lang w:val="en-US"/>
        </w:rPr>
        <w:lastRenderedPageBreak/>
        <w:t>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7"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7"/>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22095169"/>
      <w:r w:rsidRPr="002A063A">
        <w:rPr>
          <w:rFonts w:eastAsia="Helvetica Neue"/>
          <w:b/>
          <w:sz w:val="24"/>
          <w:szCs w:val="24"/>
          <w:highlight w:val="white"/>
          <w:lang w:val="en-US"/>
        </w:rPr>
        <w:t>Visual electrophysiology</w:t>
      </w:r>
      <w:bookmarkEnd w:id="28"/>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9" w:name="_Toc22095170"/>
      <w:r w:rsidRPr="002A063A">
        <w:rPr>
          <w:rFonts w:eastAsia="Helvetica Neue"/>
          <w:b/>
          <w:sz w:val="24"/>
          <w:szCs w:val="24"/>
          <w:lang w:val="en-US"/>
        </w:rPr>
        <w:t>Electroencephalography (EEG)</w:t>
      </w:r>
      <w:bookmarkEnd w:id="29"/>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30"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30"/>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BC2206"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BC2206"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lastRenderedPageBreak/>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lastRenderedPageBreak/>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lastRenderedPageBreak/>
              <w:t xml:space="preserve">In a normal awake adult, only a small amount of theta frequencies can be recorded. A larger amount of theta frequencies can be seen in young children, older children, and adults in drowsy, meditative or sleep states. Like delta waves, </w:t>
            </w:r>
            <w:r w:rsidRPr="002A063A">
              <w:rPr>
                <w:rFonts w:ascii="Arial" w:eastAsia="Arial" w:hAnsi="Arial" w:cs="Arial"/>
                <w:sz w:val="24"/>
                <w:szCs w:val="24"/>
                <w:lang w:val="en-US"/>
              </w:rPr>
              <w:lastRenderedPageBreak/>
              <w:t>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BC2206"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BC2206"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BC2206"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31"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31"/>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w:t>
      </w:r>
      <w:r w:rsidR="003633E5" w:rsidRPr="002A063A">
        <w:rPr>
          <w:sz w:val="24"/>
          <w:szCs w:val="24"/>
          <w:lang w:val="en-US"/>
        </w:rPr>
        <w:lastRenderedPageBreak/>
        <w:t xml:space="preserve">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2"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2"/>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3" w:name="_Ref12392680"/>
      <w:bookmarkStart w:id="34"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3"/>
      <w:r w:rsidRPr="00A9712A">
        <w:rPr>
          <w:lang w:val="en-US"/>
        </w:rPr>
        <w:t>. The SSVEP elicited by the 7-Hz stimulation shows characteristic frequency components with peaks at the fundamental and harmonic frequencies at the O2 electrode [44].</w:t>
      </w:r>
      <w:bookmarkEnd w:id="34"/>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 xml:space="preserve">The assessment of vision is an essential part of any ophthalmological or optometric examination with visual acuity being the most commonly measured visual function. </w:t>
      </w:r>
      <w:r w:rsidRPr="002A063A">
        <w:rPr>
          <w:sz w:val="24"/>
          <w:szCs w:val="24"/>
          <w:lang w:val="en-US"/>
        </w:rPr>
        <w:lastRenderedPageBreak/>
        <w:t>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5"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5"/>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6"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6"/>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lastRenderedPageBreak/>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7"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7"/>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8"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8"/>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726D38"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w:t>
      </w:r>
      <w:r w:rsidRPr="002A063A">
        <w:rPr>
          <w:rFonts w:eastAsia="Helvetica Neue"/>
          <w:sz w:val="24"/>
          <w:szCs w:val="24"/>
          <w:lang w:val="en-US"/>
        </w:rPr>
        <w:lastRenderedPageBreak/>
        <w:t xml:space="preserve">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9"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9"/>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40"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40"/>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726D38"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726D38"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41"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41"/>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w:t>
      </w:r>
      <w:r w:rsidRPr="002A063A">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r w:rsidR="00863BC7" w:rsidRPr="002A063A">
        <w:rPr>
          <w:rFonts w:eastAsia="Helvetica Neue"/>
          <w:sz w:val="24"/>
          <w:szCs w:val="24"/>
          <w:lang w:val="en-US"/>
        </w:rPr>
        <w:t>epresents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726D38"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4532BBE1" w:rsidR="00587A29" w:rsidRPr="001D7D07" w:rsidRDefault="00726D38"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465E77E3" w14:textId="312A0E71" w:rsidR="001D7D07" w:rsidRDefault="001D7D07" w:rsidP="00193100">
      <w:pPr>
        <w:jc w:val="both"/>
        <w:rPr>
          <w:rFonts w:eastAsia="Helvetica Neue"/>
          <w:sz w:val="24"/>
          <w:szCs w:val="24"/>
          <w:lang w:val="en-US"/>
        </w:rPr>
      </w:pPr>
    </w:p>
    <w:p w14:paraId="3578C9C3" w14:textId="3E9F28EF" w:rsidR="001D7D07" w:rsidRDefault="001D7D07" w:rsidP="00193100">
      <w:pPr>
        <w:jc w:val="both"/>
        <w:rPr>
          <w:rFonts w:eastAsia="Helvetica Neue"/>
          <w:sz w:val="24"/>
          <w:szCs w:val="24"/>
          <w:lang w:val="en-US"/>
        </w:rPr>
      </w:pPr>
      <w:r>
        <w:rPr>
          <w:noProof/>
        </w:rPr>
        <w:drawing>
          <wp:inline distT="0" distB="0" distL="0" distR="0" wp14:anchorId="0C3C0C19" wp14:editId="17E6CE76">
            <wp:extent cx="5733415" cy="32232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60"/>
                    </a:xfrm>
                    <a:prstGeom prst="rect">
                      <a:avLst/>
                    </a:prstGeom>
                  </pic:spPr>
                </pic:pic>
              </a:graphicData>
            </a:graphic>
          </wp:inline>
        </w:drawing>
      </w:r>
    </w:p>
    <w:p w14:paraId="7AF23309" w14:textId="389CD4C9" w:rsidR="005F4E12" w:rsidRDefault="005F4E12" w:rsidP="00193100">
      <w:pPr>
        <w:jc w:val="both"/>
        <w:rPr>
          <w:rFonts w:eastAsia="Helvetica Neue"/>
          <w:sz w:val="24"/>
          <w:szCs w:val="24"/>
          <w:lang w:val="en-US"/>
        </w:rPr>
      </w:pPr>
    </w:p>
    <w:p w14:paraId="739BE7E0" w14:textId="1A6B32CD" w:rsidR="005F4E12" w:rsidRPr="002A063A" w:rsidRDefault="005F4E12" w:rsidP="00193100">
      <w:pPr>
        <w:jc w:val="both"/>
        <w:rPr>
          <w:rFonts w:eastAsia="Helvetica Neue"/>
          <w:sz w:val="24"/>
          <w:szCs w:val="24"/>
          <w:lang w:val="en-US"/>
        </w:rPr>
      </w:pPr>
      <w:hyperlink r:id="rId23" w:history="1">
        <w:r w:rsidRPr="005F4E12">
          <w:rPr>
            <w:rStyle w:val="Hipervnculo"/>
            <w:lang w:val="en-US"/>
          </w:rPr>
          <w:t>https://github.com/jlizier/jidt/wiki/Downloads</w:t>
        </w:r>
      </w:hyperlink>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2" w:name="_Toc22095176"/>
      <w:r w:rsidRPr="007B1289">
        <w:rPr>
          <w:rFonts w:eastAsia="Helvetica Neue"/>
          <w:b/>
          <w:sz w:val="24"/>
          <w:szCs w:val="24"/>
          <w:highlight w:val="cyan"/>
          <w:lang w:val="en-US"/>
        </w:rPr>
        <w:t>Data processing</w:t>
      </w:r>
      <w:bookmarkEnd w:id="42"/>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3" w:name="_Toc22095177"/>
      <w:r w:rsidR="00057276" w:rsidRPr="007B1289">
        <w:rPr>
          <w:rFonts w:eastAsia="Helvetica Neue"/>
          <w:b/>
          <w:sz w:val="24"/>
          <w:szCs w:val="24"/>
          <w:highlight w:val="cyan"/>
          <w:lang w:val="en-US"/>
        </w:rPr>
        <w:t>Reduction of dimensionality</w:t>
      </w:r>
      <w:bookmarkEnd w:id="43"/>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726D38" w:rsidP="002F68BB">
      <w:pPr>
        <w:rPr>
          <w:rFonts w:eastAsia="Helvetica Neue"/>
          <w:b/>
          <w:sz w:val="24"/>
          <w:szCs w:val="24"/>
          <w:highlight w:val="cyan"/>
          <w:lang w:val="en-US"/>
        </w:rPr>
      </w:pPr>
      <w:hyperlink r:id="rId24"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4" w:name="_Toc22095178"/>
      <w:r w:rsidR="00057276" w:rsidRPr="007B1289">
        <w:rPr>
          <w:rFonts w:eastAsia="Helvetica Neue"/>
          <w:b/>
          <w:sz w:val="24"/>
          <w:szCs w:val="24"/>
          <w:highlight w:val="cyan"/>
          <w:lang w:val="en-US"/>
        </w:rPr>
        <w:t>Repeated measure</w:t>
      </w:r>
      <w:bookmarkEnd w:id="44"/>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5" w:name="_Toc22095179"/>
      <w:r w:rsidR="00677521" w:rsidRPr="007B1289">
        <w:rPr>
          <w:rFonts w:eastAsia="Helvetica Neue"/>
          <w:b/>
          <w:sz w:val="24"/>
          <w:szCs w:val="24"/>
          <w:highlight w:val="cyan"/>
          <w:lang w:val="en-US"/>
        </w:rPr>
        <w:t>Classification algorithms</w:t>
      </w:r>
      <w:bookmarkEnd w:id="45"/>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6" w:name="_Toc22095180"/>
      <w:r w:rsidRPr="002A063A">
        <w:rPr>
          <w:rFonts w:eastAsia="Helvetica Neue"/>
          <w:b/>
          <w:sz w:val="24"/>
          <w:szCs w:val="24"/>
          <w:highlight w:val="white"/>
          <w:lang w:val="en-US"/>
        </w:rPr>
        <w:t>Methodology</w:t>
      </w:r>
      <w:bookmarkEnd w:id="46"/>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7" w:name="_Toc22095181"/>
      <w:r w:rsidRPr="002A063A">
        <w:rPr>
          <w:rFonts w:eastAsia="Helvetica Neue"/>
          <w:b/>
          <w:sz w:val="24"/>
          <w:szCs w:val="24"/>
          <w:lang w:val="en-US"/>
        </w:rPr>
        <w:t>Subjects</w:t>
      </w:r>
      <w:bookmarkEnd w:id="47"/>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8"/>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9" w:name="_Ref12392719"/>
      <w:bookmarkStart w:id="50"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9"/>
      <w:r w:rsidRPr="00A9712A">
        <w:rPr>
          <w:lang w:val="en-US"/>
        </w:rPr>
        <w:t>. Condition</w:t>
      </w:r>
      <w:r w:rsidR="00757AB3" w:rsidRPr="00A9712A">
        <w:rPr>
          <w:lang w:val="en-US"/>
        </w:rPr>
        <w:t>s</w:t>
      </w:r>
      <w:r w:rsidRPr="00A9712A">
        <w:rPr>
          <w:lang w:val="en-US"/>
        </w:rPr>
        <w:t xml:space="preserve"> for the room</w:t>
      </w:r>
      <w:bookmarkEnd w:id="50"/>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6"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51"/>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2" w:name="_Ref12392752"/>
      <w:bookmarkStart w:id="53"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2"/>
      <w:r w:rsidRPr="00A9712A">
        <w:rPr>
          <w:lang w:val="en-US"/>
        </w:rPr>
        <w:t>. Electrode Placement</w:t>
      </w:r>
      <w:bookmarkEnd w:id="53"/>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lastRenderedPageBreak/>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4"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4"/>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5" w:name="_Ref12392822"/>
      <w:bookmarkStart w:id="56" w:name="_Toc2237123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5"/>
      <w:r w:rsidRPr="00A9712A">
        <w:rPr>
          <w:lang w:val="en-US"/>
        </w:rPr>
        <w:t>. Diagram for data processing</w:t>
      </w:r>
      <w:bookmarkEnd w:id="56"/>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47EF5081" w:rsidR="008546DD" w:rsidRPr="00283548" w:rsidRDefault="006F7B6A" w:rsidP="001D774A">
                            <w:pPr>
                              <w:jc w:val="both"/>
                              <w:rPr>
                                <w:lang w:val="en-US"/>
                              </w:rPr>
                            </w:pPr>
                            <w:r>
                              <w:rPr>
                                <w:lang w:val="en-US"/>
                              </w:rPr>
                              <w:t xml:space="preserve">6. </w:t>
                            </w:r>
                            <w:r w:rsidR="008546DD"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47EF5081" w:rsidR="008546DD" w:rsidRPr="00283548" w:rsidRDefault="006F7B6A" w:rsidP="001D774A">
                      <w:pPr>
                        <w:jc w:val="both"/>
                        <w:rPr>
                          <w:lang w:val="en-US"/>
                        </w:rPr>
                      </w:pPr>
                      <w:r>
                        <w:rPr>
                          <w:lang w:val="en-US"/>
                        </w:rPr>
                        <w:t xml:space="preserve">6. </w:t>
                      </w:r>
                      <w:r w:rsidR="008546DD"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373F1425" w:rsidR="008546DD" w:rsidRPr="00283548" w:rsidRDefault="006F7B6A" w:rsidP="003F427E">
                            <w:pPr>
                              <w:jc w:val="both"/>
                              <w:rPr>
                                <w:lang w:val="en-US"/>
                              </w:rPr>
                            </w:pPr>
                            <w:r>
                              <w:rPr>
                                <w:lang w:val="en-US"/>
                              </w:rPr>
                              <w:t xml:space="preserve">5. </w:t>
                            </w:r>
                            <w:r w:rsidR="008546DD">
                              <w:rPr>
                                <w:lang w:val="en-US"/>
                              </w:rPr>
                              <w:t>Depending on number of variable, f</w:t>
                            </w:r>
                            <w:r w:rsidR="008546DD"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373F1425" w:rsidR="008546DD" w:rsidRPr="00283548" w:rsidRDefault="006F7B6A" w:rsidP="003F427E">
                      <w:pPr>
                        <w:jc w:val="both"/>
                        <w:rPr>
                          <w:lang w:val="en-US"/>
                        </w:rPr>
                      </w:pPr>
                      <w:r>
                        <w:rPr>
                          <w:lang w:val="en-US"/>
                        </w:rPr>
                        <w:t xml:space="preserve">5. </w:t>
                      </w:r>
                      <w:r w:rsidR="008546DD">
                        <w:rPr>
                          <w:lang w:val="en-US"/>
                        </w:rPr>
                        <w:t>Depending on number of variable, f</w:t>
                      </w:r>
                      <w:r w:rsidR="008546DD"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6330F649" w:rsidR="008546DD" w:rsidRPr="00283548" w:rsidRDefault="006F7B6A" w:rsidP="00283548">
                            <w:pPr>
                              <w:jc w:val="both"/>
                              <w:rPr>
                                <w:lang w:val="en-US"/>
                              </w:rPr>
                            </w:pPr>
                            <w:r>
                              <w:rPr>
                                <w:lang w:val="en-US"/>
                              </w:rPr>
                              <w:t xml:space="preserve">4. </w:t>
                            </w:r>
                            <w:r w:rsidR="008546DD" w:rsidRPr="00283548">
                              <w:rPr>
                                <w:lang w:val="en-US"/>
                              </w:rPr>
                              <w:t>An exploratory analysis of the data was carried out</w:t>
                            </w:r>
                            <w:r w:rsidR="008546DD">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6330F649" w:rsidR="008546DD" w:rsidRPr="00283548" w:rsidRDefault="006F7B6A" w:rsidP="00283548">
                      <w:pPr>
                        <w:jc w:val="both"/>
                        <w:rPr>
                          <w:lang w:val="en-US"/>
                        </w:rPr>
                      </w:pPr>
                      <w:r>
                        <w:rPr>
                          <w:lang w:val="en-US"/>
                        </w:rPr>
                        <w:t xml:space="preserve">4. </w:t>
                      </w:r>
                      <w:r w:rsidR="008546DD" w:rsidRPr="00283548">
                        <w:rPr>
                          <w:lang w:val="en-US"/>
                        </w:rPr>
                        <w:t>An exploratory analysis of the data was carried out</w:t>
                      </w:r>
                      <w:r w:rsidR="008546DD">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628028EA" w:rsidR="008546DD" w:rsidRPr="00B508A7" w:rsidRDefault="006F7B6A" w:rsidP="004217C9">
                            <w:pPr>
                              <w:jc w:val="both"/>
                              <w:rPr>
                                <w:lang w:val="en-US"/>
                              </w:rPr>
                            </w:pPr>
                            <w:r>
                              <w:rPr>
                                <w:lang w:val="en-US"/>
                              </w:rPr>
                              <w:t xml:space="preserve">3. </w:t>
                            </w:r>
                            <w:r w:rsidR="008546DD">
                              <w:rPr>
                                <w:lang w:val="en-US"/>
                              </w:rPr>
                              <w:t>Depending of the features, a specific script was developed</w:t>
                            </w:r>
                            <w:r w:rsidR="008546DD" w:rsidRPr="00B508A7">
                              <w:rPr>
                                <w:lang w:val="en-US"/>
                              </w:rPr>
                              <w:t>.</w:t>
                            </w:r>
                            <w:r w:rsidR="008546D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628028EA" w:rsidR="008546DD" w:rsidRPr="00B508A7" w:rsidRDefault="006F7B6A" w:rsidP="004217C9">
                      <w:pPr>
                        <w:jc w:val="both"/>
                        <w:rPr>
                          <w:lang w:val="en-US"/>
                        </w:rPr>
                      </w:pPr>
                      <w:r>
                        <w:rPr>
                          <w:lang w:val="en-US"/>
                        </w:rPr>
                        <w:t xml:space="preserve">3. </w:t>
                      </w:r>
                      <w:r w:rsidR="008546DD">
                        <w:rPr>
                          <w:lang w:val="en-US"/>
                        </w:rPr>
                        <w:t>Depending of the features, a specific script was developed</w:t>
                      </w:r>
                      <w:r w:rsidR="008546DD" w:rsidRPr="00B508A7">
                        <w:rPr>
                          <w:lang w:val="en-US"/>
                        </w:rPr>
                        <w:t>.</w:t>
                      </w:r>
                      <w:r w:rsidR="008546DD">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5019CDE5" w:rsidR="008546DD" w:rsidRPr="00B508A7" w:rsidRDefault="006F7B6A" w:rsidP="00B508A7">
                            <w:pPr>
                              <w:jc w:val="both"/>
                              <w:rPr>
                                <w:lang w:val="en-US"/>
                              </w:rPr>
                            </w:pPr>
                            <w:r>
                              <w:rPr>
                                <w:lang w:val="en-US"/>
                              </w:rPr>
                              <w:t xml:space="preserve">1. </w:t>
                            </w:r>
                            <w:r w:rsidR="008546DD" w:rsidRPr="00B508A7">
                              <w:rPr>
                                <w:lang w:val="en-US"/>
                              </w:rPr>
                              <w:t xml:space="preserve">The EEG recordings were band-pass </w:t>
                            </w:r>
                            <w:r w:rsidR="008546DD">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5019CDE5" w:rsidR="008546DD" w:rsidRPr="00B508A7" w:rsidRDefault="006F7B6A" w:rsidP="00B508A7">
                      <w:pPr>
                        <w:jc w:val="both"/>
                        <w:rPr>
                          <w:lang w:val="en-US"/>
                        </w:rPr>
                      </w:pPr>
                      <w:r>
                        <w:rPr>
                          <w:lang w:val="en-US"/>
                        </w:rPr>
                        <w:t xml:space="preserve">1. </w:t>
                      </w:r>
                      <w:r w:rsidR="008546DD" w:rsidRPr="00B508A7">
                        <w:rPr>
                          <w:lang w:val="en-US"/>
                        </w:rPr>
                        <w:t xml:space="preserve">The EEG recordings were band-pass </w:t>
                      </w:r>
                      <w:r w:rsidR="008546DD">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2662237D" w:rsidR="008546DD" w:rsidRPr="00B508A7" w:rsidRDefault="006F7B6A" w:rsidP="00B508A7">
                            <w:pPr>
                              <w:jc w:val="both"/>
                              <w:rPr>
                                <w:lang w:val="en-US"/>
                              </w:rPr>
                            </w:pPr>
                            <w:r>
                              <w:rPr>
                                <w:lang w:val="en-US"/>
                              </w:rPr>
                              <w:t xml:space="preserve">2. </w:t>
                            </w:r>
                            <w:r w:rsidR="008546DD" w:rsidRPr="00B508A7">
                              <w:rPr>
                                <w:lang w:val="en-US"/>
                              </w:rPr>
                              <w:t xml:space="preserve">The </w:t>
                            </w:r>
                            <w:r w:rsidR="008546DD">
                              <w:rPr>
                                <w:lang w:val="en-US"/>
                              </w:rPr>
                              <w:t xml:space="preserve">signal was divided in monocular and binocular vision (right and </w:t>
                            </w:r>
                            <w:r>
                              <w:rPr>
                                <w:lang w:val="en-US"/>
                              </w:rPr>
                              <w:t>left</w:t>
                            </w:r>
                            <w:r w:rsidR="008546DD">
                              <w:rPr>
                                <w:lang w:val="en-US"/>
                              </w:rPr>
                              <w:t>)</w:t>
                            </w:r>
                            <w:r w:rsidR="008546DD" w:rsidRPr="00B508A7">
                              <w:rPr>
                                <w:lang w:val="en-US"/>
                              </w:rPr>
                              <w:t>.</w:t>
                            </w:r>
                            <w:r w:rsidR="008546D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2662237D" w:rsidR="008546DD" w:rsidRPr="00B508A7" w:rsidRDefault="006F7B6A" w:rsidP="00B508A7">
                      <w:pPr>
                        <w:jc w:val="both"/>
                        <w:rPr>
                          <w:lang w:val="en-US"/>
                        </w:rPr>
                      </w:pPr>
                      <w:r>
                        <w:rPr>
                          <w:lang w:val="en-US"/>
                        </w:rPr>
                        <w:t xml:space="preserve">2. </w:t>
                      </w:r>
                      <w:r w:rsidR="008546DD" w:rsidRPr="00B508A7">
                        <w:rPr>
                          <w:lang w:val="en-US"/>
                        </w:rPr>
                        <w:t xml:space="preserve">The </w:t>
                      </w:r>
                      <w:r w:rsidR="008546DD">
                        <w:rPr>
                          <w:lang w:val="en-US"/>
                        </w:rPr>
                        <w:t xml:space="preserve">signal was divided in monocular and binocular vision (right and </w:t>
                      </w:r>
                      <w:r>
                        <w:rPr>
                          <w:lang w:val="en-US"/>
                        </w:rPr>
                        <w:t>left</w:t>
                      </w:r>
                      <w:r w:rsidR="008546DD">
                        <w:rPr>
                          <w:lang w:val="en-US"/>
                        </w:rPr>
                        <w:t>)</w:t>
                      </w:r>
                      <w:r w:rsidR="008546DD" w:rsidRPr="00B508A7">
                        <w:rPr>
                          <w:lang w:val="en-US"/>
                        </w:rPr>
                        <w:t>.</w:t>
                      </w:r>
                      <w:r w:rsidR="008546DD">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02A36E1B" w14:textId="12B4818B" w:rsidR="003E526F" w:rsidRPr="007F4507" w:rsidRDefault="007F4507" w:rsidP="00193100">
      <w:pPr>
        <w:autoSpaceDE w:val="0"/>
        <w:autoSpaceDN w:val="0"/>
        <w:adjustRightInd w:val="0"/>
        <w:jc w:val="both"/>
        <w:rPr>
          <w:rFonts w:eastAsia="Helvetica Neue"/>
          <w:sz w:val="24"/>
          <w:szCs w:val="24"/>
          <w:lang w:val="en-US"/>
        </w:rPr>
      </w:pPr>
      <w:r>
        <w:rPr>
          <w:rFonts w:eastAsia="Helvetica Neue"/>
          <w:sz w:val="24"/>
          <w:szCs w:val="24"/>
          <w:lang w:val="en-US"/>
        </w:rPr>
        <w:t>In s</w:t>
      </w:r>
      <w:r w:rsidRPr="007F4507">
        <w:rPr>
          <w:rFonts w:eastAsia="Helvetica Neue"/>
          <w:sz w:val="24"/>
          <w:szCs w:val="24"/>
          <w:lang w:val="en-US"/>
        </w:rPr>
        <w:t>tep 3</w:t>
      </w:r>
      <w:r>
        <w:rPr>
          <w:rFonts w:eastAsia="Helvetica Neue"/>
          <w:sz w:val="24"/>
          <w:szCs w:val="24"/>
          <w:lang w:val="en-US"/>
        </w:rPr>
        <w:t xml:space="preserve">, different features were extracted. </w:t>
      </w:r>
      <w:r w:rsidRPr="007F4507">
        <w:rPr>
          <w:rFonts w:eastAsia="Helvetica Neue"/>
          <w:sz w:val="24"/>
          <w:szCs w:val="24"/>
          <w:lang w:val="en-US"/>
        </w:rPr>
        <w:t xml:space="preserve"> </w:t>
      </w:r>
      <w:r>
        <w:rPr>
          <w:rFonts w:eastAsia="Helvetica Neue"/>
          <w:sz w:val="24"/>
          <w:szCs w:val="24"/>
          <w:lang w:val="en-US"/>
        </w:rPr>
        <w:t xml:space="preserve">For each one some parameters </w:t>
      </w:r>
      <w:bookmarkStart w:id="57" w:name="_GoBack"/>
      <w:bookmarkEnd w:id="57"/>
      <w:r>
        <w:rPr>
          <w:rFonts w:eastAsia="Helvetica Neue"/>
          <w:sz w:val="24"/>
          <w:szCs w:val="24"/>
          <w:lang w:val="en-US"/>
        </w:rPr>
        <w:t xml:space="preserve">were setting. </w:t>
      </w:r>
    </w:p>
    <w:p w14:paraId="775CC130" w14:textId="77777777" w:rsidR="00A50F10" w:rsidRPr="007F4507" w:rsidRDefault="00A50F10" w:rsidP="00193100">
      <w:pPr>
        <w:autoSpaceDE w:val="0"/>
        <w:autoSpaceDN w:val="0"/>
        <w:adjustRightInd w:val="0"/>
        <w:jc w:val="both"/>
        <w:rPr>
          <w:rFonts w:eastAsia="Helvetica Neue"/>
          <w:sz w:val="24"/>
          <w:szCs w:val="24"/>
          <w:lang w:val="en-US"/>
        </w:rPr>
      </w:pPr>
    </w:p>
    <w:p w14:paraId="3C6C3AC9" w14:textId="77777777" w:rsidR="00A50F10" w:rsidRPr="007F4507" w:rsidRDefault="00A50F10" w:rsidP="00193100">
      <w:pPr>
        <w:autoSpaceDE w:val="0"/>
        <w:autoSpaceDN w:val="0"/>
        <w:adjustRightInd w:val="0"/>
        <w:jc w:val="both"/>
        <w:rPr>
          <w:rFonts w:eastAsia="Helvetica Neue"/>
          <w:sz w:val="24"/>
          <w:szCs w:val="24"/>
          <w:lang w:val="en-US"/>
        </w:rPr>
      </w:pPr>
    </w:p>
    <w:p w14:paraId="1F17FDAC" w14:textId="77777777" w:rsidR="0028640E" w:rsidRPr="007F4507" w:rsidRDefault="0028640E" w:rsidP="00193100">
      <w:pPr>
        <w:autoSpaceDE w:val="0"/>
        <w:autoSpaceDN w:val="0"/>
        <w:adjustRightInd w:val="0"/>
        <w:jc w:val="both"/>
        <w:rPr>
          <w:rFonts w:eastAsia="Helvetica Neue"/>
          <w:sz w:val="24"/>
          <w:szCs w:val="24"/>
          <w:lang w:val="en-US"/>
        </w:rPr>
      </w:pPr>
      <w:r w:rsidRPr="007F4507">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7F4507">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7F4507">
        <w:rPr>
          <w:rFonts w:eastAsia="Helvetica Neue"/>
          <w:sz w:val="24"/>
          <w:szCs w:val="24"/>
          <w:lang w:val="en-US"/>
        </w:rPr>
        <w:t>FCz</w:t>
      </w:r>
      <w:proofErr w:type="spellEnd"/>
      <w:r w:rsidRPr="007F4507">
        <w:rPr>
          <w:rFonts w:eastAsia="Helvetica Neue"/>
          <w:sz w:val="24"/>
          <w:szCs w:val="24"/>
          <w:lang w:val="en-US"/>
        </w:rPr>
        <w:t>, O1-FCz, O2-FCz, PO7-FCz, PO8-FCz, PO3-FCz and PO4-FCZ</w:t>
      </w:r>
      <w:r w:rsidR="00323FA6" w:rsidRPr="007F4507">
        <w:rPr>
          <w:rFonts w:eastAsia="Helvetica Neue"/>
          <w:sz w:val="24"/>
          <w:szCs w:val="24"/>
          <w:lang w:val="en-US"/>
        </w:rPr>
        <w:t>.</w:t>
      </w: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8" w:name="_Toc22095185"/>
      <w:r w:rsidR="00B37186" w:rsidRPr="002A063A">
        <w:rPr>
          <w:rFonts w:eastAsia="Helvetica Neue"/>
          <w:b/>
          <w:sz w:val="24"/>
          <w:szCs w:val="24"/>
          <w:lang w:val="en-US"/>
        </w:rPr>
        <w:t>Ethics statement</w:t>
      </w:r>
      <w:bookmarkEnd w:id="58"/>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9" w:name="_Toc22095186"/>
      <w:r w:rsidRPr="002A063A">
        <w:rPr>
          <w:rFonts w:eastAsia="Helvetica Neue"/>
          <w:b/>
          <w:sz w:val="24"/>
          <w:szCs w:val="24"/>
          <w:lang w:val="en-US"/>
        </w:rPr>
        <w:lastRenderedPageBreak/>
        <w:t>Results and discussion</w:t>
      </w:r>
      <w:bookmarkEnd w:id="59"/>
    </w:p>
    <w:p w14:paraId="57E38656" w14:textId="48325F95" w:rsidR="008324EF" w:rsidRDefault="00DB6C3F" w:rsidP="00193100">
      <w:pPr>
        <w:pStyle w:val="Ttulo2"/>
        <w:numPr>
          <w:ilvl w:val="1"/>
          <w:numId w:val="1"/>
        </w:numPr>
        <w:rPr>
          <w:rFonts w:eastAsia="Helvetica Neue"/>
          <w:b/>
          <w:sz w:val="24"/>
          <w:szCs w:val="24"/>
          <w:lang w:val="en-US"/>
        </w:rPr>
      </w:pPr>
      <w:bookmarkStart w:id="60" w:name="_Toc22095187"/>
      <w:r w:rsidRPr="002A063A">
        <w:rPr>
          <w:rFonts w:eastAsia="Helvetica Neue"/>
          <w:b/>
          <w:sz w:val="24"/>
          <w:szCs w:val="24"/>
          <w:lang w:val="en-US"/>
        </w:rPr>
        <w:t>Set of test</w:t>
      </w:r>
      <w:bookmarkEnd w:id="60"/>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3"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1832980B"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Pr>
          <w:rFonts w:eastAsia="Helvetica Neue"/>
          <w:sz w:val="24"/>
          <w:szCs w:val="24"/>
          <w:lang w:val="en-US"/>
        </w:rPr>
        <w:fldChar w:fldCharType="separate"/>
      </w:r>
      <w:r w:rsidR="006D19F0" w:rsidRPr="006D19F0">
        <w:rPr>
          <w:rFonts w:eastAsia="Helvetica Neue"/>
          <w:noProof/>
          <w:sz w:val="24"/>
          <w:szCs w:val="24"/>
          <w:lang w:val="en-US"/>
        </w:rPr>
        <w:t>[97]</w:t>
      </w:r>
      <w:r>
        <w:rPr>
          <w:rFonts w:eastAsia="Helvetica Neue"/>
          <w:sz w:val="24"/>
          <w:szCs w:val="24"/>
          <w:lang w:val="en-US"/>
        </w:rPr>
        <w:fldChar w:fldCharType="end"/>
      </w:r>
      <w:r w:rsidR="00030C7D">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"[98]", "plainTextFormattedCitation" : "[98]",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6D19F0" w:rsidRPr="006D19F0">
        <w:rPr>
          <w:rFonts w:eastAsia="Helvetica Neue"/>
          <w:noProof/>
          <w:sz w:val="24"/>
          <w:szCs w:val="24"/>
          <w:lang w:val="en-US"/>
        </w:rPr>
        <w:t>[98]</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eastAsia="Helvetica Neue"/>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9B00CF">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eastAsia="Helvetica Neue"/>
          <w:noProof/>
          <w:sz w:val="24"/>
          <w:szCs w:val="24"/>
          <w:lang w:val="en-US"/>
        </w:rPr>
        <w:t>[100]</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CA19E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[101]</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"[102]", "plainTextFormattedCitation" : "[102]",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[102]</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C60619" w:rsidRPr="006D19F0">
        <w:rPr>
          <w:rFonts w:eastAsia="Helvetica Neue"/>
          <w:noProof/>
          <w:sz w:val="24"/>
          <w:szCs w:val="24"/>
          <w:lang w:val="en-US"/>
        </w:rPr>
        <w:t>[97]</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C10263" w:rsidRPr="009B00CF">
        <w:rPr>
          <w:rFonts w:eastAsia="Helvetica Neue"/>
          <w:noProof/>
          <w:sz w:val="24"/>
          <w:szCs w:val="24"/>
          <w:lang w:val="en-US"/>
        </w:rPr>
        <w:t>[100]</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C10263" w:rsidRPr="00C10263">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"[103]", "plainTextFormattedCitation" : "[103]",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[103]</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61"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61"/>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BC2206"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BC2206"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003A1D9"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9B00CF">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ascii="Arial" w:eastAsia="Helvetica Neue" w:hAnsi="Arial" w:cs="Arial"/>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CA19E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ascii="Arial" w:eastAsia="Helvetica Neue" w:hAnsi="Arial" w:cs="Arial"/>
                <w:noProof/>
                <w:sz w:val="24"/>
                <w:szCs w:val="24"/>
                <w:lang w:val="en-US"/>
              </w:rPr>
              <w:t>[100]</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BC2206"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BC2206"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FA47"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61E35"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2B5A2"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02467"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9917E"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0F5D5"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924D6"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BC2206"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BC2206"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BC2206"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8546DD" w:rsidRPr="002E704B" w:rsidRDefault="008546DD"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8546DD" w:rsidRPr="002E704B" w:rsidRDefault="008546DD"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8546DD" w:rsidRPr="002E704B" w:rsidRDefault="008546DD"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8546DD" w:rsidRPr="002E704B" w:rsidRDefault="008546DD"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8546DD" w:rsidRPr="002E704B" w:rsidRDefault="008546DD"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8546DD" w:rsidRPr="002E704B" w:rsidRDefault="008546DD"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031084" w:rsidRDefault="00AE67D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proofErr w:type="spellStart"/>
            <w:r w:rsidR="009A0803" w:rsidRPr="002A063A">
              <w:rPr>
                <w:rFonts w:ascii="Arial" w:eastAsia="Helvetica Neue" w:hAnsi="Arial" w:cs="Arial"/>
                <w:sz w:val="24"/>
                <w:szCs w:val="24"/>
                <w:lang w:val="es-ES" w:eastAsia="es-ES"/>
              </w:rPr>
              <w:t>The</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031084" w:rsidRDefault="007A6389" w:rsidP="00193100">
            <w:pPr>
              <w:spacing w:line="276" w:lineRule="auto"/>
              <w:jc w:val="center"/>
              <w:rPr>
                <w:rFonts w:ascii="Arial" w:eastAsia="Helvetica Neue" w:hAnsi="Arial" w:cs="Arial"/>
                <w:sz w:val="24"/>
                <w:szCs w:val="24"/>
                <w:lang w:val="en-U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BC2206"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8E3C2"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4232"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F3A3"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10F87"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4">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BC2206"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7629DAB9" w14:textId="2555288A" w:rsidR="000E0E2C"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62" w:name="_Toc22095188"/>
      <w:r w:rsidRPr="002A063A">
        <w:rPr>
          <w:rFonts w:eastAsia="Helvetica Neue"/>
          <w:b/>
          <w:sz w:val="24"/>
          <w:szCs w:val="24"/>
          <w:lang w:val="en-US"/>
        </w:rPr>
        <w:t>Study in healthy control individuals</w:t>
      </w:r>
      <w:bookmarkEnd w:id="62"/>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3"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xml:space="preserve">. Subjects </w:t>
      </w:r>
      <w:proofErr w:type="spellStart"/>
      <w:r w:rsidRPr="00A9712A">
        <w:rPr>
          <w:lang w:val="en-US"/>
        </w:rPr>
        <w:t>caracterization</w:t>
      </w:r>
      <w:bookmarkEnd w:id="63"/>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3811F79C" w:rsidR="004F2621" w:rsidRPr="00CC751A"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w:t>
      </w:r>
      <w:proofErr w:type="spellStart"/>
      <w:r w:rsidRPr="00CC751A">
        <w:rPr>
          <w:rFonts w:eastAsia="Helvetica Neue"/>
          <w:sz w:val="24"/>
          <w:szCs w:val="24"/>
          <w:lang w:val="en-US"/>
        </w:rPr>
        <w:t>Hampel</w:t>
      </w:r>
      <w:proofErr w:type="spellEnd"/>
      <w:r w:rsidRPr="00CC751A">
        <w:rPr>
          <w:rFonts w:eastAsia="Helvetica Neue"/>
          <w:sz w:val="24"/>
          <w:szCs w:val="24"/>
          <w:lang w:val="en-US"/>
        </w:rPr>
        <w:t xml:space="preserve"> filter (Figure 14B) and signals with many atypical data (Figure 14C) were discarded. Drastic errors in the acquisition of the signals were produced by saturation in the sending of data from the </w:t>
      </w:r>
      <w:proofErr w:type="spellStart"/>
      <w:r w:rsidRPr="00CC751A">
        <w:rPr>
          <w:rFonts w:eastAsia="Helvetica Neue"/>
          <w:sz w:val="24"/>
          <w:szCs w:val="24"/>
          <w:lang w:val="en-US"/>
        </w:rPr>
        <w:t>openBCI</w:t>
      </w:r>
      <w:proofErr w:type="spellEnd"/>
      <w:r w:rsidRPr="00CC751A">
        <w:rPr>
          <w:rFonts w:eastAsia="Helvetica Neue"/>
          <w:sz w:val="24"/>
          <w:szCs w:val="24"/>
          <w:lang w:val="en-US"/>
        </w:rPr>
        <w:t>.</w:t>
      </w:r>
    </w:p>
    <w:p w14:paraId="00F731E4" w14:textId="1D4C1EE4" w:rsidR="004F2621" w:rsidRDefault="00A9712A" w:rsidP="00A9712A">
      <w:pPr>
        <w:pStyle w:val="Descripcin"/>
        <w:jc w:val="center"/>
        <w:rPr>
          <w:rFonts w:eastAsia="Helvetica Neue"/>
          <w:sz w:val="24"/>
          <w:szCs w:val="24"/>
          <w:lang w:val="en-US"/>
        </w:rPr>
      </w:pPr>
      <w:bookmarkStart w:id="64" w:name="_Toc22371237"/>
      <w:r w:rsidRPr="00A9712A">
        <w:rPr>
          <w:lang w:val="en-US"/>
        </w:rPr>
        <w:lastRenderedPageBreak/>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4"/>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9" w:history="1">
        <w:r w:rsidRPr="00C746CD">
          <w:rPr>
            <w:rStyle w:val="Hipervnculo"/>
            <w:lang w:val="en-US"/>
          </w:rPr>
          <w:t>https://github.com/danni9310/Thesis_group_1</w:t>
        </w:r>
      </w:hyperlink>
      <w:r w:rsidRPr="00C746CD">
        <w:rPr>
          <w:lang w:val="en-US"/>
        </w:rPr>
        <w:t xml:space="preserve"> and </w:t>
      </w:r>
      <w:hyperlink r:id="rId50"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C2206" w:rsidRDefault="00BE02F0" w:rsidP="00BE02F0">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bookmarkStart w:id="65" w:name="_Toc22371238"/>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bookmarkEnd w:id="65"/>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5ED2F298" w14:textId="11ED1BAA" w:rsidR="00647661" w:rsidRPr="002A063A" w:rsidRDefault="00F0537A" w:rsidP="00026F48">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
    <w:p w14:paraId="7273D36D" w14:textId="03AC2DC0" w:rsidR="00092526" w:rsidRPr="00164F5C" w:rsidRDefault="00092526" w:rsidP="00092526">
      <w:pPr>
        <w:pStyle w:val="Descripcin"/>
        <w:jc w:val="center"/>
        <w:rPr>
          <w:lang w:val="en-US"/>
        </w:rPr>
      </w:pPr>
      <w:bookmarkStart w:id="66" w:name="_Toc22371259"/>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bookmarkEnd w:id="66"/>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05322D7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10605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P-value</w:t>
            </w:r>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E213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E213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E213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504B0539" w14:textId="77777777" w:rsidR="00026F48" w:rsidRDefault="00026F48" w:rsidP="00026F48">
      <w:pPr>
        <w:jc w:val="both"/>
        <w:rPr>
          <w:rFonts w:eastAsia="Helvetica Neue"/>
          <w:sz w:val="24"/>
          <w:szCs w:val="24"/>
          <w:lang w:val="en-US"/>
        </w:rPr>
      </w:pPr>
      <w:proofErr w:type="spellStart"/>
      <w:r w:rsidRPr="002A063A">
        <w:rPr>
          <w:rFonts w:eastAsia="Helvetica Neue"/>
          <w:sz w:val="24"/>
          <w:szCs w:val="24"/>
          <w:lang w:val="en-US"/>
        </w:rPr>
        <w:lastRenderedPageBreak/>
        <w:t>Sphericity</w:t>
      </w:r>
      <w:proofErr w:type="spellEnd"/>
      <w:r w:rsidRPr="002A063A">
        <w:rPr>
          <w:rFonts w:eastAsia="Helvetica Neue"/>
          <w:sz w:val="24"/>
          <w:szCs w:val="24"/>
          <w:lang w:val="en-US"/>
        </w:rPr>
        <w:t xml:space="preserve">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69144BF3" w14:textId="77777777" w:rsidR="00026F48" w:rsidRDefault="00026F48" w:rsidP="00026F48">
      <w:pPr>
        <w:rPr>
          <w:sz w:val="24"/>
          <w:szCs w:val="24"/>
          <w:lang w:val="en-US"/>
        </w:rPr>
      </w:pPr>
    </w:p>
    <w:p w14:paraId="4AB286DD" w14:textId="77777777" w:rsidR="00026F48" w:rsidRPr="002A063A" w:rsidRDefault="00026F48" w:rsidP="00026F48">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"[104]", "plainTextFormattedCitation" : "[104]", "previouslyFormattedCitation" : "[104]" }, "properties" : { "noteIndex" : 0 }, "schema" : "https://github.com/citation-style-language/schema/raw/master/csl-citation.json" }</w:instrText>
      </w:r>
      <w:r>
        <w:rPr>
          <w:rFonts w:eastAsia="Helvetica Neue"/>
          <w:sz w:val="24"/>
          <w:szCs w:val="24"/>
          <w:lang w:val="en-US"/>
        </w:rPr>
        <w:fldChar w:fldCharType="separate"/>
      </w:r>
      <w:r w:rsidRPr="000464A3">
        <w:rPr>
          <w:rFonts w:eastAsia="Helvetica Neue"/>
          <w:noProof/>
          <w:sz w:val="24"/>
          <w:szCs w:val="24"/>
          <w:lang w:val="en-US"/>
        </w:rPr>
        <w:t>[104]</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"previouslyFormattedCitation" : "[105]" }, "properties" : { "noteIndex" : 0 }, "schema" : "https://github.com/citation-style-language/schema/raw/master/csl-citation.json" }</w:instrText>
      </w:r>
      <w:r>
        <w:rPr>
          <w:rFonts w:eastAsia="Helvetica Neue"/>
          <w:sz w:val="24"/>
          <w:szCs w:val="24"/>
          <w:lang w:val="en-US"/>
        </w:rPr>
        <w:fldChar w:fldCharType="separate"/>
      </w:r>
      <w:r w:rsidRPr="000464A3">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w:t>
      </w:r>
    </w:p>
    <w:p w14:paraId="3DECA11B" w14:textId="77777777" w:rsidR="00026F48" w:rsidRPr="002A063A" w:rsidRDefault="00026F48" w:rsidP="00026F48">
      <w:pPr>
        <w:jc w:val="both"/>
        <w:rPr>
          <w:rFonts w:eastAsia="Helvetica Neue"/>
          <w:sz w:val="24"/>
          <w:szCs w:val="24"/>
          <w:lang w:val="en-US"/>
        </w:rPr>
      </w:pPr>
    </w:p>
    <w:p w14:paraId="39ED53F6" w14:textId="77777777" w:rsidR="00026F48" w:rsidRPr="002A063A" w:rsidRDefault="00026F48" w:rsidP="00026F48">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bookmarkStart w:id="67" w:name="_Toc22371239"/>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bookmarkEnd w:id="67"/>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8546DD" w:rsidRPr="008926EC" w:rsidRDefault="008546DD"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8546DD" w:rsidRPr="008926EC" w:rsidRDefault="008546DD"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8546DD" w:rsidRPr="008926EC" w:rsidRDefault="008546DD">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8546DD" w:rsidRPr="008926EC" w:rsidRDefault="008546DD">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8546DD" w:rsidRPr="008926EC" w:rsidRDefault="008546DD"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8546DD" w:rsidRPr="008926EC" w:rsidRDefault="008546DD"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8546DD" w:rsidRPr="008926EC" w:rsidRDefault="008546DD"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8546DD" w:rsidRPr="008926EC" w:rsidRDefault="008546DD"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3E526F" w:rsidRDefault="009F1E6C" w:rsidP="00193100">
      <w:pPr>
        <w:rPr>
          <w:sz w:val="24"/>
          <w:szCs w:val="24"/>
          <w:lang w:val="en-US"/>
        </w:rPr>
      </w:pPr>
    </w:p>
    <w:p w14:paraId="09BCBE17" w14:textId="77777777" w:rsidR="003E526F" w:rsidRPr="003E526F" w:rsidRDefault="003E526F" w:rsidP="003E526F">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28D53187" w14:textId="77777777" w:rsidR="003E526F" w:rsidRPr="003E526F" w:rsidRDefault="003E526F" w:rsidP="003E526F">
      <w:pPr>
        <w:jc w:val="both"/>
        <w:rPr>
          <w:rFonts w:eastAsia="Helvetica Neue"/>
          <w:sz w:val="24"/>
          <w:szCs w:val="24"/>
          <w:lang w:val="en-US"/>
        </w:rPr>
      </w:pPr>
    </w:p>
    <w:p w14:paraId="68136BC8" w14:textId="77777777" w:rsidR="003E526F" w:rsidRDefault="003E526F" w:rsidP="003E526F">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3CB84604" w14:textId="77777777" w:rsidR="003E526F" w:rsidRDefault="003E526F" w:rsidP="003E526F">
      <w:pPr>
        <w:jc w:val="both"/>
        <w:rPr>
          <w:rFonts w:eastAsia="Helvetica Neue"/>
          <w:sz w:val="24"/>
          <w:szCs w:val="24"/>
          <w:lang w:val="en-US"/>
        </w:rPr>
      </w:pPr>
    </w:p>
    <w:p w14:paraId="109E2D7E" w14:textId="0462E7D1" w:rsidR="00E213EA" w:rsidRDefault="00E213EA" w:rsidP="003E526F">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6163E0AA" w14:textId="4FAECC3F" w:rsidR="003E526F" w:rsidRDefault="003E526F" w:rsidP="003E526F">
      <w:pPr>
        <w:jc w:val="both"/>
        <w:rPr>
          <w:rFonts w:eastAsia="Helvetica Neue"/>
          <w:sz w:val="24"/>
          <w:szCs w:val="24"/>
          <w:lang w:val="en-US"/>
        </w:rPr>
      </w:pPr>
    </w:p>
    <w:p w14:paraId="7FDE7BB4" w14:textId="77777777" w:rsidR="003E526F" w:rsidRDefault="003E526F" w:rsidP="003E526F">
      <w:pPr>
        <w:jc w:val="both"/>
        <w:rPr>
          <w:rFonts w:eastAsia="Helvetica Neue"/>
          <w:sz w:val="24"/>
          <w:szCs w:val="24"/>
          <w:lang w:val="en-US"/>
        </w:rPr>
      </w:pPr>
    </w:p>
    <w:p w14:paraId="005FA188" w14:textId="49B3755A" w:rsidR="009F1E6C" w:rsidRDefault="009F1E6C" w:rsidP="00193100">
      <w:pPr>
        <w:rPr>
          <w:sz w:val="24"/>
          <w:szCs w:val="24"/>
          <w:lang w:val="en-US"/>
        </w:rPr>
      </w:pPr>
    </w:p>
    <w:p w14:paraId="04A9E0D4" w14:textId="2CDCFEE5" w:rsidR="00253BF5" w:rsidRDefault="00253BF5" w:rsidP="00253BF5">
      <w:pPr>
        <w:pStyle w:val="Descripcin"/>
        <w:jc w:val="center"/>
        <w:rPr>
          <w:sz w:val="24"/>
          <w:szCs w:val="24"/>
          <w:lang w:val="en-US"/>
        </w:rPr>
      </w:pPr>
      <w:bookmarkStart w:id="68" w:name="_Toc22371260"/>
      <w:r w:rsidRPr="00253BF5">
        <w:rPr>
          <w:lang w:val="en-US"/>
        </w:rPr>
        <w:lastRenderedPageBreak/>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w:t>
      </w:r>
      <w:proofErr w:type="spellStart"/>
      <w:r w:rsidRPr="00253BF5">
        <w:rPr>
          <w:lang w:val="en-US"/>
        </w:rPr>
        <w:t>Mauchly's</w:t>
      </w:r>
      <w:proofErr w:type="spellEnd"/>
      <w:r w:rsidRPr="00253BF5">
        <w:rPr>
          <w:lang w:val="en-US"/>
        </w:rPr>
        <w:t xml:space="preserve"> </w:t>
      </w:r>
      <w:proofErr w:type="spellStart"/>
      <w:r w:rsidRPr="00253BF5">
        <w:rPr>
          <w:lang w:val="en-US"/>
        </w:rPr>
        <w:t>sphericity</w:t>
      </w:r>
      <w:proofErr w:type="spellEnd"/>
      <w:r w:rsidRPr="00253BF5">
        <w:rPr>
          <w:lang w:val="en-US"/>
        </w:rPr>
        <w:t xml:space="preserve"> test for each stimulus (S), factor for frequency band (F) and type of vision (B, L AND R) for mix group - </w:t>
      </w:r>
      <w:proofErr w:type="gramStart"/>
      <w:r w:rsidRPr="00253BF5">
        <w:rPr>
          <w:lang w:val="en-US"/>
        </w:rPr>
        <w:t xml:space="preserve">* </w:t>
      </w:r>
      <w:r w:rsidR="009C1C14">
        <w:rPr>
          <w:lang w:val="en-US"/>
        </w:rPr>
        <w:t xml:space="preserve"> S</w:t>
      </w:r>
      <w:r w:rsidRPr="00253BF5">
        <w:rPr>
          <w:lang w:val="en-US"/>
        </w:rPr>
        <w:t>ignificant</w:t>
      </w:r>
      <w:proofErr w:type="gramEnd"/>
      <w:r w:rsidRPr="00253BF5">
        <w:rPr>
          <w:lang w:val="en-US"/>
        </w:rPr>
        <w:t xml:space="preserve"> difference</w:t>
      </w:r>
      <w:bookmarkEnd w:id="68"/>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1 + </w:t>
            </w: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w:t>
            </w:r>
            <w:proofErr w:type="spellStart"/>
            <w:r w:rsidRPr="00487DB5">
              <w:rPr>
                <w:rFonts w:eastAsia="Times New Roman"/>
                <w:b/>
                <w:bCs/>
                <w:color w:val="FFFFFF"/>
                <w:sz w:val="20"/>
                <w:szCs w:val="20"/>
              </w:rPr>
              <w:t>value</w:t>
            </w:r>
            <w:proofErr w:type="spellEnd"/>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Vernier </w:t>
            </w:r>
            <w:proofErr w:type="spellStart"/>
            <w:r w:rsidRPr="00487DB5">
              <w:rPr>
                <w:rFonts w:eastAsia="Times New Roman"/>
                <w:color w:val="000000"/>
                <w:sz w:val="20"/>
                <w:szCs w:val="20"/>
              </w:rPr>
              <w:t>acuity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Contrast</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sensitivity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Visual </w:t>
            </w:r>
            <w:proofErr w:type="spellStart"/>
            <w:r w:rsidRPr="00487DB5">
              <w:rPr>
                <w:rFonts w:eastAsia="Times New Roman"/>
                <w:color w:val="000000"/>
                <w:sz w:val="20"/>
                <w:szCs w:val="20"/>
              </w:rPr>
              <w:t>field</w:t>
            </w:r>
            <w:proofErr w:type="spellEnd"/>
            <w:r w:rsidRPr="00487DB5">
              <w:rPr>
                <w:rFonts w:eastAsia="Times New Roman"/>
                <w:color w:val="000000"/>
                <w:sz w:val="20"/>
                <w:szCs w:val="20"/>
              </w:rPr>
              <w:t xml:space="preserve">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RDKs</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Square</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Form</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recognition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Read</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words</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Color </w:t>
            </w:r>
            <w:proofErr w:type="spellStart"/>
            <w:r w:rsidRPr="00487DB5">
              <w:rPr>
                <w:rFonts w:eastAsia="Times New Roman"/>
                <w:color w:val="000000"/>
                <w:sz w:val="20"/>
                <w:szCs w:val="20"/>
              </w:rPr>
              <w:t>detection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Image</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description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r w:rsidRPr="009B3EA9">
        <w:rPr>
          <w:sz w:val="24"/>
          <w:szCs w:val="24"/>
          <w:lang w:val="en-US"/>
        </w:rPr>
        <w:lastRenderedPageBreak/>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bookmarkStart w:id="69"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bookmarkEnd w:id="69"/>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8546DD" w:rsidRPr="008926EC" w:rsidRDefault="008546DD"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8546DD" w:rsidRPr="008926EC" w:rsidRDefault="008546DD"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8546DD" w:rsidRPr="008926EC" w:rsidRDefault="008546DD"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8546DD" w:rsidRPr="008926EC" w:rsidRDefault="008546DD"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8546DD" w:rsidRPr="008926EC" w:rsidRDefault="008546DD"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8546DD" w:rsidRPr="008926EC" w:rsidRDefault="008546DD"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8546DD" w:rsidRPr="008926EC" w:rsidRDefault="008546DD"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8546DD" w:rsidRPr="008926EC" w:rsidRDefault="008546DD"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4E19597D" w14:textId="4E0A5F46" w:rsidR="00BD01B6" w:rsidRDefault="006916B4" w:rsidP="00BC2206">
      <w:pPr>
        <w:jc w:val="both"/>
        <w:rPr>
          <w:sz w:val="24"/>
          <w:szCs w:val="24"/>
          <w:lang w:val="en-US"/>
        </w:rPr>
      </w:pPr>
      <w:r w:rsidRPr="006916B4">
        <w:rPr>
          <w:sz w:val="24"/>
          <w:szCs w:val="24"/>
          <w:lang w:val="en-US"/>
        </w:rPr>
        <w:t xml:space="preserve">According to these results, three analyses are essential. First, </w:t>
      </w:r>
      <w:proofErr w:type="spellStart"/>
      <w:r w:rsidRPr="006916B4">
        <w:rPr>
          <w:sz w:val="24"/>
          <w:szCs w:val="24"/>
          <w:lang w:val="en-US"/>
        </w:rPr>
        <w:t>openBCI</w:t>
      </w:r>
      <w:proofErr w:type="spellEnd"/>
      <w:r w:rsidRPr="006916B4">
        <w:rPr>
          <w:sz w:val="24"/>
          <w:szCs w:val="24"/>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7EF5E667" w14:textId="3A9505CA" w:rsidR="00BC2206" w:rsidRDefault="00BC2206" w:rsidP="00BC2206">
      <w:pPr>
        <w:jc w:val="both"/>
        <w:rPr>
          <w:sz w:val="24"/>
          <w:szCs w:val="24"/>
          <w:lang w:val="en-US"/>
        </w:rPr>
      </w:pPr>
    </w:p>
    <w:p w14:paraId="020BE057" w14:textId="23DE20BB" w:rsidR="00BC2206" w:rsidRDefault="00BC2206" w:rsidP="00BC2206">
      <w:pPr>
        <w:jc w:val="both"/>
        <w:rPr>
          <w:sz w:val="24"/>
          <w:szCs w:val="24"/>
          <w:lang w:val="en-US"/>
        </w:rPr>
      </w:pPr>
    </w:p>
    <w:p w14:paraId="5164E2D5" w14:textId="5BF415F0" w:rsidR="00BC2206" w:rsidRPr="00BC2206" w:rsidRDefault="00BC2206" w:rsidP="00BC2206">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1B9A7A4E" w14:textId="6AAB86F2" w:rsidR="00BC2206" w:rsidRDefault="00BC2206" w:rsidP="00BC2206">
      <w:pPr>
        <w:jc w:val="both"/>
        <w:rPr>
          <w:sz w:val="24"/>
          <w:szCs w:val="24"/>
          <w:lang w:val="en-US"/>
        </w:rPr>
      </w:pPr>
    </w:p>
    <w:p w14:paraId="5AC1DF69" w14:textId="5AA49323" w:rsidR="00BC2206" w:rsidRDefault="00BC2206" w:rsidP="00BC2206">
      <w:pPr>
        <w:jc w:val="both"/>
        <w:rPr>
          <w:sz w:val="24"/>
          <w:szCs w:val="24"/>
          <w:lang w:val="en-US"/>
        </w:rPr>
      </w:pPr>
    </w:p>
    <w:tbl>
      <w:tblPr>
        <w:tblW w:w="4957"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BC2206" w:rsidRPr="00BC2206" w14:paraId="64F1C2F9" w14:textId="77777777" w:rsidTr="00BC2206">
        <w:trPr>
          <w:trHeight w:val="300"/>
        </w:trPr>
        <w:tc>
          <w:tcPr>
            <w:tcW w:w="4957"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D3E2A83"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Group 1 + Group 2</w:t>
            </w:r>
          </w:p>
        </w:tc>
      </w:tr>
      <w:tr w:rsidR="00BC2206" w:rsidRPr="00BC2206" w14:paraId="496005F6" w14:textId="77777777" w:rsidTr="00BC2206">
        <w:trPr>
          <w:trHeight w:val="570"/>
        </w:trPr>
        <w:tc>
          <w:tcPr>
            <w:tcW w:w="105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D1AD10"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BE91A26"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689D0DC0"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6C2578F5"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49E32A8"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EO vs S</w:t>
            </w:r>
          </w:p>
        </w:tc>
        <w:tc>
          <w:tcPr>
            <w:tcW w:w="1144" w:type="dxa"/>
            <w:gridSpan w:val="3"/>
            <w:tcBorders>
              <w:top w:val="single" w:sz="4" w:space="0" w:color="auto"/>
              <w:left w:val="nil"/>
              <w:bottom w:val="single" w:sz="4" w:space="0" w:color="auto"/>
              <w:right w:val="single" w:sz="4" w:space="0" w:color="000000"/>
            </w:tcBorders>
            <w:shd w:val="clear" w:color="000000" w:fill="434343"/>
            <w:vAlign w:val="center"/>
            <w:hideMark/>
          </w:tcPr>
          <w:p w14:paraId="740A4759"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P-value</w:t>
            </w:r>
          </w:p>
        </w:tc>
      </w:tr>
      <w:tr w:rsidR="00BC2206" w:rsidRPr="00BC2206" w14:paraId="3705D437"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03D1861D" w14:textId="77777777" w:rsidR="00BC2206" w:rsidRPr="00BC2206" w:rsidRDefault="00BC2206" w:rsidP="00BC2206">
            <w:pPr>
              <w:spacing w:line="240" w:lineRule="auto"/>
              <w:rPr>
                <w:rFonts w:eastAsia="Times New Roman"/>
                <w:b/>
                <w:bCs/>
                <w:color w:val="FFFFFF"/>
                <w:sz w:val="20"/>
                <w:szCs w:val="20"/>
                <w:lang w:val="en-US"/>
              </w:rPr>
            </w:pPr>
          </w:p>
        </w:tc>
        <w:tc>
          <w:tcPr>
            <w:tcW w:w="263" w:type="dxa"/>
            <w:vMerge/>
            <w:tcBorders>
              <w:top w:val="nil"/>
              <w:left w:val="single" w:sz="4" w:space="0" w:color="auto"/>
              <w:bottom w:val="single" w:sz="4" w:space="0" w:color="000000"/>
              <w:right w:val="single" w:sz="4" w:space="0" w:color="auto"/>
            </w:tcBorders>
            <w:vAlign w:val="center"/>
            <w:hideMark/>
          </w:tcPr>
          <w:p w14:paraId="1812AE8D" w14:textId="77777777" w:rsidR="00BC2206" w:rsidRPr="00BC2206" w:rsidRDefault="00BC2206" w:rsidP="00BC2206">
            <w:pPr>
              <w:spacing w:line="240" w:lineRule="auto"/>
              <w:rPr>
                <w:rFonts w:eastAsia="Times New Roman"/>
                <w:b/>
                <w:bCs/>
                <w:color w:val="FFFFFF"/>
                <w:sz w:val="20"/>
                <w:szCs w:val="20"/>
                <w:lang w:val="en-US"/>
              </w:rPr>
            </w:pPr>
          </w:p>
        </w:tc>
        <w:tc>
          <w:tcPr>
            <w:tcW w:w="274" w:type="dxa"/>
            <w:tcBorders>
              <w:top w:val="nil"/>
              <w:left w:val="nil"/>
              <w:bottom w:val="single" w:sz="4" w:space="0" w:color="auto"/>
              <w:right w:val="single" w:sz="4" w:space="0" w:color="auto"/>
            </w:tcBorders>
            <w:shd w:val="clear" w:color="000000" w:fill="434343"/>
            <w:vAlign w:val="center"/>
            <w:hideMark/>
          </w:tcPr>
          <w:p w14:paraId="1FBF0A8D"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B</w:t>
            </w:r>
          </w:p>
        </w:tc>
        <w:tc>
          <w:tcPr>
            <w:tcW w:w="274" w:type="dxa"/>
            <w:tcBorders>
              <w:top w:val="nil"/>
              <w:left w:val="nil"/>
              <w:bottom w:val="single" w:sz="4" w:space="0" w:color="auto"/>
              <w:right w:val="single" w:sz="4" w:space="0" w:color="auto"/>
            </w:tcBorders>
            <w:shd w:val="clear" w:color="000000" w:fill="434343"/>
            <w:vAlign w:val="center"/>
            <w:hideMark/>
          </w:tcPr>
          <w:p w14:paraId="7F0486F4"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L</w:t>
            </w:r>
          </w:p>
        </w:tc>
        <w:tc>
          <w:tcPr>
            <w:tcW w:w="285" w:type="dxa"/>
            <w:tcBorders>
              <w:top w:val="nil"/>
              <w:left w:val="nil"/>
              <w:bottom w:val="single" w:sz="4" w:space="0" w:color="auto"/>
              <w:right w:val="single" w:sz="4" w:space="0" w:color="auto"/>
            </w:tcBorders>
            <w:shd w:val="clear" w:color="000000" w:fill="434343"/>
            <w:vAlign w:val="center"/>
            <w:hideMark/>
          </w:tcPr>
          <w:p w14:paraId="6BBA46A2"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R</w:t>
            </w:r>
          </w:p>
        </w:tc>
        <w:tc>
          <w:tcPr>
            <w:tcW w:w="274" w:type="dxa"/>
            <w:tcBorders>
              <w:top w:val="nil"/>
              <w:left w:val="nil"/>
              <w:bottom w:val="single" w:sz="4" w:space="0" w:color="auto"/>
              <w:right w:val="single" w:sz="4" w:space="0" w:color="auto"/>
            </w:tcBorders>
            <w:shd w:val="clear" w:color="000000" w:fill="434343"/>
            <w:vAlign w:val="center"/>
            <w:hideMark/>
          </w:tcPr>
          <w:p w14:paraId="6434A8C4"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B</w:t>
            </w:r>
          </w:p>
        </w:tc>
        <w:tc>
          <w:tcPr>
            <w:tcW w:w="274" w:type="dxa"/>
            <w:tcBorders>
              <w:top w:val="nil"/>
              <w:left w:val="nil"/>
              <w:bottom w:val="single" w:sz="4" w:space="0" w:color="auto"/>
              <w:right w:val="single" w:sz="4" w:space="0" w:color="auto"/>
            </w:tcBorders>
            <w:shd w:val="clear" w:color="000000" w:fill="434343"/>
            <w:vAlign w:val="center"/>
            <w:hideMark/>
          </w:tcPr>
          <w:p w14:paraId="533B410B"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L</w:t>
            </w:r>
          </w:p>
        </w:tc>
        <w:tc>
          <w:tcPr>
            <w:tcW w:w="285" w:type="dxa"/>
            <w:tcBorders>
              <w:top w:val="nil"/>
              <w:left w:val="nil"/>
              <w:bottom w:val="single" w:sz="4" w:space="0" w:color="auto"/>
              <w:right w:val="single" w:sz="4" w:space="0" w:color="auto"/>
            </w:tcBorders>
            <w:shd w:val="clear" w:color="000000" w:fill="434343"/>
            <w:vAlign w:val="center"/>
            <w:hideMark/>
          </w:tcPr>
          <w:p w14:paraId="233B14AC"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R</w:t>
            </w:r>
          </w:p>
        </w:tc>
        <w:tc>
          <w:tcPr>
            <w:tcW w:w="274" w:type="dxa"/>
            <w:tcBorders>
              <w:top w:val="nil"/>
              <w:left w:val="nil"/>
              <w:bottom w:val="single" w:sz="4" w:space="0" w:color="auto"/>
              <w:right w:val="single" w:sz="4" w:space="0" w:color="auto"/>
            </w:tcBorders>
            <w:shd w:val="clear" w:color="000000" w:fill="434343"/>
            <w:vAlign w:val="center"/>
            <w:hideMark/>
          </w:tcPr>
          <w:p w14:paraId="2C94BD83"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B</w:t>
            </w:r>
          </w:p>
        </w:tc>
        <w:tc>
          <w:tcPr>
            <w:tcW w:w="274" w:type="dxa"/>
            <w:tcBorders>
              <w:top w:val="nil"/>
              <w:left w:val="nil"/>
              <w:bottom w:val="single" w:sz="4" w:space="0" w:color="auto"/>
              <w:right w:val="single" w:sz="4" w:space="0" w:color="auto"/>
            </w:tcBorders>
            <w:shd w:val="clear" w:color="000000" w:fill="434343"/>
            <w:vAlign w:val="center"/>
            <w:hideMark/>
          </w:tcPr>
          <w:p w14:paraId="613718D0"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L</w:t>
            </w:r>
          </w:p>
        </w:tc>
        <w:tc>
          <w:tcPr>
            <w:tcW w:w="285" w:type="dxa"/>
            <w:tcBorders>
              <w:top w:val="nil"/>
              <w:left w:val="nil"/>
              <w:bottom w:val="single" w:sz="4" w:space="0" w:color="auto"/>
              <w:right w:val="single" w:sz="4" w:space="0" w:color="auto"/>
            </w:tcBorders>
            <w:shd w:val="clear" w:color="000000" w:fill="434343"/>
            <w:vAlign w:val="center"/>
            <w:hideMark/>
          </w:tcPr>
          <w:p w14:paraId="19BFD5AE"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R</w:t>
            </w:r>
          </w:p>
        </w:tc>
        <w:tc>
          <w:tcPr>
            <w:tcW w:w="490" w:type="dxa"/>
            <w:tcBorders>
              <w:top w:val="nil"/>
              <w:left w:val="nil"/>
              <w:bottom w:val="single" w:sz="4" w:space="0" w:color="auto"/>
              <w:right w:val="single" w:sz="4" w:space="0" w:color="auto"/>
            </w:tcBorders>
            <w:shd w:val="clear" w:color="000000" w:fill="434343"/>
            <w:vAlign w:val="center"/>
            <w:hideMark/>
          </w:tcPr>
          <w:p w14:paraId="6F754030"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B</w:t>
            </w:r>
          </w:p>
        </w:tc>
        <w:tc>
          <w:tcPr>
            <w:tcW w:w="490" w:type="dxa"/>
            <w:tcBorders>
              <w:top w:val="nil"/>
              <w:left w:val="nil"/>
              <w:bottom w:val="single" w:sz="4" w:space="0" w:color="auto"/>
              <w:right w:val="single" w:sz="4" w:space="0" w:color="auto"/>
            </w:tcBorders>
            <w:shd w:val="clear" w:color="000000" w:fill="434343"/>
            <w:vAlign w:val="center"/>
            <w:hideMark/>
          </w:tcPr>
          <w:p w14:paraId="002C5253"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L</w:t>
            </w:r>
          </w:p>
        </w:tc>
        <w:tc>
          <w:tcPr>
            <w:tcW w:w="164" w:type="dxa"/>
            <w:tcBorders>
              <w:top w:val="nil"/>
              <w:left w:val="nil"/>
              <w:bottom w:val="single" w:sz="4" w:space="0" w:color="auto"/>
              <w:right w:val="single" w:sz="4" w:space="0" w:color="auto"/>
            </w:tcBorders>
            <w:shd w:val="clear" w:color="000000" w:fill="434343"/>
            <w:vAlign w:val="center"/>
            <w:hideMark/>
          </w:tcPr>
          <w:p w14:paraId="3F5EE862" w14:textId="77777777" w:rsidR="00BC2206" w:rsidRPr="00BC2206" w:rsidRDefault="00BC2206" w:rsidP="00BC2206">
            <w:pPr>
              <w:spacing w:line="240" w:lineRule="auto"/>
              <w:jc w:val="center"/>
              <w:rPr>
                <w:rFonts w:eastAsia="Times New Roman"/>
                <w:b/>
                <w:bCs/>
                <w:color w:val="FFFFFF"/>
                <w:sz w:val="20"/>
                <w:szCs w:val="20"/>
                <w:lang w:val="en-US"/>
              </w:rPr>
            </w:pPr>
            <w:r w:rsidRPr="00BC2206">
              <w:rPr>
                <w:rFonts w:eastAsia="Times New Roman"/>
                <w:b/>
                <w:bCs/>
                <w:color w:val="FFFFFF"/>
                <w:sz w:val="20"/>
                <w:szCs w:val="20"/>
                <w:lang w:val="en-US"/>
              </w:rPr>
              <w:t>R</w:t>
            </w:r>
          </w:p>
        </w:tc>
      </w:tr>
      <w:tr w:rsidR="00BC2206" w:rsidRPr="00BC2206" w14:paraId="5D0F940C"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75AB1752"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Vernier acuity</w:t>
            </w:r>
          </w:p>
        </w:tc>
        <w:tc>
          <w:tcPr>
            <w:tcW w:w="263" w:type="dxa"/>
            <w:tcBorders>
              <w:top w:val="nil"/>
              <w:left w:val="nil"/>
              <w:bottom w:val="single" w:sz="4" w:space="0" w:color="auto"/>
              <w:right w:val="single" w:sz="4" w:space="0" w:color="auto"/>
            </w:tcBorders>
            <w:shd w:val="clear" w:color="auto" w:fill="auto"/>
            <w:vAlign w:val="center"/>
            <w:hideMark/>
          </w:tcPr>
          <w:p w14:paraId="3FAAA0B9"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1</w:t>
            </w:r>
          </w:p>
        </w:tc>
        <w:tc>
          <w:tcPr>
            <w:tcW w:w="274" w:type="dxa"/>
            <w:tcBorders>
              <w:top w:val="nil"/>
              <w:left w:val="nil"/>
              <w:bottom w:val="single" w:sz="4" w:space="0" w:color="auto"/>
              <w:right w:val="single" w:sz="4" w:space="0" w:color="auto"/>
            </w:tcBorders>
            <w:shd w:val="clear" w:color="auto" w:fill="auto"/>
            <w:vAlign w:val="center"/>
            <w:hideMark/>
          </w:tcPr>
          <w:p w14:paraId="0FE49D78"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 </w:t>
            </w:r>
          </w:p>
        </w:tc>
        <w:tc>
          <w:tcPr>
            <w:tcW w:w="274" w:type="dxa"/>
            <w:tcBorders>
              <w:top w:val="nil"/>
              <w:left w:val="nil"/>
              <w:bottom w:val="single" w:sz="4" w:space="0" w:color="auto"/>
              <w:right w:val="single" w:sz="4" w:space="0" w:color="auto"/>
            </w:tcBorders>
            <w:shd w:val="clear" w:color="auto" w:fill="auto"/>
            <w:vAlign w:val="center"/>
            <w:hideMark/>
          </w:tcPr>
          <w:p w14:paraId="5079CA47"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w:t>
            </w:r>
          </w:p>
        </w:tc>
        <w:tc>
          <w:tcPr>
            <w:tcW w:w="285" w:type="dxa"/>
            <w:tcBorders>
              <w:top w:val="nil"/>
              <w:left w:val="nil"/>
              <w:bottom w:val="single" w:sz="4" w:space="0" w:color="auto"/>
              <w:right w:val="single" w:sz="4" w:space="0" w:color="auto"/>
            </w:tcBorders>
            <w:shd w:val="clear" w:color="auto" w:fill="auto"/>
            <w:vAlign w:val="center"/>
            <w:hideMark/>
          </w:tcPr>
          <w:p w14:paraId="6B51DCC8"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w:t>
            </w:r>
          </w:p>
        </w:tc>
        <w:tc>
          <w:tcPr>
            <w:tcW w:w="274" w:type="dxa"/>
            <w:tcBorders>
              <w:top w:val="nil"/>
              <w:left w:val="nil"/>
              <w:bottom w:val="single" w:sz="4" w:space="0" w:color="auto"/>
              <w:right w:val="single" w:sz="4" w:space="0" w:color="auto"/>
            </w:tcBorders>
            <w:shd w:val="clear" w:color="auto" w:fill="auto"/>
            <w:vAlign w:val="center"/>
            <w:hideMark/>
          </w:tcPr>
          <w:p w14:paraId="3E8FE070"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 </w:t>
            </w:r>
          </w:p>
        </w:tc>
        <w:tc>
          <w:tcPr>
            <w:tcW w:w="274" w:type="dxa"/>
            <w:tcBorders>
              <w:top w:val="nil"/>
              <w:left w:val="nil"/>
              <w:bottom w:val="single" w:sz="4" w:space="0" w:color="auto"/>
              <w:right w:val="single" w:sz="4" w:space="0" w:color="auto"/>
            </w:tcBorders>
            <w:shd w:val="clear" w:color="auto" w:fill="auto"/>
            <w:vAlign w:val="center"/>
            <w:hideMark/>
          </w:tcPr>
          <w:p w14:paraId="30A2053A"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 </w:t>
            </w:r>
          </w:p>
        </w:tc>
        <w:tc>
          <w:tcPr>
            <w:tcW w:w="285" w:type="dxa"/>
            <w:tcBorders>
              <w:top w:val="nil"/>
              <w:left w:val="nil"/>
              <w:bottom w:val="single" w:sz="4" w:space="0" w:color="auto"/>
              <w:right w:val="single" w:sz="4" w:space="0" w:color="auto"/>
            </w:tcBorders>
            <w:shd w:val="clear" w:color="auto" w:fill="auto"/>
            <w:vAlign w:val="center"/>
            <w:hideMark/>
          </w:tcPr>
          <w:p w14:paraId="52AF420F"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 </w:t>
            </w:r>
          </w:p>
        </w:tc>
        <w:tc>
          <w:tcPr>
            <w:tcW w:w="274" w:type="dxa"/>
            <w:tcBorders>
              <w:top w:val="nil"/>
              <w:left w:val="nil"/>
              <w:bottom w:val="single" w:sz="4" w:space="0" w:color="auto"/>
              <w:right w:val="single" w:sz="4" w:space="0" w:color="auto"/>
            </w:tcBorders>
            <w:shd w:val="clear" w:color="auto" w:fill="auto"/>
            <w:vAlign w:val="center"/>
            <w:hideMark/>
          </w:tcPr>
          <w:p w14:paraId="288617F0"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 </w:t>
            </w:r>
          </w:p>
        </w:tc>
        <w:tc>
          <w:tcPr>
            <w:tcW w:w="274" w:type="dxa"/>
            <w:tcBorders>
              <w:top w:val="nil"/>
              <w:left w:val="nil"/>
              <w:bottom w:val="single" w:sz="4" w:space="0" w:color="auto"/>
              <w:right w:val="single" w:sz="4" w:space="0" w:color="auto"/>
            </w:tcBorders>
            <w:shd w:val="clear" w:color="auto" w:fill="auto"/>
            <w:vAlign w:val="center"/>
            <w:hideMark/>
          </w:tcPr>
          <w:p w14:paraId="3B510789"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w:t>
            </w:r>
          </w:p>
        </w:tc>
        <w:tc>
          <w:tcPr>
            <w:tcW w:w="285" w:type="dxa"/>
            <w:tcBorders>
              <w:top w:val="nil"/>
              <w:left w:val="nil"/>
              <w:bottom w:val="single" w:sz="4" w:space="0" w:color="auto"/>
              <w:right w:val="single" w:sz="4" w:space="0" w:color="auto"/>
            </w:tcBorders>
            <w:shd w:val="clear" w:color="auto" w:fill="auto"/>
            <w:vAlign w:val="center"/>
            <w:hideMark/>
          </w:tcPr>
          <w:p w14:paraId="2E9AF933" w14:textId="77777777" w:rsidR="00BC2206" w:rsidRPr="00BC2206" w:rsidRDefault="00BC2206" w:rsidP="00BC2206">
            <w:pPr>
              <w:spacing w:line="240" w:lineRule="auto"/>
              <w:jc w:val="center"/>
              <w:rPr>
                <w:rFonts w:eastAsia="Times New Roman"/>
                <w:color w:val="000000"/>
                <w:sz w:val="20"/>
                <w:szCs w:val="20"/>
                <w:lang w:val="en-US"/>
              </w:rPr>
            </w:pPr>
            <w:r w:rsidRPr="00BC2206">
              <w:rPr>
                <w:rFonts w:eastAsia="Times New Roman"/>
                <w:color w:val="000000"/>
                <w:sz w:val="20"/>
                <w:szCs w:val="20"/>
                <w:lang w:val="en-US"/>
              </w:rPr>
              <w:t>*</w:t>
            </w:r>
          </w:p>
        </w:tc>
        <w:tc>
          <w:tcPr>
            <w:tcW w:w="490" w:type="dxa"/>
            <w:tcBorders>
              <w:top w:val="nil"/>
              <w:left w:val="nil"/>
              <w:bottom w:val="single" w:sz="4" w:space="0" w:color="auto"/>
              <w:right w:val="single" w:sz="4" w:space="0" w:color="auto"/>
            </w:tcBorders>
            <w:shd w:val="clear" w:color="auto" w:fill="auto"/>
            <w:vAlign w:val="center"/>
            <w:hideMark/>
          </w:tcPr>
          <w:p w14:paraId="0A56D89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lang w:val="en-US"/>
              </w:rPr>
              <w:t>0.</w:t>
            </w:r>
            <w:r w:rsidRPr="00BC2206">
              <w:rPr>
                <w:rFonts w:eastAsia="Times New Roman"/>
                <w:color w:val="000000"/>
                <w:sz w:val="20"/>
                <w:szCs w:val="20"/>
              </w:rPr>
              <w:t>04</w:t>
            </w:r>
          </w:p>
        </w:tc>
        <w:tc>
          <w:tcPr>
            <w:tcW w:w="490" w:type="dxa"/>
            <w:tcBorders>
              <w:top w:val="nil"/>
              <w:left w:val="nil"/>
              <w:bottom w:val="single" w:sz="4" w:space="0" w:color="auto"/>
              <w:right w:val="single" w:sz="4" w:space="0" w:color="auto"/>
            </w:tcBorders>
            <w:shd w:val="clear" w:color="auto" w:fill="auto"/>
            <w:vAlign w:val="center"/>
            <w:hideMark/>
          </w:tcPr>
          <w:p w14:paraId="40C0FCF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0.17</w:t>
            </w:r>
          </w:p>
        </w:tc>
        <w:tc>
          <w:tcPr>
            <w:tcW w:w="164" w:type="dxa"/>
            <w:tcBorders>
              <w:top w:val="nil"/>
              <w:left w:val="nil"/>
              <w:bottom w:val="single" w:sz="4" w:space="0" w:color="auto"/>
              <w:right w:val="single" w:sz="4" w:space="0" w:color="auto"/>
            </w:tcBorders>
            <w:shd w:val="clear" w:color="auto" w:fill="auto"/>
            <w:vAlign w:val="center"/>
            <w:hideMark/>
          </w:tcPr>
          <w:p w14:paraId="46B65CB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0.21</w:t>
            </w:r>
          </w:p>
        </w:tc>
      </w:tr>
      <w:tr w:rsidR="00BC2206" w:rsidRPr="00BC2206" w14:paraId="3908FC36"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9AF79B6"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1BDCFD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07F3354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1850009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5032ACB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318D3D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A84373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D4673A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2D066A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FFECDF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D313B0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24B25D6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0.09</w:t>
            </w:r>
          </w:p>
        </w:tc>
        <w:tc>
          <w:tcPr>
            <w:tcW w:w="490" w:type="dxa"/>
            <w:tcBorders>
              <w:top w:val="nil"/>
              <w:left w:val="nil"/>
              <w:bottom w:val="single" w:sz="4" w:space="0" w:color="auto"/>
              <w:right w:val="single" w:sz="4" w:space="0" w:color="auto"/>
            </w:tcBorders>
            <w:shd w:val="clear" w:color="auto" w:fill="auto"/>
            <w:vAlign w:val="center"/>
            <w:hideMark/>
          </w:tcPr>
          <w:p w14:paraId="69B5F46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0.06</w:t>
            </w:r>
          </w:p>
        </w:tc>
        <w:tc>
          <w:tcPr>
            <w:tcW w:w="164" w:type="dxa"/>
            <w:tcBorders>
              <w:top w:val="nil"/>
              <w:left w:val="nil"/>
              <w:bottom w:val="single" w:sz="4" w:space="0" w:color="auto"/>
              <w:right w:val="single" w:sz="4" w:space="0" w:color="auto"/>
            </w:tcBorders>
            <w:shd w:val="clear" w:color="auto" w:fill="auto"/>
            <w:vAlign w:val="center"/>
            <w:hideMark/>
          </w:tcPr>
          <w:p w14:paraId="046F332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r>
      <w:tr w:rsidR="00BC2206" w:rsidRPr="00BC2206" w14:paraId="6E24E1BB"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28C07631"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A82EFB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0C334F5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777B33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623336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7F78AC6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37A89B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F010D7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66E509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11794B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0B0153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4E2B447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0.17</w:t>
            </w:r>
          </w:p>
        </w:tc>
        <w:tc>
          <w:tcPr>
            <w:tcW w:w="490" w:type="dxa"/>
            <w:tcBorders>
              <w:top w:val="nil"/>
              <w:left w:val="nil"/>
              <w:bottom w:val="single" w:sz="4" w:space="0" w:color="auto"/>
              <w:right w:val="single" w:sz="4" w:space="0" w:color="auto"/>
            </w:tcBorders>
            <w:shd w:val="clear" w:color="auto" w:fill="auto"/>
            <w:vAlign w:val="center"/>
            <w:hideMark/>
          </w:tcPr>
          <w:p w14:paraId="6CEF30E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0.03</w:t>
            </w:r>
          </w:p>
        </w:tc>
        <w:tc>
          <w:tcPr>
            <w:tcW w:w="164" w:type="dxa"/>
            <w:tcBorders>
              <w:top w:val="nil"/>
              <w:left w:val="nil"/>
              <w:bottom w:val="single" w:sz="4" w:space="0" w:color="auto"/>
              <w:right w:val="single" w:sz="4" w:space="0" w:color="auto"/>
            </w:tcBorders>
            <w:shd w:val="clear" w:color="auto" w:fill="auto"/>
            <w:vAlign w:val="center"/>
            <w:hideMark/>
          </w:tcPr>
          <w:p w14:paraId="2F33B7F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0.03</w:t>
            </w:r>
          </w:p>
        </w:tc>
      </w:tr>
      <w:tr w:rsidR="00BC2206" w:rsidRPr="00BC2206" w14:paraId="69E16FD0"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7F4B7D3"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23CDAE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13A724D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E3E14A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EABAA8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ABAD98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D382F6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F7FDCC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744E3D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8E6192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E60E4A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762FFC6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0.11</w:t>
            </w:r>
          </w:p>
        </w:tc>
        <w:tc>
          <w:tcPr>
            <w:tcW w:w="490" w:type="dxa"/>
            <w:tcBorders>
              <w:top w:val="nil"/>
              <w:left w:val="nil"/>
              <w:bottom w:val="single" w:sz="4" w:space="0" w:color="auto"/>
              <w:right w:val="single" w:sz="4" w:space="0" w:color="auto"/>
            </w:tcBorders>
            <w:shd w:val="clear" w:color="auto" w:fill="auto"/>
            <w:vAlign w:val="center"/>
            <w:hideMark/>
          </w:tcPr>
          <w:p w14:paraId="29F30EA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0.21</w:t>
            </w:r>
          </w:p>
        </w:tc>
        <w:tc>
          <w:tcPr>
            <w:tcW w:w="164" w:type="dxa"/>
            <w:tcBorders>
              <w:top w:val="nil"/>
              <w:left w:val="nil"/>
              <w:bottom w:val="single" w:sz="4" w:space="0" w:color="auto"/>
              <w:right w:val="single" w:sz="4" w:space="0" w:color="auto"/>
            </w:tcBorders>
            <w:shd w:val="clear" w:color="auto" w:fill="auto"/>
            <w:vAlign w:val="center"/>
            <w:hideMark/>
          </w:tcPr>
          <w:p w14:paraId="6C85F3A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0.21</w:t>
            </w:r>
          </w:p>
        </w:tc>
      </w:tr>
      <w:tr w:rsidR="00BC2206" w:rsidRPr="00BC2206" w14:paraId="5F9927A8"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088B5B1A"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6532B46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6540E4C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596B4E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01A735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6ABD8F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9B05FD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E5A939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3DCD2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973E65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7E585D5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F0296B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490" w:type="dxa"/>
            <w:tcBorders>
              <w:top w:val="nil"/>
              <w:left w:val="nil"/>
              <w:bottom w:val="single" w:sz="4" w:space="0" w:color="auto"/>
              <w:right w:val="single" w:sz="4" w:space="0" w:color="auto"/>
            </w:tcBorders>
            <w:shd w:val="clear" w:color="auto" w:fill="auto"/>
            <w:vAlign w:val="center"/>
            <w:hideMark/>
          </w:tcPr>
          <w:p w14:paraId="415DEED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0.06</w:t>
            </w:r>
          </w:p>
        </w:tc>
        <w:tc>
          <w:tcPr>
            <w:tcW w:w="164" w:type="dxa"/>
            <w:tcBorders>
              <w:top w:val="nil"/>
              <w:left w:val="nil"/>
              <w:bottom w:val="single" w:sz="4" w:space="0" w:color="auto"/>
              <w:right w:val="single" w:sz="4" w:space="0" w:color="auto"/>
            </w:tcBorders>
            <w:shd w:val="clear" w:color="auto" w:fill="auto"/>
            <w:vAlign w:val="center"/>
            <w:hideMark/>
          </w:tcPr>
          <w:p w14:paraId="4BA04C3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0.20</w:t>
            </w:r>
          </w:p>
        </w:tc>
      </w:tr>
      <w:tr w:rsidR="00BC2206" w:rsidRPr="00BC2206" w14:paraId="76CD8FE4"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11934907"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t>Contrast</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sensitivity</w:t>
            </w:r>
            <w:proofErr w:type="spellEnd"/>
          </w:p>
        </w:tc>
        <w:tc>
          <w:tcPr>
            <w:tcW w:w="263" w:type="dxa"/>
            <w:tcBorders>
              <w:top w:val="nil"/>
              <w:left w:val="nil"/>
              <w:bottom w:val="single" w:sz="4" w:space="0" w:color="auto"/>
              <w:right w:val="single" w:sz="4" w:space="0" w:color="auto"/>
            </w:tcBorders>
            <w:shd w:val="clear" w:color="auto" w:fill="auto"/>
            <w:vAlign w:val="center"/>
            <w:hideMark/>
          </w:tcPr>
          <w:p w14:paraId="5A6541B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7997282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6ED3B9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614B3D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344866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6E570A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7B1F1F2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3FA809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C23287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BD37B4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B2E036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490" w:type="dxa"/>
            <w:tcBorders>
              <w:top w:val="nil"/>
              <w:left w:val="nil"/>
              <w:bottom w:val="single" w:sz="4" w:space="0" w:color="auto"/>
              <w:right w:val="single" w:sz="4" w:space="0" w:color="auto"/>
            </w:tcBorders>
            <w:shd w:val="clear" w:color="auto" w:fill="auto"/>
            <w:vAlign w:val="center"/>
            <w:hideMark/>
          </w:tcPr>
          <w:p w14:paraId="4F4461E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0.06</w:t>
            </w:r>
          </w:p>
        </w:tc>
        <w:tc>
          <w:tcPr>
            <w:tcW w:w="164" w:type="dxa"/>
            <w:tcBorders>
              <w:top w:val="nil"/>
              <w:left w:val="nil"/>
              <w:bottom w:val="single" w:sz="4" w:space="0" w:color="auto"/>
              <w:right w:val="single" w:sz="4" w:space="0" w:color="auto"/>
            </w:tcBorders>
            <w:shd w:val="clear" w:color="auto" w:fill="auto"/>
            <w:vAlign w:val="center"/>
            <w:hideMark/>
          </w:tcPr>
          <w:p w14:paraId="0D6BACB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r>
      <w:tr w:rsidR="00BC2206" w:rsidRPr="00BC2206" w14:paraId="33C69CC7"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47160C7F"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3EA48E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3DFC1E9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C2F2C3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08BF7F1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57B51A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6F915C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CC5CC3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B3807B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F8BBD2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EE3A52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E43C74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0.11</w:t>
            </w:r>
          </w:p>
        </w:tc>
        <w:tc>
          <w:tcPr>
            <w:tcW w:w="490" w:type="dxa"/>
            <w:tcBorders>
              <w:top w:val="nil"/>
              <w:left w:val="nil"/>
              <w:bottom w:val="single" w:sz="4" w:space="0" w:color="auto"/>
              <w:right w:val="single" w:sz="4" w:space="0" w:color="auto"/>
            </w:tcBorders>
            <w:shd w:val="clear" w:color="auto" w:fill="auto"/>
            <w:vAlign w:val="center"/>
            <w:hideMark/>
          </w:tcPr>
          <w:p w14:paraId="694096C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164" w:type="dxa"/>
            <w:tcBorders>
              <w:top w:val="nil"/>
              <w:left w:val="nil"/>
              <w:bottom w:val="single" w:sz="4" w:space="0" w:color="auto"/>
              <w:right w:val="single" w:sz="4" w:space="0" w:color="auto"/>
            </w:tcBorders>
            <w:shd w:val="clear" w:color="auto" w:fill="auto"/>
            <w:vAlign w:val="center"/>
            <w:hideMark/>
          </w:tcPr>
          <w:p w14:paraId="6DE6368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32AD4EB1"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65795FEC"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C61D49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5024DE3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16D19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1754EB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C591CA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1ACA3D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715FD9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1AD7FB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8085EE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42C8C5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C10E50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0.12</w:t>
            </w:r>
          </w:p>
        </w:tc>
        <w:tc>
          <w:tcPr>
            <w:tcW w:w="490" w:type="dxa"/>
            <w:tcBorders>
              <w:top w:val="nil"/>
              <w:left w:val="nil"/>
              <w:bottom w:val="single" w:sz="4" w:space="0" w:color="auto"/>
              <w:right w:val="single" w:sz="4" w:space="0" w:color="auto"/>
            </w:tcBorders>
            <w:shd w:val="clear" w:color="auto" w:fill="auto"/>
            <w:vAlign w:val="center"/>
            <w:hideMark/>
          </w:tcPr>
          <w:p w14:paraId="6F30492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0.18</w:t>
            </w:r>
          </w:p>
        </w:tc>
        <w:tc>
          <w:tcPr>
            <w:tcW w:w="164" w:type="dxa"/>
            <w:tcBorders>
              <w:top w:val="nil"/>
              <w:left w:val="nil"/>
              <w:bottom w:val="single" w:sz="4" w:space="0" w:color="auto"/>
              <w:right w:val="single" w:sz="4" w:space="0" w:color="auto"/>
            </w:tcBorders>
            <w:shd w:val="clear" w:color="auto" w:fill="auto"/>
            <w:vAlign w:val="center"/>
            <w:hideMark/>
          </w:tcPr>
          <w:p w14:paraId="2A73AC7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r>
      <w:tr w:rsidR="00BC2206" w:rsidRPr="00BC2206" w14:paraId="0FEC6FB2"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DB0ABE0"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DBE867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5139781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4C1FE8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14E3C8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175362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8AB3C9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C40AFE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8A8B6C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B78371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DE789D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469FAE0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0.07</w:t>
            </w:r>
          </w:p>
        </w:tc>
        <w:tc>
          <w:tcPr>
            <w:tcW w:w="490" w:type="dxa"/>
            <w:tcBorders>
              <w:top w:val="nil"/>
              <w:left w:val="nil"/>
              <w:bottom w:val="single" w:sz="4" w:space="0" w:color="auto"/>
              <w:right w:val="single" w:sz="4" w:space="0" w:color="auto"/>
            </w:tcBorders>
            <w:shd w:val="clear" w:color="auto" w:fill="auto"/>
            <w:vAlign w:val="center"/>
            <w:hideMark/>
          </w:tcPr>
          <w:p w14:paraId="76E45A3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0.09</w:t>
            </w:r>
          </w:p>
        </w:tc>
        <w:tc>
          <w:tcPr>
            <w:tcW w:w="164" w:type="dxa"/>
            <w:tcBorders>
              <w:top w:val="nil"/>
              <w:left w:val="nil"/>
              <w:bottom w:val="single" w:sz="4" w:space="0" w:color="auto"/>
              <w:right w:val="single" w:sz="4" w:space="0" w:color="auto"/>
            </w:tcBorders>
            <w:shd w:val="clear" w:color="auto" w:fill="auto"/>
            <w:vAlign w:val="center"/>
            <w:hideMark/>
          </w:tcPr>
          <w:p w14:paraId="3165229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0.12</w:t>
            </w:r>
          </w:p>
        </w:tc>
      </w:tr>
      <w:tr w:rsidR="00BC2206" w:rsidRPr="00BC2206" w14:paraId="00783924"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C85B0AA"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FD7620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74D821D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296647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E99B1C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946ED9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116D92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496B38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472C2A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1A31EE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9E50BF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307BA6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0.21</w:t>
            </w:r>
          </w:p>
        </w:tc>
        <w:tc>
          <w:tcPr>
            <w:tcW w:w="490" w:type="dxa"/>
            <w:tcBorders>
              <w:top w:val="nil"/>
              <w:left w:val="nil"/>
              <w:bottom w:val="single" w:sz="4" w:space="0" w:color="auto"/>
              <w:right w:val="single" w:sz="4" w:space="0" w:color="auto"/>
            </w:tcBorders>
            <w:shd w:val="clear" w:color="auto" w:fill="auto"/>
            <w:vAlign w:val="center"/>
            <w:hideMark/>
          </w:tcPr>
          <w:p w14:paraId="4A85B39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0.15</w:t>
            </w:r>
          </w:p>
        </w:tc>
        <w:tc>
          <w:tcPr>
            <w:tcW w:w="164" w:type="dxa"/>
            <w:tcBorders>
              <w:top w:val="nil"/>
              <w:left w:val="nil"/>
              <w:bottom w:val="single" w:sz="4" w:space="0" w:color="auto"/>
              <w:right w:val="single" w:sz="4" w:space="0" w:color="auto"/>
            </w:tcBorders>
            <w:shd w:val="clear" w:color="auto" w:fill="auto"/>
            <w:vAlign w:val="center"/>
            <w:hideMark/>
          </w:tcPr>
          <w:p w14:paraId="064782F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0.22</w:t>
            </w:r>
          </w:p>
        </w:tc>
      </w:tr>
      <w:tr w:rsidR="00BC2206" w:rsidRPr="00BC2206" w14:paraId="1C5AC2EE"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1F34D3C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xml:space="preserve">Visual </w:t>
            </w:r>
            <w:proofErr w:type="spellStart"/>
            <w:r w:rsidRPr="00BC2206">
              <w:rPr>
                <w:rFonts w:eastAsia="Times New Roman"/>
                <w:color w:val="000000"/>
                <w:sz w:val="20"/>
                <w:szCs w:val="20"/>
              </w:rPr>
              <w:t>field</w:t>
            </w:r>
            <w:proofErr w:type="spellEnd"/>
            <w:r w:rsidRPr="00BC2206">
              <w:rPr>
                <w:rFonts w:eastAsia="Times New Roman"/>
                <w:color w:val="000000"/>
                <w:sz w:val="20"/>
                <w:szCs w:val="20"/>
              </w:rPr>
              <w:t xml:space="preserve"> </w:t>
            </w:r>
          </w:p>
        </w:tc>
        <w:tc>
          <w:tcPr>
            <w:tcW w:w="263" w:type="dxa"/>
            <w:tcBorders>
              <w:top w:val="nil"/>
              <w:left w:val="nil"/>
              <w:bottom w:val="single" w:sz="4" w:space="0" w:color="auto"/>
              <w:right w:val="single" w:sz="4" w:space="0" w:color="auto"/>
            </w:tcBorders>
            <w:shd w:val="clear" w:color="auto" w:fill="auto"/>
            <w:vAlign w:val="center"/>
            <w:hideMark/>
          </w:tcPr>
          <w:p w14:paraId="48AD278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35D227C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A4D6C5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6741238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8FD1C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149C2F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5C99F1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2EA723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72C1E2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28E12F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F7A622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0.37</w:t>
            </w:r>
          </w:p>
        </w:tc>
        <w:tc>
          <w:tcPr>
            <w:tcW w:w="490" w:type="dxa"/>
            <w:tcBorders>
              <w:top w:val="nil"/>
              <w:left w:val="nil"/>
              <w:bottom w:val="single" w:sz="4" w:space="0" w:color="auto"/>
              <w:right w:val="single" w:sz="4" w:space="0" w:color="auto"/>
            </w:tcBorders>
            <w:shd w:val="clear" w:color="auto" w:fill="auto"/>
            <w:vAlign w:val="center"/>
            <w:hideMark/>
          </w:tcPr>
          <w:p w14:paraId="7515270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0.76</w:t>
            </w:r>
          </w:p>
        </w:tc>
        <w:tc>
          <w:tcPr>
            <w:tcW w:w="164" w:type="dxa"/>
            <w:tcBorders>
              <w:top w:val="nil"/>
              <w:left w:val="nil"/>
              <w:bottom w:val="single" w:sz="4" w:space="0" w:color="auto"/>
              <w:right w:val="single" w:sz="4" w:space="0" w:color="auto"/>
            </w:tcBorders>
            <w:shd w:val="clear" w:color="auto" w:fill="auto"/>
            <w:vAlign w:val="center"/>
            <w:hideMark/>
          </w:tcPr>
          <w:p w14:paraId="4786E06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0.17</w:t>
            </w:r>
          </w:p>
        </w:tc>
      </w:tr>
      <w:tr w:rsidR="00BC2206" w:rsidRPr="00BC2206" w14:paraId="3F1DD93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60F4E832"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E7CA7C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7F3E0A9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A28EF4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F70B8C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26DB4C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5BC6A1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83ED89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E08CAD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25B533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494DB3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DA9E20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0.41</w:t>
            </w:r>
          </w:p>
        </w:tc>
        <w:tc>
          <w:tcPr>
            <w:tcW w:w="490" w:type="dxa"/>
            <w:tcBorders>
              <w:top w:val="nil"/>
              <w:left w:val="nil"/>
              <w:bottom w:val="single" w:sz="4" w:space="0" w:color="auto"/>
              <w:right w:val="single" w:sz="4" w:space="0" w:color="auto"/>
            </w:tcBorders>
            <w:shd w:val="clear" w:color="auto" w:fill="auto"/>
            <w:vAlign w:val="center"/>
            <w:hideMark/>
          </w:tcPr>
          <w:p w14:paraId="19522B9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0.85</w:t>
            </w:r>
          </w:p>
        </w:tc>
        <w:tc>
          <w:tcPr>
            <w:tcW w:w="164" w:type="dxa"/>
            <w:tcBorders>
              <w:top w:val="nil"/>
              <w:left w:val="nil"/>
              <w:bottom w:val="single" w:sz="4" w:space="0" w:color="auto"/>
              <w:right w:val="single" w:sz="4" w:space="0" w:color="auto"/>
            </w:tcBorders>
            <w:shd w:val="clear" w:color="auto" w:fill="auto"/>
            <w:vAlign w:val="center"/>
            <w:hideMark/>
          </w:tcPr>
          <w:p w14:paraId="005E5C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0.61</w:t>
            </w:r>
          </w:p>
        </w:tc>
      </w:tr>
      <w:tr w:rsidR="00BC2206" w:rsidRPr="00BC2206" w14:paraId="08D37308"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723C729"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29C5B7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336EC45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B6E459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06FCC5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BFE87A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EA638E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9E0E03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306549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4E881B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6C6422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6EE4636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0.58</w:t>
            </w:r>
          </w:p>
        </w:tc>
        <w:tc>
          <w:tcPr>
            <w:tcW w:w="490" w:type="dxa"/>
            <w:tcBorders>
              <w:top w:val="nil"/>
              <w:left w:val="nil"/>
              <w:bottom w:val="single" w:sz="4" w:space="0" w:color="auto"/>
              <w:right w:val="single" w:sz="4" w:space="0" w:color="auto"/>
            </w:tcBorders>
            <w:shd w:val="clear" w:color="auto" w:fill="auto"/>
            <w:vAlign w:val="center"/>
            <w:hideMark/>
          </w:tcPr>
          <w:p w14:paraId="4AC637B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0.75</w:t>
            </w:r>
          </w:p>
        </w:tc>
        <w:tc>
          <w:tcPr>
            <w:tcW w:w="164" w:type="dxa"/>
            <w:tcBorders>
              <w:top w:val="nil"/>
              <w:left w:val="nil"/>
              <w:bottom w:val="single" w:sz="4" w:space="0" w:color="auto"/>
              <w:right w:val="single" w:sz="4" w:space="0" w:color="auto"/>
            </w:tcBorders>
            <w:shd w:val="clear" w:color="auto" w:fill="auto"/>
            <w:vAlign w:val="center"/>
            <w:hideMark/>
          </w:tcPr>
          <w:p w14:paraId="3154447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0.68</w:t>
            </w:r>
          </w:p>
        </w:tc>
      </w:tr>
      <w:tr w:rsidR="00BC2206" w:rsidRPr="00BC2206" w14:paraId="5EB06E8E"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2F0BFAA"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58F5BAB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6608F62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0D79FF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6B218FB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19435E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DE4C80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CDB21C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DAB446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E6B8CF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F0AC08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4A8815A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0.59</w:t>
            </w:r>
          </w:p>
        </w:tc>
        <w:tc>
          <w:tcPr>
            <w:tcW w:w="490" w:type="dxa"/>
            <w:tcBorders>
              <w:top w:val="nil"/>
              <w:left w:val="nil"/>
              <w:bottom w:val="single" w:sz="4" w:space="0" w:color="auto"/>
              <w:right w:val="single" w:sz="4" w:space="0" w:color="auto"/>
            </w:tcBorders>
            <w:shd w:val="clear" w:color="auto" w:fill="auto"/>
            <w:vAlign w:val="center"/>
            <w:hideMark/>
          </w:tcPr>
          <w:p w14:paraId="61B3FDD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0.40</w:t>
            </w:r>
          </w:p>
        </w:tc>
        <w:tc>
          <w:tcPr>
            <w:tcW w:w="164" w:type="dxa"/>
            <w:tcBorders>
              <w:top w:val="nil"/>
              <w:left w:val="nil"/>
              <w:bottom w:val="single" w:sz="4" w:space="0" w:color="auto"/>
              <w:right w:val="single" w:sz="4" w:space="0" w:color="auto"/>
            </w:tcBorders>
            <w:shd w:val="clear" w:color="auto" w:fill="auto"/>
            <w:vAlign w:val="center"/>
            <w:hideMark/>
          </w:tcPr>
          <w:p w14:paraId="511CF35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0.37</w:t>
            </w:r>
          </w:p>
        </w:tc>
      </w:tr>
      <w:tr w:rsidR="00BC2206" w:rsidRPr="00BC2206" w14:paraId="6E74912A"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18E1388"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29008F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5AB5E82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F978E3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4368A8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B6C19C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D25D9D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0239C6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134AA6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C7B3DF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F04035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800202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0.58</w:t>
            </w:r>
          </w:p>
        </w:tc>
        <w:tc>
          <w:tcPr>
            <w:tcW w:w="490" w:type="dxa"/>
            <w:tcBorders>
              <w:top w:val="nil"/>
              <w:left w:val="nil"/>
              <w:bottom w:val="single" w:sz="4" w:space="0" w:color="auto"/>
              <w:right w:val="single" w:sz="4" w:space="0" w:color="auto"/>
            </w:tcBorders>
            <w:shd w:val="clear" w:color="auto" w:fill="auto"/>
            <w:vAlign w:val="center"/>
            <w:hideMark/>
          </w:tcPr>
          <w:p w14:paraId="77DF51C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0.91</w:t>
            </w:r>
          </w:p>
        </w:tc>
        <w:tc>
          <w:tcPr>
            <w:tcW w:w="164" w:type="dxa"/>
            <w:tcBorders>
              <w:top w:val="nil"/>
              <w:left w:val="nil"/>
              <w:bottom w:val="single" w:sz="4" w:space="0" w:color="auto"/>
              <w:right w:val="single" w:sz="4" w:space="0" w:color="auto"/>
            </w:tcBorders>
            <w:shd w:val="clear" w:color="auto" w:fill="auto"/>
            <w:vAlign w:val="center"/>
            <w:hideMark/>
          </w:tcPr>
          <w:p w14:paraId="4D526E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0.16</w:t>
            </w:r>
          </w:p>
        </w:tc>
      </w:tr>
      <w:tr w:rsidR="00BC2206" w:rsidRPr="00BC2206" w14:paraId="2A6FF7BD"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08F1F9E3"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lastRenderedPageBreak/>
              <w:t>Motio</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perception</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RDKs</w:t>
            </w:r>
            <w:proofErr w:type="spellEnd"/>
            <w:r w:rsidRPr="00BC2206">
              <w:rPr>
                <w:rFonts w:eastAsia="Times New Roman"/>
                <w:color w:val="000000"/>
                <w:sz w:val="20"/>
                <w:szCs w:val="20"/>
              </w:rPr>
              <w:t>)</w:t>
            </w:r>
          </w:p>
        </w:tc>
        <w:tc>
          <w:tcPr>
            <w:tcW w:w="263" w:type="dxa"/>
            <w:tcBorders>
              <w:top w:val="nil"/>
              <w:left w:val="nil"/>
              <w:bottom w:val="single" w:sz="4" w:space="0" w:color="auto"/>
              <w:right w:val="single" w:sz="4" w:space="0" w:color="auto"/>
            </w:tcBorders>
            <w:shd w:val="clear" w:color="auto" w:fill="auto"/>
            <w:vAlign w:val="center"/>
            <w:hideMark/>
          </w:tcPr>
          <w:p w14:paraId="460C363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5D895B2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97C0D8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7203D7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AE2483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5F8F48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AC94EE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7E5FEB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D698ED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59AB31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0AD4538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490" w:type="dxa"/>
            <w:tcBorders>
              <w:top w:val="nil"/>
              <w:left w:val="nil"/>
              <w:bottom w:val="single" w:sz="4" w:space="0" w:color="auto"/>
              <w:right w:val="single" w:sz="4" w:space="0" w:color="auto"/>
            </w:tcBorders>
            <w:shd w:val="clear" w:color="auto" w:fill="auto"/>
            <w:vAlign w:val="center"/>
            <w:hideMark/>
          </w:tcPr>
          <w:p w14:paraId="0E95B01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164" w:type="dxa"/>
            <w:tcBorders>
              <w:top w:val="nil"/>
              <w:left w:val="nil"/>
              <w:bottom w:val="single" w:sz="4" w:space="0" w:color="auto"/>
              <w:right w:val="single" w:sz="4" w:space="0" w:color="auto"/>
            </w:tcBorders>
            <w:shd w:val="clear" w:color="auto" w:fill="auto"/>
            <w:vAlign w:val="center"/>
            <w:hideMark/>
          </w:tcPr>
          <w:p w14:paraId="1F91763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r>
      <w:tr w:rsidR="00BC2206" w:rsidRPr="00BC2206" w14:paraId="29CBD9DB"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247FE182"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58FAF58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2EA9B91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02FB0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0A180A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ED25DF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76C976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BF8AC8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DFF586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7EEA14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8AE46C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0DD672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490" w:type="dxa"/>
            <w:tcBorders>
              <w:top w:val="nil"/>
              <w:left w:val="nil"/>
              <w:bottom w:val="single" w:sz="4" w:space="0" w:color="auto"/>
              <w:right w:val="single" w:sz="4" w:space="0" w:color="auto"/>
            </w:tcBorders>
            <w:shd w:val="clear" w:color="auto" w:fill="auto"/>
            <w:vAlign w:val="center"/>
            <w:hideMark/>
          </w:tcPr>
          <w:p w14:paraId="38CA30F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0.07</w:t>
            </w:r>
          </w:p>
        </w:tc>
        <w:tc>
          <w:tcPr>
            <w:tcW w:w="164" w:type="dxa"/>
            <w:tcBorders>
              <w:top w:val="nil"/>
              <w:left w:val="nil"/>
              <w:bottom w:val="single" w:sz="4" w:space="0" w:color="auto"/>
              <w:right w:val="single" w:sz="4" w:space="0" w:color="auto"/>
            </w:tcBorders>
            <w:shd w:val="clear" w:color="auto" w:fill="auto"/>
            <w:vAlign w:val="center"/>
            <w:hideMark/>
          </w:tcPr>
          <w:p w14:paraId="3FC5FEC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7249BCD3"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0C717DEE"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8F8BEF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79C4049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FF016E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8AB68D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2E2FB7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8D5F6D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36C9F6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92C1CD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C5A551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07E508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8E445B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490" w:type="dxa"/>
            <w:tcBorders>
              <w:top w:val="nil"/>
              <w:left w:val="nil"/>
              <w:bottom w:val="single" w:sz="4" w:space="0" w:color="auto"/>
              <w:right w:val="single" w:sz="4" w:space="0" w:color="auto"/>
            </w:tcBorders>
            <w:shd w:val="clear" w:color="auto" w:fill="auto"/>
            <w:vAlign w:val="center"/>
            <w:hideMark/>
          </w:tcPr>
          <w:p w14:paraId="4852CB2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0.21</w:t>
            </w:r>
          </w:p>
        </w:tc>
        <w:tc>
          <w:tcPr>
            <w:tcW w:w="164" w:type="dxa"/>
            <w:tcBorders>
              <w:top w:val="nil"/>
              <w:left w:val="nil"/>
              <w:bottom w:val="single" w:sz="4" w:space="0" w:color="auto"/>
              <w:right w:val="single" w:sz="4" w:space="0" w:color="auto"/>
            </w:tcBorders>
            <w:shd w:val="clear" w:color="auto" w:fill="auto"/>
            <w:vAlign w:val="center"/>
            <w:hideMark/>
          </w:tcPr>
          <w:p w14:paraId="2B4788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0.03</w:t>
            </w:r>
          </w:p>
        </w:tc>
      </w:tr>
      <w:tr w:rsidR="00BC2206" w:rsidRPr="00BC2206" w14:paraId="03FB0289"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1DDD4D4"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063A8B5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0EFFE5D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A21382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774223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D51369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FA97D2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4322F2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447048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3851BA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482145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D52CBB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490" w:type="dxa"/>
            <w:tcBorders>
              <w:top w:val="nil"/>
              <w:left w:val="nil"/>
              <w:bottom w:val="single" w:sz="4" w:space="0" w:color="auto"/>
              <w:right w:val="single" w:sz="4" w:space="0" w:color="auto"/>
            </w:tcBorders>
            <w:shd w:val="clear" w:color="auto" w:fill="auto"/>
            <w:vAlign w:val="center"/>
            <w:hideMark/>
          </w:tcPr>
          <w:p w14:paraId="2C5EB07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0.12</w:t>
            </w:r>
          </w:p>
        </w:tc>
        <w:tc>
          <w:tcPr>
            <w:tcW w:w="164" w:type="dxa"/>
            <w:tcBorders>
              <w:top w:val="nil"/>
              <w:left w:val="nil"/>
              <w:bottom w:val="single" w:sz="4" w:space="0" w:color="auto"/>
              <w:right w:val="single" w:sz="4" w:space="0" w:color="auto"/>
            </w:tcBorders>
            <w:shd w:val="clear" w:color="auto" w:fill="auto"/>
            <w:vAlign w:val="center"/>
            <w:hideMark/>
          </w:tcPr>
          <w:p w14:paraId="47A4451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2EE28CA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4F9CF552"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537C23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5C68083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E108E0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C25B77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DFD873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239EBA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311495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93878B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67C991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50ADF0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D1BD6A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490" w:type="dxa"/>
            <w:tcBorders>
              <w:top w:val="nil"/>
              <w:left w:val="nil"/>
              <w:bottom w:val="single" w:sz="4" w:space="0" w:color="auto"/>
              <w:right w:val="single" w:sz="4" w:space="0" w:color="auto"/>
            </w:tcBorders>
            <w:shd w:val="clear" w:color="auto" w:fill="auto"/>
            <w:vAlign w:val="center"/>
            <w:hideMark/>
          </w:tcPr>
          <w:p w14:paraId="5007ACB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164" w:type="dxa"/>
            <w:tcBorders>
              <w:top w:val="nil"/>
              <w:left w:val="nil"/>
              <w:bottom w:val="single" w:sz="4" w:space="0" w:color="auto"/>
              <w:right w:val="single" w:sz="4" w:space="0" w:color="auto"/>
            </w:tcBorders>
            <w:shd w:val="clear" w:color="auto" w:fill="auto"/>
            <w:vAlign w:val="center"/>
            <w:hideMark/>
          </w:tcPr>
          <w:p w14:paraId="5179208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719A121F"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443B9F51"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t>Motio</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perception</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Square</w:t>
            </w:r>
            <w:proofErr w:type="spellEnd"/>
            <w:r w:rsidRPr="00BC2206">
              <w:rPr>
                <w:rFonts w:eastAsia="Times New Roman"/>
                <w:color w:val="000000"/>
                <w:sz w:val="20"/>
                <w:szCs w:val="20"/>
              </w:rPr>
              <w:t>)</w:t>
            </w:r>
          </w:p>
        </w:tc>
        <w:tc>
          <w:tcPr>
            <w:tcW w:w="263" w:type="dxa"/>
            <w:tcBorders>
              <w:top w:val="nil"/>
              <w:left w:val="nil"/>
              <w:bottom w:val="single" w:sz="4" w:space="0" w:color="auto"/>
              <w:right w:val="single" w:sz="4" w:space="0" w:color="auto"/>
            </w:tcBorders>
            <w:shd w:val="clear" w:color="auto" w:fill="auto"/>
            <w:vAlign w:val="center"/>
            <w:hideMark/>
          </w:tcPr>
          <w:p w14:paraId="3E5BB1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5EB29BF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516CFE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573314C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DB10F2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C9F247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047704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FAC304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BC5331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745D9A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7DBB2BB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490" w:type="dxa"/>
            <w:tcBorders>
              <w:top w:val="nil"/>
              <w:left w:val="nil"/>
              <w:bottom w:val="single" w:sz="4" w:space="0" w:color="auto"/>
              <w:right w:val="single" w:sz="4" w:space="0" w:color="auto"/>
            </w:tcBorders>
            <w:shd w:val="clear" w:color="auto" w:fill="auto"/>
            <w:vAlign w:val="center"/>
            <w:hideMark/>
          </w:tcPr>
          <w:p w14:paraId="1088DBB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164" w:type="dxa"/>
            <w:tcBorders>
              <w:top w:val="nil"/>
              <w:left w:val="nil"/>
              <w:bottom w:val="single" w:sz="4" w:space="0" w:color="auto"/>
              <w:right w:val="single" w:sz="4" w:space="0" w:color="auto"/>
            </w:tcBorders>
            <w:shd w:val="clear" w:color="auto" w:fill="auto"/>
            <w:vAlign w:val="center"/>
            <w:hideMark/>
          </w:tcPr>
          <w:p w14:paraId="6D625D1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r>
      <w:tr w:rsidR="00BC2206" w:rsidRPr="00BC2206" w14:paraId="638AF9BB"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EB6164A"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6A81E5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144B90E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20346B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2BB941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12C50F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C2B69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889952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12C171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37FAFD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489B20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6180B2F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c>
          <w:tcPr>
            <w:tcW w:w="490" w:type="dxa"/>
            <w:tcBorders>
              <w:top w:val="nil"/>
              <w:left w:val="nil"/>
              <w:bottom w:val="single" w:sz="4" w:space="0" w:color="auto"/>
              <w:right w:val="single" w:sz="4" w:space="0" w:color="auto"/>
            </w:tcBorders>
            <w:shd w:val="clear" w:color="auto" w:fill="auto"/>
            <w:vAlign w:val="center"/>
            <w:hideMark/>
          </w:tcPr>
          <w:p w14:paraId="215E1BD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0.13</w:t>
            </w:r>
          </w:p>
        </w:tc>
        <w:tc>
          <w:tcPr>
            <w:tcW w:w="164" w:type="dxa"/>
            <w:tcBorders>
              <w:top w:val="nil"/>
              <w:left w:val="nil"/>
              <w:bottom w:val="single" w:sz="4" w:space="0" w:color="auto"/>
              <w:right w:val="single" w:sz="4" w:space="0" w:color="auto"/>
            </w:tcBorders>
            <w:shd w:val="clear" w:color="auto" w:fill="auto"/>
            <w:vAlign w:val="center"/>
            <w:hideMark/>
          </w:tcPr>
          <w:p w14:paraId="325E37A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0.13</w:t>
            </w:r>
          </w:p>
        </w:tc>
      </w:tr>
      <w:tr w:rsidR="00BC2206" w:rsidRPr="00BC2206" w14:paraId="1126CA0F"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659B6DDF"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16D2F64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363EDBB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47F876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B7A02F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2D065F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FE4A3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715A84E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8A8DB3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0EEDCC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6983AD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916630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0.18</w:t>
            </w:r>
          </w:p>
        </w:tc>
        <w:tc>
          <w:tcPr>
            <w:tcW w:w="490" w:type="dxa"/>
            <w:tcBorders>
              <w:top w:val="nil"/>
              <w:left w:val="nil"/>
              <w:bottom w:val="single" w:sz="4" w:space="0" w:color="auto"/>
              <w:right w:val="single" w:sz="4" w:space="0" w:color="auto"/>
            </w:tcBorders>
            <w:shd w:val="clear" w:color="auto" w:fill="auto"/>
            <w:vAlign w:val="center"/>
            <w:hideMark/>
          </w:tcPr>
          <w:p w14:paraId="2AE21FB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0.14</w:t>
            </w:r>
          </w:p>
        </w:tc>
        <w:tc>
          <w:tcPr>
            <w:tcW w:w="164" w:type="dxa"/>
            <w:tcBorders>
              <w:top w:val="nil"/>
              <w:left w:val="nil"/>
              <w:bottom w:val="single" w:sz="4" w:space="0" w:color="auto"/>
              <w:right w:val="single" w:sz="4" w:space="0" w:color="auto"/>
            </w:tcBorders>
            <w:shd w:val="clear" w:color="auto" w:fill="auto"/>
            <w:vAlign w:val="center"/>
            <w:hideMark/>
          </w:tcPr>
          <w:p w14:paraId="3FE6B7D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0.14</w:t>
            </w:r>
          </w:p>
        </w:tc>
      </w:tr>
      <w:tr w:rsidR="00BC2206" w:rsidRPr="00BC2206" w14:paraId="762F3DDF"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82261F7"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A15034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132B2CE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A678F9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1FC414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560842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2BB8E4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04E5B9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91B836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F8BA81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BBCF06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A60263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0.16</w:t>
            </w:r>
          </w:p>
        </w:tc>
        <w:tc>
          <w:tcPr>
            <w:tcW w:w="490" w:type="dxa"/>
            <w:tcBorders>
              <w:top w:val="nil"/>
              <w:left w:val="nil"/>
              <w:bottom w:val="single" w:sz="4" w:space="0" w:color="auto"/>
              <w:right w:val="single" w:sz="4" w:space="0" w:color="auto"/>
            </w:tcBorders>
            <w:shd w:val="clear" w:color="auto" w:fill="auto"/>
            <w:vAlign w:val="center"/>
            <w:hideMark/>
          </w:tcPr>
          <w:p w14:paraId="35A6002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0.16</w:t>
            </w:r>
          </w:p>
        </w:tc>
        <w:tc>
          <w:tcPr>
            <w:tcW w:w="164" w:type="dxa"/>
            <w:tcBorders>
              <w:top w:val="nil"/>
              <w:left w:val="nil"/>
              <w:bottom w:val="single" w:sz="4" w:space="0" w:color="auto"/>
              <w:right w:val="single" w:sz="4" w:space="0" w:color="auto"/>
            </w:tcBorders>
            <w:shd w:val="clear" w:color="auto" w:fill="auto"/>
            <w:vAlign w:val="center"/>
            <w:hideMark/>
          </w:tcPr>
          <w:p w14:paraId="3C61275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0.16</w:t>
            </w:r>
          </w:p>
        </w:tc>
      </w:tr>
      <w:tr w:rsidR="00BC2206" w:rsidRPr="00BC2206" w14:paraId="76DA760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0D658B3A"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0B9AE34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500CC40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4C9EA3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12BCC8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8520A8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E6A61F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23E004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F9E584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8AD482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AB5DF0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3E39E7B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490" w:type="dxa"/>
            <w:tcBorders>
              <w:top w:val="nil"/>
              <w:left w:val="nil"/>
              <w:bottom w:val="single" w:sz="4" w:space="0" w:color="auto"/>
              <w:right w:val="single" w:sz="4" w:space="0" w:color="auto"/>
            </w:tcBorders>
            <w:shd w:val="clear" w:color="auto" w:fill="auto"/>
            <w:vAlign w:val="center"/>
            <w:hideMark/>
          </w:tcPr>
          <w:p w14:paraId="4E7BE91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0.38</w:t>
            </w:r>
          </w:p>
        </w:tc>
        <w:tc>
          <w:tcPr>
            <w:tcW w:w="164" w:type="dxa"/>
            <w:tcBorders>
              <w:top w:val="nil"/>
              <w:left w:val="nil"/>
              <w:bottom w:val="single" w:sz="4" w:space="0" w:color="auto"/>
              <w:right w:val="single" w:sz="4" w:space="0" w:color="auto"/>
            </w:tcBorders>
            <w:shd w:val="clear" w:color="auto" w:fill="auto"/>
            <w:vAlign w:val="center"/>
            <w:hideMark/>
          </w:tcPr>
          <w:p w14:paraId="02AB0B3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0.38</w:t>
            </w:r>
          </w:p>
        </w:tc>
      </w:tr>
      <w:tr w:rsidR="00BC2206" w:rsidRPr="00BC2206" w14:paraId="390D50F7"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35EFC397"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t>Form</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recognition</w:t>
            </w:r>
            <w:proofErr w:type="spellEnd"/>
          </w:p>
        </w:tc>
        <w:tc>
          <w:tcPr>
            <w:tcW w:w="263" w:type="dxa"/>
            <w:tcBorders>
              <w:top w:val="nil"/>
              <w:left w:val="nil"/>
              <w:bottom w:val="single" w:sz="4" w:space="0" w:color="auto"/>
              <w:right w:val="single" w:sz="4" w:space="0" w:color="auto"/>
            </w:tcBorders>
            <w:shd w:val="clear" w:color="auto" w:fill="auto"/>
            <w:vAlign w:val="center"/>
            <w:hideMark/>
          </w:tcPr>
          <w:p w14:paraId="4A2F53C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14AE67B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1CDB09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AFBA9C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3AC2D5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F54B72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0041F4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92FB54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164AA5F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8CD8C2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087BB4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c>
          <w:tcPr>
            <w:tcW w:w="490" w:type="dxa"/>
            <w:tcBorders>
              <w:top w:val="nil"/>
              <w:left w:val="nil"/>
              <w:bottom w:val="single" w:sz="4" w:space="0" w:color="auto"/>
              <w:right w:val="single" w:sz="4" w:space="0" w:color="auto"/>
            </w:tcBorders>
            <w:shd w:val="clear" w:color="auto" w:fill="auto"/>
            <w:vAlign w:val="center"/>
            <w:hideMark/>
          </w:tcPr>
          <w:p w14:paraId="42290C6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0.06</w:t>
            </w:r>
          </w:p>
        </w:tc>
        <w:tc>
          <w:tcPr>
            <w:tcW w:w="164" w:type="dxa"/>
            <w:tcBorders>
              <w:top w:val="nil"/>
              <w:left w:val="nil"/>
              <w:bottom w:val="single" w:sz="4" w:space="0" w:color="auto"/>
              <w:right w:val="single" w:sz="4" w:space="0" w:color="auto"/>
            </w:tcBorders>
            <w:shd w:val="clear" w:color="auto" w:fill="auto"/>
            <w:vAlign w:val="center"/>
            <w:hideMark/>
          </w:tcPr>
          <w:p w14:paraId="3BCCC0C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r>
      <w:tr w:rsidR="00BC2206" w:rsidRPr="00BC2206" w14:paraId="28BDEB9F"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4EE7DB10"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FCBCBA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3850B38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B038D5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25334C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D1B8F4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554755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426E08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28064E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2AC8F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103119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6DC76FD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0.15</w:t>
            </w:r>
          </w:p>
        </w:tc>
        <w:tc>
          <w:tcPr>
            <w:tcW w:w="490" w:type="dxa"/>
            <w:tcBorders>
              <w:top w:val="nil"/>
              <w:left w:val="nil"/>
              <w:bottom w:val="single" w:sz="4" w:space="0" w:color="auto"/>
              <w:right w:val="single" w:sz="4" w:space="0" w:color="auto"/>
            </w:tcBorders>
            <w:shd w:val="clear" w:color="auto" w:fill="auto"/>
            <w:vAlign w:val="center"/>
            <w:hideMark/>
          </w:tcPr>
          <w:p w14:paraId="1719EFE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164" w:type="dxa"/>
            <w:tcBorders>
              <w:top w:val="nil"/>
              <w:left w:val="nil"/>
              <w:bottom w:val="single" w:sz="4" w:space="0" w:color="auto"/>
              <w:right w:val="single" w:sz="4" w:space="0" w:color="auto"/>
            </w:tcBorders>
            <w:shd w:val="clear" w:color="auto" w:fill="auto"/>
            <w:vAlign w:val="center"/>
            <w:hideMark/>
          </w:tcPr>
          <w:p w14:paraId="59157F3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0.08</w:t>
            </w:r>
          </w:p>
        </w:tc>
      </w:tr>
      <w:tr w:rsidR="00BC2206" w:rsidRPr="00BC2206" w14:paraId="61133581"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90504A9"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0908F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74D74B6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273953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72F414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AE74D4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68BA40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661FC20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B64917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C2E52A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825E6B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11226E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0.24</w:t>
            </w:r>
          </w:p>
        </w:tc>
        <w:tc>
          <w:tcPr>
            <w:tcW w:w="490" w:type="dxa"/>
            <w:tcBorders>
              <w:top w:val="nil"/>
              <w:left w:val="nil"/>
              <w:bottom w:val="single" w:sz="4" w:space="0" w:color="auto"/>
              <w:right w:val="single" w:sz="4" w:space="0" w:color="auto"/>
            </w:tcBorders>
            <w:shd w:val="clear" w:color="auto" w:fill="auto"/>
            <w:vAlign w:val="center"/>
            <w:hideMark/>
          </w:tcPr>
          <w:p w14:paraId="006BF70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0.13</w:t>
            </w:r>
          </w:p>
        </w:tc>
        <w:tc>
          <w:tcPr>
            <w:tcW w:w="164" w:type="dxa"/>
            <w:tcBorders>
              <w:top w:val="nil"/>
              <w:left w:val="nil"/>
              <w:bottom w:val="single" w:sz="4" w:space="0" w:color="auto"/>
              <w:right w:val="single" w:sz="4" w:space="0" w:color="auto"/>
            </w:tcBorders>
            <w:shd w:val="clear" w:color="auto" w:fill="auto"/>
            <w:vAlign w:val="center"/>
            <w:hideMark/>
          </w:tcPr>
          <w:p w14:paraId="48F1032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0.08</w:t>
            </w:r>
          </w:p>
        </w:tc>
      </w:tr>
      <w:tr w:rsidR="00BC2206" w:rsidRPr="00BC2206" w14:paraId="633B5F3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38F87399"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E77975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3CF5A78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72854A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144ABD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28125C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F9338D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DF9032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4FB921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221484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1DF0C2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64E158A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0.14</w:t>
            </w:r>
          </w:p>
        </w:tc>
        <w:tc>
          <w:tcPr>
            <w:tcW w:w="490" w:type="dxa"/>
            <w:tcBorders>
              <w:top w:val="nil"/>
              <w:left w:val="nil"/>
              <w:bottom w:val="single" w:sz="4" w:space="0" w:color="auto"/>
              <w:right w:val="single" w:sz="4" w:space="0" w:color="auto"/>
            </w:tcBorders>
            <w:shd w:val="clear" w:color="auto" w:fill="auto"/>
            <w:vAlign w:val="center"/>
            <w:hideMark/>
          </w:tcPr>
          <w:p w14:paraId="3413ED5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164" w:type="dxa"/>
            <w:tcBorders>
              <w:top w:val="nil"/>
              <w:left w:val="nil"/>
              <w:bottom w:val="single" w:sz="4" w:space="0" w:color="auto"/>
              <w:right w:val="single" w:sz="4" w:space="0" w:color="auto"/>
            </w:tcBorders>
            <w:shd w:val="clear" w:color="auto" w:fill="auto"/>
            <w:vAlign w:val="center"/>
            <w:hideMark/>
          </w:tcPr>
          <w:p w14:paraId="7B861E0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0D7C9DFC"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7C19FDE"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5A1EF96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715240F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B9393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79D0FA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0F6E6FA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ABF434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6849ED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18CE396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A7C1C9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661012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2770A0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0.36</w:t>
            </w:r>
          </w:p>
        </w:tc>
        <w:tc>
          <w:tcPr>
            <w:tcW w:w="490" w:type="dxa"/>
            <w:tcBorders>
              <w:top w:val="nil"/>
              <w:left w:val="nil"/>
              <w:bottom w:val="single" w:sz="4" w:space="0" w:color="auto"/>
              <w:right w:val="single" w:sz="4" w:space="0" w:color="auto"/>
            </w:tcBorders>
            <w:shd w:val="clear" w:color="auto" w:fill="auto"/>
            <w:vAlign w:val="center"/>
            <w:hideMark/>
          </w:tcPr>
          <w:p w14:paraId="7BC8202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164" w:type="dxa"/>
            <w:tcBorders>
              <w:top w:val="nil"/>
              <w:left w:val="nil"/>
              <w:bottom w:val="single" w:sz="4" w:space="0" w:color="auto"/>
              <w:right w:val="single" w:sz="4" w:space="0" w:color="auto"/>
            </w:tcBorders>
            <w:shd w:val="clear" w:color="auto" w:fill="auto"/>
            <w:vAlign w:val="center"/>
            <w:hideMark/>
          </w:tcPr>
          <w:p w14:paraId="47867D2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0.09</w:t>
            </w:r>
          </w:p>
        </w:tc>
      </w:tr>
      <w:tr w:rsidR="00BC2206" w:rsidRPr="00BC2206" w14:paraId="257A57CB"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00C58B57"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t>Read</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words</w:t>
            </w:r>
            <w:proofErr w:type="spellEnd"/>
          </w:p>
        </w:tc>
        <w:tc>
          <w:tcPr>
            <w:tcW w:w="263" w:type="dxa"/>
            <w:tcBorders>
              <w:top w:val="nil"/>
              <w:left w:val="nil"/>
              <w:bottom w:val="single" w:sz="4" w:space="0" w:color="auto"/>
              <w:right w:val="single" w:sz="4" w:space="0" w:color="auto"/>
            </w:tcBorders>
            <w:shd w:val="clear" w:color="auto" w:fill="auto"/>
            <w:vAlign w:val="center"/>
            <w:hideMark/>
          </w:tcPr>
          <w:p w14:paraId="357F44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6E6CF5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502C5C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66B128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4B2A2B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1418AF2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2053EB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E44E05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35FDB0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F62589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2AEE33F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0.03</w:t>
            </w:r>
          </w:p>
        </w:tc>
        <w:tc>
          <w:tcPr>
            <w:tcW w:w="490" w:type="dxa"/>
            <w:tcBorders>
              <w:top w:val="nil"/>
              <w:left w:val="nil"/>
              <w:bottom w:val="single" w:sz="4" w:space="0" w:color="auto"/>
              <w:right w:val="single" w:sz="4" w:space="0" w:color="auto"/>
            </w:tcBorders>
            <w:shd w:val="clear" w:color="auto" w:fill="auto"/>
            <w:vAlign w:val="center"/>
            <w:hideMark/>
          </w:tcPr>
          <w:p w14:paraId="0F4B3AF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0.41</w:t>
            </w:r>
          </w:p>
        </w:tc>
        <w:tc>
          <w:tcPr>
            <w:tcW w:w="164" w:type="dxa"/>
            <w:tcBorders>
              <w:top w:val="nil"/>
              <w:left w:val="nil"/>
              <w:bottom w:val="single" w:sz="4" w:space="0" w:color="auto"/>
              <w:right w:val="single" w:sz="4" w:space="0" w:color="auto"/>
            </w:tcBorders>
            <w:shd w:val="clear" w:color="auto" w:fill="auto"/>
            <w:vAlign w:val="center"/>
            <w:hideMark/>
          </w:tcPr>
          <w:p w14:paraId="5421886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4105A523"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6186DD10"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0DDB923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3B862FC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5E4150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A0678D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555BF4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5978FA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026E245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674624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9EA839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4C68A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0FABD56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0.06</w:t>
            </w:r>
          </w:p>
        </w:tc>
        <w:tc>
          <w:tcPr>
            <w:tcW w:w="490" w:type="dxa"/>
            <w:tcBorders>
              <w:top w:val="nil"/>
              <w:left w:val="nil"/>
              <w:bottom w:val="single" w:sz="4" w:space="0" w:color="auto"/>
              <w:right w:val="single" w:sz="4" w:space="0" w:color="auto"/>
            </w:tcBorders>
            <w:shd w:val="clear" w:color="auto" w:fill="auto"/>
            <w:vAlign w:val="center"/>
            <w:hideMark/>
          </w:tcPr>
          <w:p w14:paraId="4E272D8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0.63</w:t>
            </w:r>
          </w:p>
        </w:tc>
        <w:tc>
          <w:tcPr>
            <w:tcW w:w="164" w:type="dxa"/>
            <w:tcBorders>
              <w:top w:val="nil"/>
              <w:left w:val="nil"/>
              <w:bottom w:val="single" w:sz="4" w:space="0" w:color="auto"/>
              <w:right w:val="single" w:sz="4" w:space="0" w:color="auto"/>
            </w:tcBorders>
            <w:shd w:val="clear" w:color="auto" w:fill="auto"/>
            <w:vAlign w:val="center"/>
            <w:hideMark/>
          </w:tcPr>
          <w:p w14:paraId="500A951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r>
      <w:tr w:rsidR="00BC2206" w:rsidRPr="00BC2206" w14:paraId="60C1690F"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09D0224"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267CB0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12E5F03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A3C577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17F3B3D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B47098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F44A83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7F6976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A1B3EA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23E9C2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6F8583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405CC84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0.16</w:t>
            </w:r>
          </w:p>
        </w:tc>
        <w:tc>
          <w:tcPr>
            <w:tcW w:w="490" w:type="dxa"/>
            <w:tcBorders>
              <w:top w:val="nil"/>
              <w:left w:val="nil"/>
              <w:bottom w:val="single" w:sz="4" w:space="0" w:color="auto"/>
              <w:right w:val="single" w:sz="4" w:space="0" w:color="auto"/>
            </w:tcBorders>
            <w:shd w:val="clear" w:color="auto" w:fill="auto"/>
            <w:vAlign w:val="center"/>
            <w:hideMark/>
          </w:tcPr>
          <w:p w14:paraId="427B987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0.72</w:t>
            </w:r>
          </w:p>
        </w:tc>
        <w:tc>
          <w:tcPr>
            <w:tcW w:w="164" w:type="dxa"/>
            <w:tcBorders>
              <w:top w:val="nil"/>
              <w:left w:val="nil"/>
              <w:bottom w:val="single" w:sz="4" w:space="0" w:color="auto"/>
              <w:right w:val="single" w:sz="4" w:space="0" w:color="auto"/>
            </w:tcBorders>
            <w:shd w:val="clear" w:color="auto" w:fill="auto"/>
            <w:vAlign w:val="center"/>
            <w:hideMark/>
          </w:tcPr>
          <w:p w14:paraId="1A94FD2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0.07</w:t>
            </w:r>
          </w:p>
        </w:tc>
      </w:tr>
      <w:tr w:rsidR="00BC2206" w:rsidRPr="00BC2206" w14:paraId="756C0706"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6E849C0"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48623AC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7B75605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0FD11F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7A6109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8D8042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223C04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0935C0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03E26E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B68165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32E8D1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BE81BC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c>
          <w:tcPr>
            <w:tcW w:w="490" w:type="dxa"/>
            <w:tcBorders>
              <w:top w:val="nil"/>
              <w:left w:val="nil"/>
              <w:bottom w:val="single" w:sz="4" w:space="0" w:color="auto"/>
              <w:right w:val="single" w:sz="4" w:space="0" w:color="auto"/>
            </w:tcBorders>
            <w:shd w:val="clear" w:color="auto" w:fill="auto"/>
            <w:vAlign w:val="center"/>
            <w:hideMark/>
          </w:tcPr>
          <w:p w14:paraId="727F5CF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0.25</w:t>
            </w:r>
          </w:p>
        </w:tc>
        <w:tc>
          <w:tcPr>
            <w:tcW w:w="164" w:type="dxa"/>
            <w:tcBorders>
              <w:top w:val="nil"/>
              <w:left w:val="nil"/>
              <w:bottom w:val="single" w:sz="4" w:space="0" w:color="auto"/>
              <w:right w:val="single" w:sz="4" w:space="0" w:color="auto"/>
            </w:tcBorders>
            <w:shd w:val="clear" w:color="auto" w:fill="auto"/>
            <w:vAlign w:val="center"/>
            <w:hideMark/>
          </w:tcPr>
          <w:p w14:paraId="1B1E533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0F845C0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4C567667"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C0925C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75FA633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1BDD3E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A764BE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774AF61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1CEF4D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B94CAE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637F89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C48DDC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270C6C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5B859B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0.09</w:t>
            </w:r>
          </w:p>
        </w:tc>
        <w:tc>
          <w:tcPr>
            <w:tcW w:w="490" w:type="dxa"/>
            <w:tcBorders>
              <w:top w:val="nil"/>
              <w:left w:val="nil"/>
              <w:bottom w:val="single" w:sz="4" w:space="0" w:color="auto"/>
              <w:right w:val="single" w:sz="4" w:space="0" w:color="auto"/>
            </w:tcBorders>
            <w:shd w:val="clear" w:color="auto" w:fill="auto"/>
            <w:vAlign w:val="center"/>
            <w:hideMark/>
          </w:tcPr>
          <w:p w14:paraId="2F9B144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0.33</w:t>
            </w:r>
          </w:p>
        </w:tc>
        <w:tc>
          <w:tcPr>
            <w:tcW w:w="164" w:type="dxa"/>
            <w:tcBorders>
              <w:top w:val="nil"/>
              <w:left w:val="nil"/>
              <w:bottom w:val="single" w:sz="4" w:space="0" w:color="auto"/>
              <w:right w:val="single" w:sz="4" w:space="0" w:color="auto"/>
            </w:tcBorders>
            <w:shd w:val="clear" w:color="auto" w:fill="auto"/>
            <w:vAlign w:val="center"/>
            <w:hideMark/>
          </w:tcPr>
          <w:p w14:paraId="6B64A7C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r>
      <w:tr w:rsidR="00BC2206" w:rsidRPr="00BC2206" w14:paraId="5FD24FB0" w14:textId="77777777" w:rsidTr="00BC2206">
        <w:trPr>
          <w:trHeight w:val="300"/>
        </w:trPr>
        <w:tc>
          <w:tcPr>
            <w:tcW w:w="1051" w:type="dxa"/>
            <w:vMerge w:val="restart"/>
            <w:tcBorders>
              <w:top w:val="nil"/>
              <w:left w:val="single" w:sz="4" w:space="0" w:color="auto"/>
              <w:bottom w:val="single" w:sz="4" w:space="0" w:color="000000"/>
              <w:right w:val="single" w:sz="4" w:space="0" w:color="auto"/>
            </w:tcBorders>
            <w:shd w:val="clear" w:color="auto" w:fill="auto"/>
            <w:vAlign w:val="center"/>
            <w:hideMark/>
          </w:tcPr>
          <w:p w14:paraId="63CC166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xml:space="preserve">Color </w:t>
            </w:r>
            <w:proofErr w:type="spellStart"/>
            <w:r w:rsidRPr="00BC2206">
              <w:rPr>
                <w:rFonts w:eastAsia="Times New Roman"/>
                <w:color w:val="000000"/>
                <w:sz w:val="20"/>
                <w:szCs w:val="20"/>
              </w:rPr>
              <w:t>detection</w:t>
            </w:r>
            <w:proofErr w:type="spellEnd"/>
          </w:p>
        </w:tc>
        <w:tc>
          <w:tcPr>
            <w:tcW w:w="263" w:type="dxa"/>
            <w:tcBorders>
              <w:top w:val="nil"/>
              <w:left w:val="nil"/>
              <w:bottom w:val="single" w:sz="4" w:space="0" w:color="auto"/>
              <w:right w:val="single" w:sz="4" w:space="0" w:color="auto"/>
            </w:tcBorders>
            <w:shd w:val="clear" w:color="auto" w:fill="auto"/>
            <w:vAlign w:val="center"/>
            <w:hideMark/>
          </w:tcPr>
          <w:p w14:paraId="2783F8F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0CF2A7C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41BF9F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050CBF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6AEE4F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E9347E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3393C4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5CA832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5173A3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720A31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A1DD77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490" w:type="dxa"/>
            <w:tcBorders>
              <w:top w:val="nil"/>
              <w:left w:val="nil"/>
              <w:bottom w:val="single" w:sz="4" w:space="0" w:color="auto"/>
              <w:right w:val="single" w:sz="4" w:space="0" w:color="auto"/>
            </w:tcBorders>
            <w:shd w:val="clear" w:color="auto" w:fill="auto"/>
            <w:vAlign w:val="center"/>
            <w:hideMark/>
          </w:tcPr>
          <w:p w14:paraId="05E0B55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0.05</w:t>
            </w:r>
          </w:p>
        </w:tc>
        <w:tc>
          <w:tcPr>
            <w:tcW w:w="164" w:type="dxa"/>
            <w:tcBorders>
              <w:top w:val="nil"/>
              <w:left w:val="nil"/>
              <w:bottom w:val="single" w:sz="4" w:space="0" w:color="auto"/>
              <w:right w:val="single" w:sz="4" w:space="0" w:color="auto"/>
            </w:tcBorders>
            <w:shd w:val="clear" w:color="auto" w:fill="auto"/>
            <w:vAlign w:val="center"/>
            <w:hideMark/>
          </w:tcPr>
          <w:p w14:paraId="1899D02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34E37007"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2247FAA4"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E67280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1677E5E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0BB490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BEC516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3FCA6E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7E9CB4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5CBED96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0A6103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DC8EDB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40554AB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2321481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c>
          <w:tcPr>
            <w:tcW w:w="490" w:type="dxa"/>
            <w:tcBorders>
              <w:top w:val="nil"/>
              <w:left w:val="nil"/>
              <w:bottom w:val="single" w:sz="4" w:space="0" w:color="auto"/>
              <w:right w:val="single" w:sz="4" w:space="0" w:color="auto"/>
            </w:tcBorders>
            <w:shd w:val="clear" w:color="auto" w:fill="auto"/>
            <w:vAlign w:val="center"/>
            <w:hideMark/>
          </w:tcPr>
          <w:p w14:paraId="4ED892B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164" w:type="dxa"/>
            <w:tcBorders>
              <w:top w:val="nil"/>
              <w:left w:val="nil"/>
              <w:bottom w:val="single" w:sz="4" w:space="0" w:color="auto"/>
              <w:right w:val="single" w:sz="4" w:space="0" w:color="auto"/>
            </w:tcBorders>
            <w:shd w:val="clear" w:color="auto" w:fill="auto"/>
            <w:vAlign w:val="center"/>
            <w:hideMark/>
          </w:tcPr>
          <w:p w14:paraId="6581854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r>
      <w:tr w:rsidR="00BC2206" w:rsidRPr="00BC2206" w14:paraId="2C849F3D"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144D97F5"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FCB5C8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37AAA98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9364FE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3A4ED3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92C768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9CCBB7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E409F9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036679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23238D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BBAA60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427F6CC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0.07</w:t>
            </w:r>
          </w:p>
        </w:tc>
        <w:tc>
          <w:tcPr>
            <w:tcW w:w="490" w:type="dxa"/>
            <w:tcBorders>
              <w:top w:val="nil"/>
              <w:left w:val="nil"/>
              <w:bottom w:val="single" w:sz="4" w:space="0" w:color="auto"/>
              <w:right w:val="single" w:sz="4" w:space="0" w:color="auto"/>
            </w:tcBorders>
            <w:shd w:val="clear" w:color="auto" w:fill="auto"/>
            <w:vAlign w:val="center"/>
            <w:hideMark/>
          </w:tcPr>
          <w:p w14:paraId="2D7CBDE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164" w:type="dxa"/>
            <w:tcBorders>
              <w:top w:val="nil"/>
              <w:left w:val="nil"/>
              <w:bottom w:val="single" w:sz="4" w:space="0" w:color="auto"/>
              <w:right w:val="single" w:sz="4" w:space="0" w:color="auto"/>
            </w:tcBorders>
            <w:shd w:val="clear" w:color="auto" w:fill="auto"/>
            <w:vAlign w:val="center"/>
            <w:hideMark/>
          </w:tcPr>
          <w:p w14:paraId="258CFAF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0.04</w:t>
            </w:r>
          </w:p>
        </w:tc>
      </w:tr>
      <w:tr w:rsidR="00BC2206" w:rsidRPr="00BC2206" w14:paraId="5E8716D3"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6DDA1E7"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F99045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1C486D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196DC5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38F277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5E97C0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3948388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22ACF23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5FD55F7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7BCC54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3FEA101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177F22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0.02</w:t>
            </w:r>
          </w:p>
        </w:tc>
        <w:tc>
          <w:tcPr>
            <w:tcW w:w="490" w:type="dxa"/>
            <w:tcBorders>
              <w:top w:val="nil"/>
              <w:left w:val="nil"/>
              <w:bottom w:val="single" w:sz="4" w:space="0" w:color="auto"/>
              <w:right w:val="single" w:sz="4" w:space="0" w:color="auto"/>
            </w:tcBorders>
            <w:shd w:val="clear" w:color="auto" w:fill="auto"/>
            <w:vAlign w:val="center"/>
            <w:hideMark/>
          </w:tcPr>
          <w:p w14:paraId="4191E46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0.03</w:t>
            </w:r>
          </w:p>
        </w:tc>
        <w:tc>
          <w:tcPr>
            <w:tcW w:w="164" w:type="dxa"/>
            <w:tcBorders>
              <w:top w:val="nil"/>
              <w:left w:val="nil"/>
              <w:bottom w:val="single" w:sz="4" w:space="0" w:color="auto"/>
              <w:right w:val="single" w:sz="4" w:space="0" w:color="auto"/>
            </w:tcBorders>
            <w:shd w:val="clear" w:color="auto" w:fill="auto"/>
            <w:vAlign w:val="center"/>
            <w:hideMark/>
          </w:tcPr>
          <w:p w14:paraId="14F38D7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r>
      <w:tr w:rsidR="00BC2206" w:rsidRPr="00BC2206" w14:paraId="76AA0797" w14:textId="77777777" w:rsidTr="00BC2206">
        <w:trPr>
          <w:trHeight w:val="300"/>
        </w:trPr>
        <w:tc>
          <w:tcPr>
            <w:tcW w:w="1051" w:type="dxa"/>
            <w:vMerge/>
            <w:tcBorders>
              <w:top w:val="nil"/>
              <w:left w:val="single" w:sz="4" w:space="0" w:color="auto"/>
              <w:bottom w:val="single" w:sz="4" w:space="0" w:color="000000"/>
              <w:right w:val="single" w:sz="4" w:space="0" w:color="auto"/>
            </w:tcBorders>
            <w:vAlign w:val="center"/>
            <w:hideMark/>
          </w:tcPr>
          <w:p w14:paraId="7F837B82"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722628C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3CF7528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726D99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876650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10F6C7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7C16C7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26B23D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34BC12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C3EF12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05B55CA7"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490" w:type="dxa"/>
            <w:tcBorders>
              <w:top w:val="nil"/>
              <w:left w:val="nil"/>
              <w:bottom w:val="single" w:sz="4" w:space="0" w:color="auto"/>
              <w:right w:val="single" w:sz="4" w:space="0" w:color="auto"/>
            </w:tcBorders>
            <w:shd w:val="clear" w:color="auto" w:fill="auto"/>
            <w:vAlign w:val="center"/>
            <w:hideMark/>
          </w:tcPr>
          <w:p w14:paraId="19B0281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0.08</w:t>
            </w:r>
          </w:p>
        </w:tc>
        <w:tc>
          <w:tcPr>
            <w:tcW w:w="490" w:type="dxa"/>
            <w:tcBorders>
              <w:top w:val="nil"/>
              <w:left w:val="nil"/>
              <w:bottom w:val="single" w:sz="4" w:space="0" w:color="auto"/>
              <w:right w:val="single" w:sz="4" w:space="0" w:color="auto"/>
            </w:tcBorders>
            <w:shd w:val="clear" w:color="auto" w:fill="auto"/>
            <w:vAlign w:val="center"/>
            <w:hideMark/>
          </w:tcPr>
          <w:p w14:paraId="15FEE7C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0.23</w:t>
            </w:r>
          </w:p>
        </w:tc>
        <w:tc>
          <w:tcPr>
            <w:tcW w:w="164" w:type="dxa"/>
            <w:tcBorders>
              <w:top w:val="nil"/>
              <w:left w:val="nil"/>
              <w:bottom w:val="single" w:sz="4" w:space="0" w:color="auto"/>
              <w:right w:val="single" w:sz="4" w:space="0" w:color="auto"/>
            </w:tcBorders>
            <w:shd w:val="clear" w:color="auto" w:fill="auto"/>
            <w:vAlign w:val="center"/>
            <w:hideMark/>
          </w:tcPr>
          <w:p w14:paraId="6F0D921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666C417F" w14:textId="77777777" w:rsidTr="00BC2206">
        <w:trPr>
          <w:trHeight w:val="300"/>
        </w:trPr>
        <w:tc>
          <w:tcPr>
            <w:tcW w:w="1051" w:type="dxa"/>
            <w:vMerge w:val="restart"/>
            <w:tcBorders>
              <w:top w:val="nil"/>
              <w:left w:val="single" w:sz="4" w:space="0" w:color="auto"/>
              <w:bottom w:val="single" w:sz="4" w:space="0" w:color="auto"/>
              <w:right w:val="single" w:sz="4" w:space="0" w:color="auto"/>
            </w:tcBorders>
            <w:shd w:val="clear" w:color="auto" w:fill="auto"/>
            <w:vAlign w:val="center"/>
            <w:hideMark/>
          </w:tcPr>
          <w:p w14:paraId="73F235A5" w14:textId="77777777" w:rsidR="00BC2206" w:rsidRPr="00BC2206" w:rsidRDefault="00BC2206" w:rsidP="00BC2206">
            <w:pPr>
              <w:spacing w:line="240" w:lineRule="auto"/>
              <w:jc w:val="center"/>
              <w:rPr>
                <w:rFonts w:eastAsia="Times New Roman"/>
                <w:color w:val="000000"/>
                <w:sz w:val="20"/>
                <w:szCs w:val="20"/>
              </w:rPr>
            </w:pPr>
            <w:proofErr w:type="spellStart"/>
            <w:r w:rsidRPr="00BC2206">
              <w:rPr>
                <w:rFonts w:eastAsia="Times New Roman"/>
                <w:color w:val="000000"/>
                <w:sz w:val="20"/>
                <w:szCs w:val="20"/>
              </w:rPr>
              <w:t>Image</w:t>
            </w:r>
            <w:proofErr w:type="spellEnd"/>
            <w:r w:rsidRPr="00BC2206">
              <w:rPr>
                <w:rFonts w:eastAsia="Times New Roman"/>
                <w:color w:val="000000"/>
                <w:sz w:val="20"/>
                <w:szCs w:val="20"/>
              </w:rPr>
              <w:t xml:space="preserve"> </w:t>
            </w:r>
            <w:proofErr w:type="spellStart"/>
            <w:r w:rsidRPr="00BC2206">
              <w:rPr>
                <w:rFonts w:eastAsia="Times New Roman"/>
                <w:color w:val="000000"/>
                <w:sz w:val="20"/>
                <w:szCs w:val="20"/>
              </w:rPr>
              <w:t>description</w:t>
            </w:r>
            <w:proofErr w:type="spellEnd"/>
          </w:p>
        </w:tc>
        <w:tc>
          <w:tcPr>
            <w:tcW w:w="263" w:type="dxa"/>
            <w:tcBorders>
              <w:top w:val="nil"/>
              <w:left w:val="nil"/>
              <w:bottom w:val="single" w:sz="4" w:space="0" w:color="auto"/>
              <w:right w:val="single" w:sz="4" w:space="0" w:color="auto"/>
            </w:tcBorders>
            <w:shd w:val="clear" w:color="auto" w:fill="auto"/>
            <w:vAlign w:val="center"/>
            <w:hideMark/>
          </w:tcPr>
          <w:p w14:paraId="2E00FCA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1</w:t>
            </w:r>
          </w:p>
        </w:tc>
        <w:tc>
          <w:tcPr>
            <w:tcW w:w="274" w:type="dxa"/>
            <w:tcBorders>
              <w:top w:val="nil"/>
              <w:left w:val="nil"/>
              <w:bottom w:val="single" w:sz="4" w:space="0" w:color="auto"/>
              <w:right w:val="single" w:sz="4" w:space="0" w:color="auto"/>
            </w:tcBorders>
            <w:shd w:val="clear" w:color="auto" w:fill="auto"/>
            <w:vAlign w:val="center"/>
            <w:hideMark/>
          </w:tcPr>
          <w:p w14:paraId="76E9099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6522339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6C22B96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B301E3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00487B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58D6450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F21F79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4523B5C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0601FC1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490" w:type="dxa"/>
            <w:tcBorders>
              <w:top w:val="nil"/>
              <w:left w:val="nil"/>
              <w:bottom w:val="single" w:sz="4" w:space="0" w:color="auto"/>
              <w:right w:val="single" w:sz="4" w:space="0" w:color="auto"/>
            </w:tcBorders>
            <w:shd w:val="clear" w:color="auto" w:fill="auto"/>
            <w:vAlign w:val="center"/>
            <w:hideMark/>
          </w:tcPr>
          <w:p w14:paraId="15310C4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490" w:type="dxa"/>
            <w:tcBorders>
              <w:top w:val="nil"/>
              <w:left w:val="nil"/>
              <w:bottom w:val="single" w:sz="4" w:space="0" w:color="auto"/>
              <w:right w:val="single" w:sz="4" w:space="0" w:color="auto"/>
            </w:tcBorders>
            <w:shd w:val="clear" w:color="auto" w:fill="auto"/>
            <w:vAlign w:val="center"/>
            <w:hideMark/>
          </w:tcPr>
          <w:p w14:paraId="15B08DF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164" w:type="dxa"/>
            <w:tcBorders>
              <w:top w:val="nil"/>
              <w:left w:val="nil"/>
              <w:bottom w:val="single" w:sz="4" w:space="0" w:color="auto"/>
              <w:right w:val="single" w:sz="4" w:space="0" w:color="auto"/>
            </w:tcBorders>
            <w:shd w:val="clear" w:color="auto" w:fill="auto"/>
            <w:vAlign w:val="center"/>
            <w:hideMark/>
          </w:tcPr>
          <w:p w14:paraId="3142B02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7A2517C3" w14:textId="77777777" w:rsidTr="00BC2206">
        <w:trPr>
          <w:trHeight w:val="300"/>
        </w:trPr>
        <w:tc>
          <w:tcPr>
            <w:tcW w:w="1051" w:type="dxa"/>
            <w:vMerge/>
            <w:tcBorders>
              <w:top w:val="nil"/>
              <w:left w:val="single" w:sz="4" w:space="0" w:color="auto"/>
              <w:bottom w:val="single" w:sz="4" w:space="0" w:color="auto"/>
              <w:right w:val="single" w:sz="4" w:space="0" w:color="auto"/>
            </w:tcBorders>
            <w:vAlign w:val="center"/>
            <w:hideMark/>
          </w:tcPr>
          <w:p w14:paraId="62199EF8"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0BF4774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2</w:t>
            </w:r>
          </w:p>
        </w:tc>
        <w:tc>
          <w:tcPr>
            <w:tcW w:w="274" w:type="dxa"/>
            <w:tcBorders>
              <w:top w:val="nil"/>
              <w:left w:val="nil"/>
              <w:bottom w:val="single" w:sz="4" w:space="0" w:color="auto"/>
              <w:right w:val="single" w:sz="4" w:space="0" w:color="auto"/>
            </w:tcBorders>
            <w:shd w:val="clear" w:color="auto" w:fill="auto"/>
            <w:vAlign w:val="center"/>
            <w:hideMark/>
          </w:tcPr>
          <w:p w14:paraId="3C90707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0C37CD1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3C2C95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2B3B37F"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72FA109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7E5C2C1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113DB6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1D4B3B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37FE6CC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490" w:type="dxa"/>
            <w:tcBorders>
              <w:top w:val="nil"/>
              <w:left w:val="nil"/>
              <w:bottom w:val="single" w:sz="4" w:space="0" w:color="auto"/>
              <w:right w:val="single" w:sz="4" w:space="0" w:color="auto"/>
            </w:tcBorders>
            <w:shd w:val="clear" w:color="auto" w:fill="auto"/>
            <w:vAlign w:val="center"/>
            <w:hideMark/>
          </w:tcPr>
          <w:p w14:paraId="369F380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490" w:type="dxa"/>
            <w:tcBorders>
              <w:top w:val="nil"/>
              <w:left w:val="nil"/>
              <w:bottom w:val="single" w:sz="4" w:space="0" w:color="auto"/>
              <w:right w:val="single" w:sz="4" w:space="0" w:color="auto"/>
            </w:tcBorders>
            <w:shd w:val="clear" w:color="auto" w:fill="auto"/>
            <w:vAlign w:val="center"/>
            <w:hideMark/>
          </w:tcPr>
          <w:p w14:paraId="153621F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164" w:type="dxa"/>
            <w:tcBorders>
              <w:top w:val="nil"/>
              <w:left w:val="nil"/>
              <w:bottom w:val="single" w:sz="4" w:space="0" w:color="auto"/>
              <w:right w:val="single" w:sz="4" w:space="0" w:color="auto"/>
            </w:tcBorders>
            <w:shd w:val="clear" w:color="auto" w:fill="auto"/>
            <w:vAlign w:val="center"/>
            <w:hideMark/>
          </w:tcPr>
          <w:p w14:paraId="58C0DE8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49D6382A" w14:textId="77777777" w:rsidTr="00BC2206">
        <w:trPr>
          <w:trHeight w:val="300"/>
        </w:trPr>
        <w:tc>
          <w:tcPr>
            <w:tcW w:w="1051" w:type="dxa"/>
            <w:vMerge/>
            <w:tcBorders>
              <w:top w:val="nil"/>
              <w:left w:val="single" w:sz="4" w:space="0" w:color="auto"/>
              <w:bottom w:val="single" w:sz="4" w:space="0" w:color="auto"/>
              <w:right w:val="single" w:sz="4" w:space="0" w:color="auto"/>
            </w:tcBorders>
            <w:vAlign w:val="center"/>
            <w:hideMark/>
          </w:tcPr>
          <w:p w14:paraId="7C0D7B50"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C40A66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3</w:t>
            </w:r>
          </w:p>
        </w:tc>
        <w:tc>
          <w:tcPr>
            <w:tcW w:w="274" w:type="dxa"/>
            <w:tcBorders>
              <w:top w:val="nil"/>
              <w:left w:val="nil"/>
              <w:bottom w:val="single" w:sz="4" w:space="0" w:color="auto"/>
              <w:right w:val="single" w:sz="4" w:space="0" w:color="auto"/>
            </w:tcBorders>
            <w:shd w:val="clear" w:color="auto" w:fill="auto"/>
            <w:vAlign w:val="center"/>
            <w:hideMark/>
          </w:tcPr>
          <w:p w14:paraId="473D488A"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5149EA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317B30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4F3AFFA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56DD4A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0182D1C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12B55B24"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27623E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94B761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490" w:type="dxa"/>
            <w:tcBorders>
              <w:top w:val="nil"/>
              <w:left w:val="nil"/>
              <w:bottom w:val="single" w:sz="4" w:space="0" w:color="auto"/>
              <w:right w:val="single" w:sz="4" w:space="0" w:color="auto"/>
            </w:tcBorders>
            <w:shd w:val="clear" w:color="auto" w:fill="auto"/>
            <w:vAlign w:val="center"/>
            <w:hideMark/>
          </w:tcPr>
          <w:p w14:paraId="7EFE68E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490" w:type="dxa"/>
            <w:tcBorders>
              <w:top w:val="nil"/>
              <w:left w:val="nil"/>
              <w:bottom w:val="single" w:sz="4" w:space="0" w:color="auto"/>
              <w:right w:val="single" w:sz="4" w:space="0" w:color="auto"/>
            </w:tcBorders>
            <w:shd w:val="clear" w:color="auto" w:fill="auto"/>
            <w:vAlign w:val="center"/>
            <w:hideMark/>
          </w:tcPr>
          <w:p w14:paraId="010B859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164" w:type="dxa"/>
            <w:tcBorders>
              <w:top w:val="nil"/>
              <w:left w:val="nil"/>
              <w:bottom w:val="single" w:sz="4" w:space="0" w:color="auto"/>
              <w:right w:val="single" w:sz="4" w:space="0" w:color="auto"/>
            </w:tcBorders>
            <w:shd w:val="clear" w:color="auto" w:fill="auto"/>
            <w:vAlign w:val="center"/>
            <w:hideMark/>
          </w:tcPr>
          <w:p w14:paraId="3210CEB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1BA31623" w14:textId="77777777" w:rsidTr="00BC2206">
        <w:trPr>
          <w:trHeight w:val="300"/>
        </w:trPr>
        <w:tc>
          <w:tcPr>
            <w:tcW w:w="1051" w:type="dxa"/>
            <w:vMerge/>
            <w:tcBorders>
              <w:top w:val="nil"/>
              <w:left w:val="single" w:sz="4" w:space="0" w:color="auto"/>
              <w:bottom w:val="single" w:sz="4" w:space="0" w:color="auto"/>
              <w:right w:val="single" w:sz="4" w:space="0" w:color="auto"/>
            </w:tcBorders>
            <w:vAlign w:val="center"/>
            <w:hideMark/>
          </w:tcPr>
          <w:p w14:paraId="3A357CC3"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31000A6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4</w:t>
            </w:r>
          </w:p>
        </w:tc>
        <w:tc>
          <w:tcPr>
            <w:tcW w:w="274" w:type="dxa"/>
            <w:tcBorders>
              <w:top w:val="nil"/>
              <w:left w:val="nil"/>
              <w:bottom w:val="single" w:sz="4" w:space="0" w:color="auto"/>
              <w:right w:val="single" w:sz="4" w:space="0" w:color="auto"/>
            </w:tcBorders>
            <w:shd w:val="clear" w:color="auto" w:fill="auto"/>
            <w:vAlign w:val="center"/>
            <w:hideMark/>
          </w:tcPr>
          <w:p w14:paraId="699ACDE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72DB011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56C6DE0C"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6415FD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3506305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49786745"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B1EA5B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51C87403"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12176DB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490" w:type="dxa"/>
            <w:tcBorders>
              <w:top w:val="nil"/>
              <w:left w:val="nil"/>
              <w:bottom w:val="single" w:sz="4" w:space="0" w:color="auto"/>
              <w:right w:val="single" w:sz="4" w:space="0" w:color="auto"/>
            </w:tcBorders>
            <w:shd w:val="clear" w:color="auto" w:fill="auto"/>
            <w:vAlign w:val="center"/>
            <w:hideMark/>
          </w:tcPr>
          <w:p w14:paraId="27D891B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490" w:type="dxa"/>
            <w:tcBorders>
              <w:top w:val="nil"/>
              <w:left w:val="nil"/>
              <w:bottom w:val="single" w:sz="4" w:space="0" w:color="auto"/>
              <w:right w:val="single" w:sz="4" w:space="0" w:color="auto"/>
            </w:tcBorders>
            <w:shd w:val="clear" w:color="auto" w:fill="auto"/>
            <w:vAlign w:val="center"/>
            <w:hideMark/>
          </w:tcPr>
          <w:p w14:paraId="3A5A247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164" w:type="dxa"/>
            <w:tcBorders>
              <w:top w:val="nil"/>
              <w:left w:val="nil"/>
              <w:bottom w:val="single" w:sz="4" w:space="0" w:color="auto"/>
              <w:right w:val="single" w:sz="4" w:space="0" w:color="auto"/>
            </w:tcBorders>
            <w:shd w:val="clear" w:color="auto" w:fill="auto"/>
            <w:vAlign w:val="center"/>
            <w:hideMark/>
          </w:tcPr>
          <w:p w14:paraId="2F34E788"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r w:rsidR="00BC2206" w:rsidRPr="00BC2206" w14:paraId="15042561" w14:textId="77777777" w:rsidTr="00BC2206">
        <w:trPr>
          <w:trHeight w:val="300"/>
        </w:trPr>
        <w:tc>
          <w:tcPr>
            <w:tcW w:w="1051" w:type="dxa"/>
            <w:vMerge/>
            <w:tcBorders>
              <w:top w:val="nil"/>
              <w:left w:val="single" w:sz="4" w:space="0" w:color="auto"/>
              <w:bottom w:val="single" w:sz="4" w:space="0" w:color="auto"/>
              <w:right w:val="single" w:sz="4" w:space="0" w:color="auto"/>
            </w:tcBorders>
            <w:vAlign w:val="center"/>
            <w:hideMark/>
          </w:tcPr>
          <w:p w14:paraId="5A950C5D" w14:textId="77777777" w:rsidR="00BC2206" w:rsidRPr="00BC2206" w:rsidRDefault="00BC2206" w:rsidP="00BC2206">
            <w:pPr>
              <w:spacing w:line="240" w:lineRule="auto"/>
              <w:rPr>
                <w:rFonts w:eastAsia="Times New Roman"/>
                <w:color w:val="000000"/>
                <w:sz w:val="20"/>
                <w:szCs w:val="20"/>
              </w:rPr>
            </w:pPr>
          </w:p>
        </w:tc>
        <w:tc>
          <w:tcPr>
            <w:tcW w:w="263" w:type="dxa"/>
            <w:tcBorders>
              <w:top w:val="nil"/>
              <w:left w:val="nil"/>
              <w:bottom w:val="single" w:sz="4" w:space="0" w:color="auto"/>
              <w:right w:val="single" w:sz="4" w:space="0" w:color="auto"/>
            </w:tcBorders>
            <w:shd w:val="clear" w:color="auto" w:fill="auto"/>
            <w:vAlign w:val="center"/>
            <w:hideMark/>
          </w:tcPr>
          <w:p w14:paraId="230828D9"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5</w:t>
            </w:r>
          </w:p>
        </w:tc>
        <w:tc>
          <w:tcPr>
            <w:tcW w:w="274" w:type="dxa"/>
            <w:tcBorders>
              <w:top w:val="nil"/>
              <w:left w:val="nil"/>
              <w:bottom w:val="single" w:sz="4" w:space="0" w:color="auto"/>
              <w:right w:val="single" w:sz="4" w:space="0" w:color="auto"/>
            </w:tcBorders>
            <w:shd w:val="clear" w:color="auto" w:fill="auto"/>
            <w:vAlign w:val="center"/>
            <w:hideMark/>
          </w:tcPr>
          <w:p w14:paraId="0B13D73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133500CD"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85" w:type="dxa"/>
            <w:tcBorders>
              <w:top w:val="nil"/>
              <w:left w:val="nil"/>
              <w:bottom w:val="single" w:sz="4" w:space="0" w:color="auto"/>
              <w:right w:val="single" w:sz="4" w:space="0" w:color="auto"/>
            </w:tcBorders>
            <w:shd w:val="clear" w:color="auto" w:fill="auto"/>
            <w:vAlign w:val="center"/>
            <w:hideMark/>
          </w:tcPr>
          <w:p w14:paraId="736C707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 </w:t>
            </w:r>
          </w:p>
        </w:tc>
        <w:tc>
          <w:tcPr>
            <w:tcW w:w="274" w:type="dxa"/>
            <w:tcBorders>
              <w:top w:val="nil"/>
              <w:left w:val="nil"/>
              <w:bottom w:val="single" w:sz="4" w:space="0" w:color="auto"/>
              <w:right w:val="single" w:sz="4" w:space="0" w:color="auto"/>
            </w:tcBorders>
            <w:shd w:val="clear" w:color="auto" w:fill="auto"/>
            <w:vAlign w:val="center"/>
            <w:hideMark/>
          </w:tcPr>
          <w:p w14:paraId="22229331"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375874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6ED2BB40"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2566830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74" w:type="dxa"/>
            <w:tcBorders>
              <w:top w:val="nil"/>
              <w:left w:val="nil"/>
              <w:bottom w:val="single" w:sz="4" w:space="0" w:color="auto"/>
              <w:right w:val="single" w:sz="4" w:space="0" w:color="auto"/>
            </w:tcBorders>
            <w:shd w:val="clear" w:color="auto" w:fill="auto"/>
            <w:vAlign w:val="center"/>
            <w:hideMark/>
          </w:tcPr>
          <w:p w14:paraId="68BCA7D6"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285" w:type="dxa"/>
            <w:tcBorders>
              <w:top w:val="nil"/>
              <w:left w:val="nil"/>
              <w:bottom w:val="single" w:sz="4" w:space="0" w:color="auto"/>
              <w:right w:val="single" w:sz="4" w:space="0" w:color="auto"/>
            </w:tcBorders>
            <w:shd w:val="clear" w:color="auto" w:fill="auto"/>
            <w:vAlign w:val="center"/>
            <w:hideMark/>
          </w:tcPr>
          <w:p w14:paraId="287F9ADB"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w:t>
            </w:r>
          </w:p>
        </w:tc>
        <w:tc>
          <w:tcPr>
            <w:tcW w:w="490" w:type="dxa"/>
            <w:tcBorders>
              <w:top w:val="nil"/>
              <w:left w:val="nil"/>
              <w:bottom w:val="single" w:sz="4" w:space="0" w:color="auto"/>
              <w:right w:val="single" w:sz="4" w:space="0" w:color="auto"/>
            </w:tcBorders>
            <w:shd w:val="clear" w:color="auto" w:fill="auto"/>
            <w:vAlign w:val="center"/>
            <w:hideMark/>
          </w:tcPr>
          <w:p w14:paraId="42647C6E"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c>
          <w:tcPr>
            <w:tcW w:w="490" w:type="dxa"/>
            <w:tcBorders>
              <w:top w:val="nil"/>
              <w:left w:val="nil"/>
              <w:bottom w:val="single" w:sz="4" w:space="0" w:color="auto"/>
              <w:right w:val="single" w:sz="4" w:space="0" w:color="auto"/>
            </w:tcBorders>
            <w:shd w:val="clear" w:color="auto" w:fill="auto"/>
            <w:vAlign w:val="center"/>
            <w:hideMark/>
          </w:tcPr>
          <w:p w14:paraId="24065CA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0.01</w:t>
            </w:r>
          </w:p>
        </w:tc>
        <w:tc>
          <w:tcPr>
            <w:tcW w:w="164" w:type="dxa"/>
            <w:tcBorders>
              <w:top w:val="nil"/>
              <w:left w:val="nil"/>
              <w:bottom w:val="single" w:sz="4" w:space="0" w:color="auto"/>
              <w:right w:val="single" w:sz="4" w:space="0" w:color="auto"/>
            </w:tcBorders>
            <w:shd w:val="clear" w:color="auto" w:fill="auto"/>
            <w:vAlign w:val="center"/>
            <w:hideMark/>
          </w:tcPr>
          <w:p w14:paraId="231C7012" w14:textId="77777777" w:rsidR="00BC2206" w:rsidRPr="00BC2206" w:rsidRDefault="00BC2206" w:rsidP="00BC2206">
            <w:pPr>
              <w:spacing w:line="240" w:lineRule="auto"/>
              <w:jc w:val="center"/>
              <w:rPr>
                <w:rFonts w:eastAsia="Times New Roman"/>
                <w:color w:val="000000"/>
                <w:sz w:val="20"/>
                <w:szCs w:val="20"/>
              </w:rPr>
            </w:pPr>
            <w:r w:rsidRPr="00BC2206">
              <w:rPr>
                <w:rFonts w:eastAsia="Times New Roman"/>
                <w:color w:val="000000"/>
                <w:sz w:val="20"/>
                <w:szCs w:val="20"/>
              </w:rPr>
              <w:t>0.00</w:t>
            </w:r>
          </w:p>
        </w:tc>
      </w:tr>
    </w:tbl>
    <w:p w14:paraId="76AD974E" w14:textId="77777777" w:rsidR="00BC2206" w:rsidRPr="00BF53CF" w:rsidRDefault="00BC2206" w:rsidP="00BC2206">
      <w:pPr>
        <w:jc w:val="both"/>
        <w:rPr>
          <w:sz w:val="24"/>
          <w:szCs w:val="24"/>
          <w:lang w:val="en-US"/>
        </w:rPr>
      </w:pPr>
    </w:p>
    <w:p w14:paraId="3E305E35" w14:textId="77777777" w:rsidR="00DB6C3F" w:rsidRPr="002A063A" w:rsidRDefault="00DB6C3F" w:rsidP="00BC2206">
      <w:pPr>
        <w:pStyle w:val="Ttulo2"/>
        <w:numPr>
          <w:ilvl w:val="1"/>
          <w:numId w:val="15"/>
        </w:numPr>
        <w:rPr>
          <w:rFonts w:eastAsia="Helvetica Neue"/>
          <w:b/>
          <w:sz w:val="24"/>
          <w:szCs w:val="24"/>
          <w:lang w:val="en-US"/>
        </w:rPr>
      </w:pPr>
      <w:bookmarkStart w:id="70" w:name="_Toc22095189"/>
      <w:r w:rsidRPr="002A063A">
        <w:rPr>
          <w:rFonts w:eastAsia="Helvetica Neue"/>
          <w:b/>
          <w:sz w:val="24"/>
          <w:szCs w:val="24"/>
          <w:lang w:val="en-US"/>
        </w:rPr>
        <w:t>Study in patients with neuro-ophthalmological disorders</w:t>
      </w:r>
      <w:bookmarkEnd w:id="70"/>
    </w:p>
    <w:p w14:paraId="609AF5E3" w14:textId="77777777" w:rsidR="00DB6C3F" w:rsidRPr="002A063A" w:rsidRDefault="00DB6C3F" w:rsidP="00BC2206">
      <w:pPr>
        <w:pStyle w:val="Ttulo2"/>
        <w:numPr>
          <w:ilvl w:val="1"/>
          <w:numId w:val="15"/>
        </w:numPr>
        <w:rPr>
          <w:rFonts w:eastAsia="Helvetica Neue"/>
          <w:b/>
          <w:sz w:val="24"/>
          <w:szCs w:val="24"/>
          <w:lang w:val="en-US"/>
        </w:rPr>
      </w:pPr>
      <w:bookmarkStart w:id="71" w:name="_Toc22095190"/>
      <w:r w:rsidRPr="002A063A">
        <w:rPr>
          <w:rFonts w:eastAsia="Helvetica Neue"/>
          <w:b/>
          <w:sz w:val="24"/>
          <w:szCs w:val="24"/>
          <w:lang w:val="en-US"/>
        </w:rPr>
        <w:t>Classification</w:t>
      </w:r>
      <w:bookmarkEnd w:id="71"/>
      <w:r w:rsidRPr="002A063A">
        <w:rPr>
          <w:rFonts w:eastAsia="Helvetica Neue"/>
          <w:b/>
          <w:sz w:val="24"/>
          <w:szCs w:val="24"/>
          <w:lang w:val="en-US"/>
        </w:rPr>
        <w:t xml:space="preserve"> </w:t>
      </w:r>
    </w:p>
    <w:p w14:paraId="33D7EF1D" w14:textId="77777777" w:rsidR="00587022" w:rsidRPr="002A063A" w:rsidRDefault="00587022" w:rsidP="00BC2206">
      <w:pPr>
        <w:pStyle w:val="Ttulo1"/>
        <w:numPr>
          <w:ilvl w:val="0"/>
          <w:numId w:val="15"/>
        </w:numPr>
        <w:jc w:val="center"/>
        <w:rPr>
          <w:rFonts w:eastAsia="Helvetica Neue"/>
          <w:b/>
          <w:sz w:val="24"/>
          <w:szCs w:val="24"/>
          <w:lang w:val="en-US"/>
        </w:rPr>
      </w:pPr>
      <w:bookmarkStart w:id="72" w:name="_Toc22095191"/>
      <w:r w:rsidRPr="002A063A">
        <w:rPr>
          <w:rFonts w:eastAsia="Helvetica Neue"/>
          <w:b/>
          <w:sz w:val="24"/>
          <w:szCs w:val="24"/>
          <w:lang w:val="en-US"/>
        </w:rPr>
        <w:t>Conclusions</w:t>
      </w:r>
      <w:bookmarkEnd w:id="72"/>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t>T</w:t>
      </w:r>
      <w:r w:rsidR="00333784" w:rsidRPr="003F4A09">
        <w:rPr>
          <w:rFonts w:eastAsia="Helvetica Neue"/>
          <w:sz w:val="24"/>
          <w:szCs w:val="24"/>
          <w:highlight w:val="cyan"/>
          <w:lang w:val="en-US"/>
        </w:rPr>
        <w:t xml:space="preserve">heta band is useful for separate the three condition in Vernier acuity and </w:t>
      </w:r>
      <w:proofErr w:type="spellStart"/>
      <w:r w:rsidR="00333784" w:rsidRPr="003F4A09">
        <w:rPr>
          <w:rFonts w:eastAsia="Helvetica Neue"/>
          <w:sz w:val="24"/>
          <w:szCs w:val="24"/>
          <w:highlight w:val="cyan"/>
          <w:lang w:val="en-US"/>
        </w:rPr>
        <w:t>constrast</w:t>
      </w:r>
      <w:proofErr w:type="spellEnd"/>
      <w:r w:rsidR="00333784" w:rsidRPr="003F4A09">
        <w:rPr>
          <w:rFonts w:eastAsia="Helvetica Neue"/>
          <w:sz w:val="24"/>
          <w:szCs w:val="24"/>
          <w:highlight w:val="cyan"/>
          <w:lang w:val="en-US"/>
        </w:rPr>
        <w:t xml:space="preserve"> </w:t>
      </w:r>
      <w:proofErr w:type="spellStart"/>
      <w:r w:rsidR="00333784" w:rsidRPr="003F4A09">
        <w:rPr>
          <w:rFonts w:eastAsia="Helvetica Neue"/>
          <w:sz w:val="24"/>
          <w:szCs w:val="24"/>
          <w:highlight w:val="cyan"/>
          <w:lang w:val="en-US"/>
        </w:rPr>
        <w:t>sensivity</w:t>
      </w:r>
      <w:proofErr w:type="spellEnd"/>
      <w:r w:rsidR="00333784" w:rsidRPr="003F4A09">
        <w:rPr>
          <w:rFonts w:eastAsia="Helvetica Neue"/>
          <w:sz w:val="24"/>
          <w:szCs w:val="24"/>
          <w:highlight w:val="cyan"/>
          <w:lang w:val="en-US"/>
        </w:rPr>
        <w:t>,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t xml:space="preserve">First, </w:t>
      </w:r>
      <w:proofErr w:type="spellStart"/>
      <w:r w:rsidRPr="00765B25">
        <w:rPr>
          <w:rFonts w:eastAsia="Helvetica Neue"/>
          <w:sz w:val="24"/>
          <w:szCs w:val="24"/>
          <w:highlight w:val="cyan"/>
          <w:lang w:val="en-US"/>
        </w:rPr>
        <w:t>openBCI</w:t>
      </w:r>
      <w:proofErr w:type="spellEnd"/>
      <w:r w:rsidRPr="00765B25">
        <w:rPr>
          <w:rFonts w:eastAsia="Helvetica Neue"/>
          <w:sz w:val="24"/>
          <w:szCs w:val="24"/>
          <w:highlight w:val="cyan"/>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BC2206">
      <w:pPr>
        <w:pStyle w:val="Ttulo1"/>
        <w:numPr>
          <w:ilvl w:val="0"/>
          <w:numId w:val="15"/>
        </w:numPr>
        <w:jc w:val="center"/>
        <w:rPr>
          <w:rFonts w:eastAsia="Helvetica Neue"/>
          <w:b/>
          <w:sz w:val="24"/>
          <w:szCs w:val="24"/>
          <w:highlight w:val="white"/>
          <w:lang w:val="en-US"/>
        </w:rPr>
      </w:pPr>
      <w:bookmarkStart w:id="73" w:name="_Toc22095192"/>
      <w:r w:rsidRPr="002A063A">
        <w:rPr>
          <w:rFonts w:eastAsia="Helvetica Neue"/>
          <w:b/>
          <w:sz w:val="24"/>
          <w:szCs w:val="24"/>
          <w:highlight w:val="white"/>
          <w:lang w:val="en-US"/>
        </w:rPr>
        <w:t>Bibliography</w:t>
      </w:r>
      <w:bookmarkEnd w:id="73"/>
    </w:p>
    <w:p w14:paraId="2582FD6C" w14:textId="77777777" w:rsidR="00A206AB" w:rsidRPr="002A063A" w:rsidRDefault="00A206AB" w:rsidP="00193100">
      <w:pPr>
        <w:rPr>
          <w:sz w:val="24"/>
          <w:szCs w:val="24"/>
          <w:highlight w:val="white"/>
          <w:lang w:val="en-US"/>
        </w:rPr>
      </w:pPr>
    </w:p>
    <w:p w14:paraId="648D04B1" w14:textId="4A1AB66E" w:rsidR="000464A3" w:rsidRPr="00031084" w:rsidRDefault="00552739" w:rsidP="000464A3">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0464A3" w:rsidRPr="00031084">
        <w:rPr>
          <w:noProof/>
          <w:sz w:val="24"/>
          <w:szCs w:val="24"/>
          <w:lang w:val="en-US"/>
        </w:rPr>
        <w:t>[1]</w:t>
      </w:r>
      <w:r w:rsidR="000464A3" w:rsidRPr="00031084">
        <w:rPr>
          <w:noProof/>
          <w:sz w:val="24"/>
          <w:szCs w:val="24"/>
          <w:lang w:val="en-US"/>
        </w:rPr>
        <w:tab/>
        <w:t xml:space="preserve">I. Pasley, S. Jobke, A. Julia Gudlin, and B. A. Sabel, “Application of Neural Plasticity for Vision Restoration after Brain Damage,” in </w:t>
      </w:r>
      <w:r w:rsidR="000464A3" w:rsidRPr="00031084">
        <w:rPr>
          <w:i/>
          <w:iCs/>
          <w:noProof/>
          <w:sz w:val="24"/>
          <w:szCs w:val="24"/>
          <w:lang w:val="en-US"/>
        </w:rPr>
        <w:t>Neuroengineering</w:t>
      </w:r>
      <w:r w:rsidR="000464A3" w:rsidRPr="00031084">
        <w:rPr>
          <w:noProof/>
          <w:sz w:val="24"/>
          <w:szCs w:val="24"/>
          <w:lang w:val="en-US"/>
        </w:rPr>
        <w:t>, 2008, p. 23.</w:t>
      </w:r>
    </w:p>
    <w:p w14:paraId="10F9E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w:t>
      </w:r>
      <w:r w:rsidRPr="00031084">
        <w:rPr>
          <w:noProof/>
          <w:sz w:val="24"/>
          <w:szCs w:val="24"/>
          <w:lang w:val="en-US"/>
        </w:rPr>
        <w:tab/>
        <w:t xml:space="preserve">F. I. R. Owe </w:t>
      </w:r>
      <w:r w:rsidRPr="00031084">
        <w:rPr>
          <w:i/>
          <w:iCs/>
          <w:noProof/>
          <w:sz w:val="24"/>
          <w:szCs w:val="24"/>
          <w:lang w:val="en-US"/>
        </w:rPr>
        <w:t>et al.</w:t>
      </w:r>
      <w:r w:rsidRPr="00031084">
        <w:rPr>
          <w:noProof/>
          <w:sz w:val="24"/>
          <w:szCs w:val="24"/>
          <w:lang w:val="en-US"/>
        </w:rPr>
        <w:t>, “Visual impairment following stroke : do stroke patients require vision assessment ?,” no. November 2008, pp. 188–193, 2009.</w:t>
      </w:r>
    </w:p>
    <w:p w14:paraId="5E8255C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w:t>
      </w:r>
      <w:r w:rsidRPr="00031084">
        <w:rPr>
          <w:noProof/>
          <w:sz w:val="24"/>
          <w:szCs w:val="24"/>
          <w:lang w:val="en-US"/>
        </w:rPr>
        <w:tab/>
        <w:t>Stroke Association, “State of the nation,” no. January, 2017.</w:t>
      </w:r>
    </w:p>
    <w:p w14:paraId="4920FD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w:t>
      </w:r>
      <w:r w:rsidRPr="00031084">
        <w:rPr>
          <w:noProof/>
          <w:sz w:val="24"/>
          <w:szCs w:val="24"/>
          <w:lang w:val="en-US"/>
        </w:rPr>
        <w:tab/>
        <w:t>E. Leung and W. M. Jay, “Stroke and Visual Rehabilitation,” vol. 15, no. 1, pp. 27–36, 2008.</w:t>
      </w:r>
    </w:p>
    <w:p w14:paraId="11B81A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w:t>
      </w:r>
      <w:r w:rsidRPr="00031084">
        <w:rPr>
          <w:noProof/>
          <w:sz w:val="24"/>
          <w:szCs w:val="24"/>
          <w:lang w:val="en-US"/>
        </w:rPr>
        <w:tab/>
        <w:t xml:space="preserve">L. Wright </w:t>
      </w:r>
      <w:r w:rsidRPr="00031084">
        <w:rPr>
          <w:i/>
          <w:iCs/>
          <w:noProof/>
          <w:sz w:val="24"/>
          <w:szCs w:val="24"/>
          <w:lang w:val="en-US"/>
        </w:rPr>
        <w:t>et al.</w:t>
      </w:r>
      <w:r w:rsidRPr="00031084">
        <w:rPr>
          <w:noProof/>
          <w:sz w:val="24"/>
          <w:szCs w:val="24"/>
          <w:lang w:val="en-US"/>
        </w:rPr>
        <w:t xml:space="preserve">, “Stroke management: Updated recommendations for treatment along the care continuum,” </w:t>
      </w:r>
      <w:r w:rsidRPr="00031084">
        <w:rPr>
          <w:i/>
          <w:iCs/>
          <w:noProof/>
          <w:sz w:val="24"/>
          <w:szCs w:val="24"/>
          <w:lang w:val="en-US"/>
        </w:rPr>
        <w:t>Intern. Med. J.</w:t>
      </w:r>
      <w:r w:rsidRPr="00031084">
        <w:rPr>
          <w:noProof/>
          <w:sz w:val="24"/>
          <w:szCs w:val="24"/>
          <w:lang w:val="en-US"/>
        </w:rPr>
        <w:t>, vol. 42, no. 5, pp. 562–569, 2012.</w:t>
      </w:r>
    </w:p>
    <w:p w14:paraId="5ED5979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w:t>
      </w:r>
      <w:r w:rsidRPr="00031084">
        <w:rPr>
          <w:noProof/>
          <w:sz w:val="24"/>
          <w:szCs w:val="24"/>
          <w:lang w:val="en-US"/>
        </w:rPr>
        <w:tab/>
        <w:t>B. E. Wallace, N. Carolina, A. K. Wagner, and E. P. Wagner, “A History and Review of Quantitative Electroencephalography in Traumatic Brain Injury,” vol. 16, no. 2, pp. 165–190, 2001.</w:t>
      </w:r>
    </w:p>
    <w:p w14:paraId="43268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w:t>
      </w:r>
      <w:r w:rsidRPr="00031084">
        <w:rPr>
          <w:noProof/>
          <w:sz w:val="24"/>
          <w:szCs w:val="24"/>
          <w:lang w:val="en-US"/>
        </w:rPr>
        <w:tab/>
        <w:t xml:space="preserve">T. K. Pogoda </w:t>
      </w:r>
      <w:r w:rsidRPr="00031084">
        <w:rPr>
          <w:i/>
          <w:iCs/>
          <w:noProof/>
          <w:sz w:val="24"/>
          <w:szCs w:val="24"/>
          <w:lang w:val="en-US"/>
        </w:rPr>
        <w:t>et al.</w:t>
      </w:r>
      <w:r w:rsidRPr="00031084">
        <w:rPr>
          <w:noProof/>
          <w:sz w:val="24"/>
          <w:szCs w:val="24"/>
          <w:lang w:val="en-US"/>
        </w:rPr>
        <w:t xml:space="preserve">, “Multisensory impairment reported by veterans with and without mild traumatic brain injury history,” </w:t>
      </w:r>
      <w:r w:rsidRPr="00031084">
        <w:rPr>
          <w:i/>
          <w:iCs/>
          <w:noProof/>
          <w:sz w:val="24"/>
          <w:szCs w:val="24"/>
          <w:lang w:val="en-US"/>
        </w:rPr>
        <w:t>J. Rehabil. Res. Dev.</w:t>
      </w:r>
      <w:r w:rsidRPr="00031084">
        <w:rPr>
          <w:noProof/>
          <w:sz w:val="24"/>
          <w:szCs w:val="24"/>
          <w:lang w:val="en-US"/>
        </w:rPr>
        <w:t>, vol. 49, no. 7, p. 971, 2012.</w:t>
      </w:r>
    </w:p>
    <w:p w14:paraId="3878ABF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31084">
        <w:rPr>
          <w:noProof/>
          <w:sz w:val="24"/>
          <w:szCs w:val="24"/>
          <w:lang w:val="en-US"/>
        </w:rPr>
        <w:t>[8]</w:t>
      </w:r>
      <w:r w:rsidRPr="00031084">
        <w:rPr>
          <w:noProof/>
          <w:sz w:val="24"/>
          <w:szCs w:val="24"/>
          <w:lang w:val="en-US"/>
        </w:rPr>
        <w:tab/>
        <w:t xml:space="preserve">K. Mckenna, D. M. Cooke, J. Fleming, A. Jefferson, and S. Ogden, “The incidence of visual perceptual impairment in patients with severe traumatic brain injury,” vol. 20, no. </w:t>
      </w:r>
      <w:r w:rsidRPr="000464A3">
        <w:rPr>
          <w:noProof/>
          <w:sz w:val="24"/>
          <w:szCs w:val="24"/>
        </w:rPr>
        <w:t>May, pp. 507–518, 2006.</w:t>
      </w:r>
    </w:p>
    <w:p w14:paraId="0868E05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w:t>
      </w:r>
      <w:r w:rsidRPr="000464A3">
        <w:rPr>
          <w:noProof/>
          <w:sz w:val="24"/>
          <w:szCs w:val="24"/>
        </w:rPr>
        <w:tab/>
        <w:t>M. de Salud, “Carga de enfermedad por enfermedades crónicas no transmisibles y discapacidad en Colombia.,” pp. 38–53.</w:t>
      </w:r>
    </w:p>
    <w:p w14:paraId="3A74493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w:t>
      </w:r>
      <w:r w:rsidRPr="00031084">
        <w:rPr>
          <w:noProof/>
          <w:sz w:val="24"/>
          <w:szCs w:val="24"/>
          <w:lang w:val="en-US"/>
        </w:rPr>
        <w:tab/>
        <w:t>E. By and T. J. Liesegang, “Neurovisual rehabilitation: recent devel- opments and future directions.,” 2000.</w:t>
      </w:r>
    </w:p>
    <w:p w14:paraId="1A2ABA3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[11]</w:t>
      </w:r>
      <w:r w:rsidRPr="00031084">
        <w:rPr>
          <w:noProof/>
          <w:sz w:val="24"/>
          <w:szCs w:val="24"/>
          <w:lang w:val="en-US"/>
        </w:rPr>
        <w:tab/>
        <w:t xml:space="preserve">World Health Organization, “Neurological disorders: a public health approach,” </w:t>
      </w:r>
      <w:r w:rsidRPr="00031084">
        <w:rPr>
          <w:i/>
          <w:iCs/>
          <w:noProof/>
          <w:sz w:val="24"/>
          <w:szCs w:val="24"/>
          <w:lang w:val="en-US"/>
        </w:rPr>
        <w:t>Neurol. Disord. public Heal. challenges.</w:t>
      </w:r>
      <w:r w:rsidRPr="00031084">
        <w:rPr>
          <w:noProof/>
          <w:sz w:val="24"/>
          <w:szCs w:val="24"/>
          <w:lang w:val="en-US"/>
        </w:rPr>
        <w:t>, pp. 41–176, 2006.</w:t>
      </w:r>
    </w:p>
    <w:p w14:paraId="7436E9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lastRenderedPageBreak/>
        <w:t>[12]</w:t>
      </w:r>
      <w:r w:rsidRPr="00031084">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79A341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[13]</w:t>
      </w:r>
      <w:r w:rsidRPr="00031084">
        <w:rPr>
          <w:noProof/>
          <w:sz w:val="24"/>
          <w:szCs w:val="24"/>
          <w:lang w:val="en-US"/>
        </w:rPr>
        <w:tab/>
        <w:t>G. E. Legge and S. T. L. Chung, “Low Vision and Plasticity : Implications for Rehabilitation.”</w:t>
      </w:r>
    </w:p>
    <w:p w14:paraId="070CB03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[14]</w:t>
      </w:r>
      <w:r w:rsidRPr="00031084">
        <w:rPr>
          <w:noProof/>
          <w:sz w:val="24"/>
          <w:szCs w:val="24"/>
          <w:lang w:val="en-US"/>
        </w:rPr>
        <w:tab/>
        <w:t xml:space="preserve"> et al. Crosson B, Ford A, McGregor KM, “Functional Imaging and Related Techniques: An Introduction for Rehabilitation Researchers.,” </w:t>
      </w:r>
      <w:r w:rsidRPr="00031084">
        <w:rPr>
          <w:i/>
          <w:iCs/>
          <w:noProof/>
          <w:sz w:val="24"/>
          <w:szCs w:val="24"/>
          <w:lang w:val="en-US"/>
        </w:rPr>
        <w:t>J Rehabil Res Dev</w:t>
      </w:r>
      <w:r w:rsidRPr="00031084">
        <w:rPr>
          <w:noProof/>
          <w:sz w:val="24"/>
          <w:szCs w:val="24"/>
          <w:lang w:val="en-US"/>
        </w:rPr>
        <w:t>, vol. 47, no. 2, pp. 1–33, 2010.</w:t>
      </w:r>
    </w:p>
    <w:p w14:paraId="0CD0087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[15]</w:t>
      </w:r>
      <w:r w:rsidRPr="00031084">
        <w:rPr>
          <w:noProof/>
          <w:sz w:val="24"/>
          <w:szCs w:val="24"/>
          <w:lang w:val="en-US"/>
        </w:rPr>
        <w:tab/>
        <w:t xml:space="preserve">F. Lopes da Silva, “EEG and MEG: Relevance to neuroscience,” </w:t>
      </w:r>
      <w:r w:rsidRPr="00031084">
        <w:rPr>
          <w:i/>
          <w:iCs/>
          <w:noProof/>
          <w:sz w:val="24"/>
          <w:szCs w:val="24"/>
          <w:lang w:val="en-US"/>
        </w:rPr>
        <w:t>Neuron</w:t>
      </w:r>
      <w:r w:rsidRPr="00031084">
        <w:rPr>
          <w:noProof/>
          <w:sz w:val="24"/>
          <w:szCs w:val="24"/>
          <w:lang w:val="en-US"/>
        </w:rPr>
        <w:t>, vol. 80, no. 5, pp. 1112–1128, 2013.</w:t>
      </w:r>
    </w:p>
    <w:p w14:paraId="23E18DB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[16]</w:t>
      </w:r>
      <w:r w:rsidRPr="00031084">
        <w:rPr>
          <w:noProof/>
          <w:sz w:val="24"/>
          <w:szCs w:val="24"/>
          <w:lang w:val="en-US"/>
        </w:rPr>
        <w:tab/>
        <w:t xml:space="preserve">S. Finnigan and M. J. A. M. Van Putten, “EEG in ischaemic stroke : Quantitative EEG can uniquely inform ( sub- ) acute prognoses and clinical management,” </w:t>
      </w:r>
      <w:r w:rsidRPr="00031084">
        <w:rPr>
          <w:i/>
          <w:iCs/>
          <w:noProof/>
          <w:sz w:val="24"/>
          <w:szCs w:val="24"/>
          <w:lang w:val="en-US"/>
        </w:rPr>
        <w:t>Clin. Neurophysiol.</w:t>
      </w:r>
      <w:r w:rsidRPr="00031084">
        <w:rPr>
          <w:noProof/>
          <w:sz w:val="24"/>
          <w:szCs w:val="24"/>
          <w:lang w:val="en-US"/>
        </w:rPr>
        <w:t>, vol. 124, no. 1, pp. 10–19, 2013.</w:t>
      </w:r>
    </w:p>
    <w:p w14:paraId="1F060F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[17]</w:t>
      </w:r>
      <w:r w:rsidRPr="00031084">
        <w:rPr>
          <w:noProof/>
          <w:sz w:val="24"/>
          <w:szCs w:val="24"/>
          <w:lang w:val="en-US"/>
        </w:rPr>
        <w:tab/>
        <w:t>K. E. Thornton, “The Role of the Quantitative EEG in the Diagnosis and Rehabilitation of the Traumatic Brain Injured Patients,” pp. 345–361.</w:t>
      </w:r>
    </w:p>
    <w:p w14:paraId="4688BF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[18]</w:t>
      </w:r>
      <w:r w:rsidRPr="00031084">
        <w:rPr>
          <w:noProof/>
          <w:sz w:val="24"/>
          <w:szCs w:val="24"/>
          <w:lang w:val="en-US"/>
        </w:rPr>
        <w:tab/>
        <w:t xml:space="preserve">J. Sanchez-lopez </w:t>
      </w:r>
      <w:r w:rsidRPr="00031084">
        <w:rPr>
          <w:i/>
          <w:iCs/>
          <w:noProof/>
          <w:sz w:val="24"/>
          <w:szCs w:val="24"/>
          <w:lang w:val="en-US"/>
        </w:rPr>
        <w:t>et al.</w:t>
      </w:r>
      <w:r w:rsidRPr="00031084">
        <w:rPr>
          <w:noProof/>
          <w:sz w:val="24"/>
          <w:szCs w:val="24"/>
          <w:lang w:val="en-US"/>
        </w:rPr>
        <w:t xml:space="preserve">, “Visually evoked responses from the blind field of hemianopic patients,” </w:t>
      </w:r>
      <w:r w:rsidRPr="00031084">
        <w:rPr>
          <w:i/>
          <w:iCs/>
          <w:noProof/>
          <w:sz w:val="24"/>
          <w:szCs w:val="24"/>
          <w:lang w:val="en-US"/>
        </w:rPr>
        <w:t>Neuropsychologia</w:t>
      </w:r>
      <w:r w:rsidRPr="00031084">
        <w:rPr>
          <w:noProof/>
          <w:sz w:val="24"/>
          <w:szCs w:val="24"/>
          <w:lang w:val="en-US"/>
        </w:rPr>
        <w:t>, 2017.</w:t>
      </w:r>
    </w:p>
    <w:p w14:paraId="072E159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[19]</w:t>
      </w:r>
      <w:r w:rsidRPr="00031084">
        <w:rPr>
          <w:noProof/>
          <w:sz w:val="24"/>
          <w:szCs w:val="24"/>
          <w:lang w:val="en-US"/>
        </w:rPr>
        <w:tab/>
        <w:t xml:space="preserve">E. Mezer, C. A. Westall, G. Mirabella, T. Wygnanski-Jaffe, R. Yagev, and J. R. Buncic, “Measuring recovery of visual function in children with papilledema using sweep visual evoked potentials,” </w:t>
      </w:r>
      <w:r w:rsidRPr="00031084">
        <w:rPr>
          <w:i/>
          <w:iCs/>
          <w:noProof/>
          <w:sz w:val="24"/>
          <w:szCs w:val="24"/>
          <w:lang w:val="en-US"/>
        </w:rPr>
        <w:t>J. AAPOS</w:t>
      </w:r>
      <w:r w:rsidRPr="00031084">
        <w:rPr>
          <w:noProof/>
          <w:sz w:val="24"/>
          <w:szCs w:val="24"/>
          <w:lang w:val="en-US"/>
        </w:rPr>
        <w:t>, vol. 20, no. 3, pp. 252–257, 2016.</w:t>
      </w:r>
    </w:p>
    <w:p w14:paraId="0DFFB94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[20]</w:t>
      </w:r>
      <w:r w:rsidRPr="00031084">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031084">
        <w:rPr>
          <w:i/>
          <w:iCs/>
          <w:noProof/>
          <w:sz w:val="24"/>
          <w:szCs w:val="24"/>
          <w:lang w:val="en-US"/>
        </w:rPr>
        <w:t>Investig. Ophthalmol. Vis. Sci.</w:t>
      </w:r>
      <w:r w:rsidRPr="00031084">
        <w:rPr>
          <w:noProof/>
          <w:sz w:val="24"/>
          <w:szCs w:val="24"/>
          <w:lang w:val="en-US"/>
        </w:rPr>
        <w:t>, vol. 59, no. 2, pp. 1144–1157, 2018.</w:t>
      </w:r>
    </w:p>
    <w:p w14:paraId="26735D5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[21]</w:t>
      </w:r>
      <w:r w:rsidRPr="00031084">
        <w:rPr>
          <w:noProof/>
          <w:sz w:val="24"/>
          <w:szCs w:val="24"/>
          <w:lang w:val="en-US"/>
        </w:rPr>
        <w:tab/>
        <w:t xml:space="preserve">W. V. Good, C. Hou, and A. M. Norcia, “Spatial contrast sensitivity vision loss in children with cortical visual impairment,” </w:t>
      </w:r>
      <w:r w:rsidRPr="00031084">
        <w:rPr>
          <w:i/>
          <w:iCs/>
          <w:noProof/>
          <w:sz w:val="24"/>
          <w:szCs w:val="24"/>
          <w:lang w:val="en-US"/>
        </w:rPr>
        <w:t>Investig. Ophthalmol. Vis. Sci.</w:t>
      </w:r>
      <w:r w:rsidRPr="00031084">
        <w:rPr>
          <w:noProof/>
          <w:sz w:val="24"/>
          <w:szCs w:val="24"/>
          <w:lang w:val="en-US"/>
        </w:rPr>
        <w:t>, vol. 53, no. 12, pp. 7730–7734, 2012.</w:t>
      </w:r>
    </w:p>
    <w:p w14:paraId="32D195B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[22]</w:t>
      </w:r>
      <w:r w:rsidRPr="00031084">
        <w:rPr>
          <w:noProof/>
          <w:sz w:val="24"/>
          <w:szCs w:val="24"/>
          <w:lang w:val="en-US"/>
        </w:rPr>
        <w:tab/>
        <w:t xml:space="preserve">F. Almoqbel, S. J. Leat, and E. Irving, “The technique, validity and clinical use of the sweep VEP,” </w:t>
      </w:r>
      <w:r w:rsidRPr="00031084">
        <w:rPr>
          <w:i/>
          <w:iCs/>
          <w:noProof/>
          <w:sz w:val="24"/>
          <w:szCs w:val="24"/>
          <w:lang w:val="en-US"/>
        </w:rPr>
        <w:t>Ophthalmic Physiol. Opt.</w:t>
      </w:r>
      <w:r w:rsidRPr="00031084">
        <w:rPr>
          <w:noProof/>
          <w:sz w:val="24"/>
          <w:szCs w:val="24"/>
          <w:lang w:val="en-US"/>
        </w:rPr>
        <w:t>, vol. 28, no. 5, pp. 393–403, 2008.</w:t>
      </w:r>
    </w:p>
    <w:p w14:paraId="2D68B07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[23]</w:t>
      </w:r>
      <w:r w:rsidRPr="00031084">
        <w:rPr>
          <w:noProof/>
          <w:sz w:val="24"/>
          <w:szCs w:val="24"/>
          <w:lang w:val="en-US"/>
        </w:rPr>
        <w:tab/>
        <w:t xml:space="preserve">J. P. Kelly, K. Tarczy-Hornoch, E. Herlihy, and A. H. Weiss, “Occlusion therapy improves phase-alignment of the cortical response in amblyopia,” </w:t>
      </w:r>
      <w:r w:rsidRPr="00031084">
        <w:rPr>
          <w:i/>
          <w:iCs/>
          <w:noProof/>
          <w:sz w:val="24"/>
          <w:szCs w:val="24"/>
          <w:lang w:val="en-US"/>
        </w:rPr>
        <w:t>Vision Res.</w:t>
      </w:r>
      <w:r w:rsidRPr="00031084">
        <w:rPr>
          <w:noProof/>
          <w:sz w:val="24"/>
          <w:szCs w:val="24"/>
          <w:lang w:val="en-US"/>
        </w:rPr>
        <w:t>, vol. 114, pp. 142–150, 2015.</w:t>
      </w:r>
    </w:p>
    <w:p w14:paraId="2447C20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[24]</w:t>
      </w:r>
      <w:r w:rsidRPr="00031084">
        <w:rPr>
          <w:noProof/>
          <w:sz w:val="24"/>
          <w:szCs w:val="24"/>
          <w:lang w:val="en-US"/>
        </w:rPr>
        <w:tab/>
        <w:t xml:space="preserve">H. S. M. Kiiski </w:t>
      </w:r>
      <w:r w:rsidRPr="00031084">
        <w:rPr>
          <w:i/>
          <w:iCs/>
          <w:noProof/>
          <w:sz w:val="24"/>
          <w:szCs w:val="24"/>
          <w:lang w:val="en-US"/>
        </w:rPr>
        <w:t>et al.</w:t>
      </w:r>
      <w:r w:rsidRPr="00031084">
        <w:rPr>
          <w:noProof/>
          <w:sz w:val="24"/>
          <w:szCs w:val="24"/>
          <w:lang w:val="en-US"/>
        </w:rPr>
        <w:t xml:space="preserve">, “Delayed P100-Like Latencies in Multiple Sclerosis: A Preliminary Investigation Using Visual Evoked Spread Spectrum Analysis,” </w:t>
      </w:r>
      <w:r w:rsidRPr="00031084">
        <w:rPr>
          <w:i/>
          <w:iCs/>
          <w:noProof/>
          <w:sz w:val="24"/>
          <w:szCs w:val="24"/>
          <w:lang w:val="en-US"/>
        </w:rPr>
        <w:t>PLoS One</w:t>
      </w:r>
      <w:r w:rsidRPr="00031084">
        <w:rPr>
          <w:noProof/>
          <w:sz w:val="24"/>
          <w:szCs w:val="24"/>
          <w:lang w:val="en-US"/>
        </w:rPr>
        <w:t>, vol. 11, no. 1, p. e0146084, 2016.</w:t>
      </w:r>
    </w:p>
    <w:p w14:paraId="6FEAF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[25]</w:t>
      </w:r>
      <w:r w:rsidRPr="00031084">
        <w:rPr>
          <w:noProof/>
          <w:sz w:val="24"/>
          <w:szCs w:val="24"/>
          <w:lang w:val="en-US"/>
        </w:rPr>
        <w:tab/>
        <w:t>C. Barber and D. Keating, “Comparison of cathode ray tube and liquid crystal display stimulators for use in multifocal VEP,” pp. 115–122, 2014.</w:t>
      </w:r>
    </w:p>
    <w:p w14:paraId="232DE17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[26]</w:t>
      </w:r>
      <w:r w:rsidRPr="00031084">
        <w:rPr>
          <w:noProof/>
          <w:sz w:val="24"/>
          <w:szCs w:val="24"/>
          <w:lang w:val="en-US"/>
        </w:rPr>
        <w:tab/>
        <w:t xml:space="preserve">M. Molnár </w:t>
      </w:r>
      <w:r w:rsidRPr="00031084">
        <w:rPr>
          <w:i/>
          <w:iCs/>
          <w:noProof/>
          <w:sz w:val="24"/>
          <w:szCs w:val="24"/>
          <w:lang w:val="en-US"/>
        </w:rPr>
        <w:t>et al.</w:t>
      </w:r>
      <w:r w:rsidRPr="00031084">
        <w:rPr>
          <w:noProof/>
          <w:sz w:val="24"/>
          <w:szCs w:val="24"/>
          <w:lang w:val="en-US"/>
        </w:rPr>
        <w:t xml:space="preserve">, “Spectral and complexity features of the EEG changed by visual input in a case of subcortical stroke compared to healthy controls,” </w:t>
      </w:r>
      <w:r w:rsidRPr="00031084">
        <w:rPr>
          <w:i/>
          <w:iCs/>
          <w:noProof/>
          <w:sz w:val="24"/>
          <w:szCs w:val="24"/>
          <w:lang w:val="en-US"/>
        </w:rPr>
        <w:t>Clin. Neurophysiol.</w:t>
      </w:r>
      <w:r w:rsidRPr="00031084">
        <w:rPr>
          <w:noProof/>
          <w:sz w:val="24"/>
          <w:szCs w:val="24"/>
          <w:lang w:val="en-US"/>
        </w:rPr>
        <w:t>, vol. 117, no. 4, pp. 771–780, 2006.</w:t>
      </w:r>
    </w:p>
    <w:p w14:paraId="322EEA4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[27]</w:t>
      </w:r>
      <w:r w:rsidRPr="00031084">
        <w:rPr>
          <w:noProof/>
          <w:sz w:val="24"/>
          <w:szCs w:val="24"/>
          <w:lang w:val="en-US"/>
        </w:rPr>
        <w:tab/>
        <w:t xml:space="preserve">A. A. Brewer and B. Barton, “Visual Field Map Organization in Human Visual Cortex,” </w:t>
      </w:r>
      <w:r w:rsidRPr="00031084">
        <w:rPr>
          <w:i/>
          <w:iCs/>
          <w:noProof/>
          <w:sz w:val="24"/>
          <w:szCs w:val="24"/>
          <w:lang w:val="en-US"/>
        </w:rPr>
        <w:t>Intech Open Sci.</w:t>
      </w:r>
      <w:r w:rsidRPr="00031084">
        <w:rPr>
          <w:noProof/>
          <w:sz w:val="24"/>
          <w:szCs w:val="24"/>
          <w:lang w:val="en-US"/>
        </w:rPr>
        <w:t>, vol. 10.5772/51, 2012.</w:t>
      </w:r>
    </w:p>
    <w:p w14:paraId="4CDF203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[28]</w:t>
      </w:r>
      <w:r w:rsidRPr="00031084">
        <w:rPr>
          <w:noProof/>
          <w:sz w:val="24"/>
          <w:szCs w:val="24"/>
          <w:lang w:val="en-US"/>
        </w:rPr>
        <w:tab/>
        <w:t>R. F. Dougherty, V. M. Koch, A. A. Brewer, J. Modersitzki, and B. A. Wandell, “Visual field representations and locations of visual areas V1 / 2 / 3 in human visual cortex,” pp. 586–598, 2003.</w:t>
      </w:r>
    </w:p>
    <w:p w14:paraId="26E346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[29]</w:t>
      </w:r>
      <w:r w:rsidRPr="00031084">
        <w:rPr>
          <w:noProof/>
          <w:sz w:val="24"/>
          <w:szCs w:val="24"/>
          <w:lang w:val="en-US"/>
        </w:rPr>
        <w:tab/>
        <w:t>B. A. Wandell, S. O. Dumoulin, and A. A. Brewer, “Review Visual Field Maps in Human Cortex,” no. 1893, pp. 366–383, 2007.</w:t>
      </w:r>
    </w:p>
    <w:p w14:paraId="780FC8C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[30]</w:t>
      </w:r>
      <w:r w:rsidRPr="00031084">
        <w:rPr>
          <w:noProof/>
          <w:sz w:val="24"/>
          <w:szCs w:val="24"/>
          <w:lang w:val="en-US"/>
        </w:rPr>
        <w:tab/>
        <w:t xml:space="preserve">S. Prasad and S. L. Galetta, </w:t>
      </w:r>
      <w:r w:rsidRPr="00031084">
        <w:rPr>
          <w:i/>
          <w:iCs/>
          <w:noProof/>
          <w:sz w:val="24"/>
          <w:szCs w:val="24"/>
          <w:lang w:val="en-US"/>
        </w:rPr>
        <w:t xml:space="preserve">Anatomy and physiology of the afferent visual </w:t>
      </w:r>
      <w:r w:rsidRPr="00031084">
        <w:rPr>
          <w:i/>
          <w:iCs/>
          <w:noProof/>
          <w:sz w:val="24"/>
          <w:szCs w:val="24"/>
          <w:lang w:val="en-US"/>
        </w:rPr>
        <w:lastRenderedPageBreak/>
        <w:t>system</w:t>
      </w:r>
      <w:r w:rsidRPr="00031084">
        <w:rPr>
          <w:noProof/>
          <w:sz w:val="24"/>
          <w:szCs w:val="24"/>
          <w:lang w:val="en-US"/>
        </w:rPr>
        <w:t>, 1st ed., vol. 102, no. 617. Elsevier B.V., 2011.</w:t>
      </w:r>
    </w:p>
    <w:p w14:paraId="1095AC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[31]</w:t>
      </w:r>
      <w:r w:rsidRPr="00031084">
        <w:rPr>
          <w:noProof/>
          <w:sz w:val="24"/>
          <w:szCs w:val="24"/>
          <w:lang w:val="en-US"/>
        </w:rPr>
        <w:tab/>
        <w:t xml:space="preserve">S. Stevens, “How to measure distance visual acuity,” </w:t>
      </w:r>
      <w:r w:rsidRPr="00031084">
        <w:rPr>
          <w:i/>
          <w:iCs/>
          <w:noProof/>
          <w:sz w:val="24"/>
          <w:szCs w:val="24"/>
          <w:lang w:val="en-US"/>
        </w:rPr>
        <w:t>Eye Heal. J.</w:t>
      </w:r>
      <w:r w:rsidRPr="00031084">
        <w:rPr>
          <w:noProof/>
          <w:sz w:val="24"/>
          <w:szCs w:val="24"/>
          <w:lang w:val="en-US"/>
        </w:rPr>
        <w:t>, p. 2014, 2014.</w:t>
      </w:r>
    </w:p>
    <w:p w14:paraId="58FF8FC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[32]</w:t>
      </w:r>
      <w:r w:rsidRPr="00031084">
        <w:rPr>
          <w:noProof/>
          <w:sz w:val="24"/>
          <w:szCs w:val="24"/>
          <w:lang w:val="en-US"/>
        </w:rPr>
        <w:tab/>
        <w:t>F. Ejzenbaum, A. Berezovsky, and P. Y. Sacai, “Age norms for monocular grating acuity measured by sweep-VEP in the first three years of age,” vol. 71, no. 3, pp. 7–8, 2008.</w:t>
      </w:r>
    </w:p>
    <w:p w14:paraId="5F3C0A5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[33]</w:t>
      </w:r>
      <w:r w:rsidRPr="00031084">
        <w:rPr>
          <w:noProof/>
          <w:sz w:val="24"/>
          <w:szCs w:val="24"/>
          <w:lang w:val="en-US"/>
        </w:rPr>
        <w:tab/>
        <w:t>B. H. Hospital and B. H. Hospital, “Improving outcome in stroke patients with visual problems,” no. July, pp. 560–565, 2006.</w:t>
      </w:r>
    </w:p>
    <w:p w14:paraId="1D6613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[34]</w:t>
      </w:r>
      <w:r w:rsidRPr="00031084">
        <w:rPr>
          <w:noProof/>
          <w:sz w:val="24"/>
          <w:szCs w:val="24"/>
          <w:lang w:val="en-US"/>
        </w:rPr>
        <w:tab/>
        <w:t>F. Ricci, C. Cedrone, and L. Cerulli, “Review article Standardized measurement of visual acuity,” no. 9100119, pp. 1990–1995, 1998.</w:t>
      </w:r>
    </w:p>
    <w:p w14:paraId="7018821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[35]</w:t>
      </w:r>
      <w:r w:rsidRPr="00031084">
        <w:rPr>
          <w:noProof/>
          <w:sz w:val="24"/>
          <w:szCs w:val="24"/>
          <w:lang w:val="en-US"/>
        </w:rPr>
        <w:tab/>
        <w:t>Y. Kim, “Cortical sources of Vernier acuity in the human visual system : An EEG-source imaging study,” vol. 17, pp. 1–12, 2017.</w:t>
      </w:r>
    </w:p>
    <w:p w14:paraId="7744396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[36]</w:t>
      </w:r>
      <w:r w:rsidRPr="00031084">
        <w:rPr>
          <w:noProof/>
          <w:sz w:val="24"/>
          <w:szCs w:val="24"/>
          <w:lang w:val="en-US"/>
        </w:rPr>
        <w:tab/>
        <w:t xml:space="preserve">S. Ajami, A. Mahnam, and V. Abootalebi, “Development of a practical high frequency brain–computer interface based on steady-state visual evoked potentials using a single channel of EEG,” </w:t>
      </w:r>
      <w:r w:rsidRPr="00031084">
        <w:rPr>
          <w:i/>
          <w:iCs/>
          <w:noProof/>
          <w:sz w:val="24"/>
          <w:szCs w:val="24"/>
          <w:lang w:val="en-US"/>
        </w:rPr>
        <w:t>Biocybern. Biomed. Eng.</w:t>
      </w:r>
      <w:r w:rsidRPr="00031084">
        <w:rPr>
          <w:noProof/>
          <w:sz w:val="24"/>
          <w:szCs w:val="24"/>
          <w:lang w:val="en-US"/>
        </w:rPr>
        <w:t>, vol. 38, no. 1, pp. 106–114, 2018.</w:t>
      </w:r>
    </w:p>
    <w:p w14:paraId="0F5BC89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[37]</w:t>
      </w:r>
      <w:r w:rsidRPr="00031084">
        <w:rPr>
          <w:noProof/>
          <w:sz w:val="24"/>
          <w:szCs w:val="24"/>
          <w:lang w:val="en-US"/>
        </w:rPr>
        <w:tab/>
        <w:t>F. M. Almoqbel, E. L. Irving, and S. J. Leat, “Visual Acuity and Contrast Sensitivity Development in Children : Sweep Visually Evoked Potential and Psychophysics,” vol. 94, no. 8, 2017.</w:t>
      </w:r>
    </w:p>
    <w:p w14:paraId="4F2A1E8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[38]</w:t>
      </w:r>
      <w:r w:rsidRPr="00031084">
        <w:rPr>
          <w:noProof/>
          <w:sz w:val="24"/>
          <w:szCs w:val="24"/>
          <w:lang w:val="en-US"/>
        </w:rPr>
        <w:tab/>
        <w:t xml:space="preserve">M. Bach, J. P. Maurer, and M. E. Wolf, “Visual evoked potential-based acuity assessment in normal vision, artificially degraded vision, and in patients,” </w:t>
      </w:r>
      <w:r w:rsidRPr="00031084">
        <w:rPr>
          <w:i/>
          <w:iCs/>
          <w:noProof/>
          <w:sz w:val="24"/>
          <w:szCs w:val="24"/>
          <w:lang w:val="en-US"/>
        </w:rPr>
        <w:t>Br. J. Ophthalmol.</w:t>
      </w:r>
      <w:r w:rsidRPr="00031084">
        <w:rPr>
          <w:noProof/>
          <w:sz w:val="24"/>
          <w:szCs w:val="24"/>
          <w:lang w:val="en-US"/>
        </w:rPr>
        <w:t>, vol. 92, no. 3, pp. 396–403, 2008.</w:t>
      </w:r>
    </w:p>
    <w:p w14:paraId="1DE2995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[39]</w:t>
      </w:r>
      <w:r w:rsidRPr="00031084">
        <w:rPr>
          <w:noProof/>
          <w:sz w:val="24"/>
          <w:szCs w:val="24"/>
          <w:lang w:val="en-US"/>
        </w:rPr>
        <w:tab/>
        <w:t xml:space="preserve">A. S. Hawkins, J. P. Szlyk, Z. Ardickas, K. R. Alexander, and J. T. Wilensky, “Comparison of contrast sensitivity, visual acuity, and Humphrey visual field testing in patients with glaucoma,” </w:t>
      </w:r>
      <w:r w:rsidRPr="00031084">
        <w:rPr>
          <w:i/>
          <w:iCs/>
          <w:noProof/>
          <w:sz w:val="24"/>
          <w:szCs w:val="24"/>
          <w:lang w:val="en-US"/>
        </w:rPr>
        <w:t>J Glaucoma</w:t>
      </w:r>
      <w:r w:rsidRPr="00031084">
        <w:rPr>
          <w:noProof/>
          <w:sz w:val="24"/>
          <w:szCs w:val="24"/>
          <w:lang w:val="en-US"/>
        </w:rPr>
        <w:t>, vol. 12, pp. 134–138, 2003.</w:t>
      </w:r>
    </w:p>
    <w:p w14:paraId="1922104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[40]</w:t>
      </w:r>
      <w:r w:rsidRPr="00031084">
        <w:rPr>
          <w:noProof/>
          <w:sz w:val="24"/>
          <w:szCs w:val="24"/>
          <w:lang w:val="en-US"/>
        </w:rPr>
        <w:tab/>
        <w:t>D. G. Pelli and P. Bex, “Measuring contrast sensitivity,” pp. 10–14, 2014.</w:t>
      </w:r>
    </w:p>
    <w:p w14:paraId="4AD6391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[41]</w:t>
      </w:r>
      <w:r w:rsidRPr="00031084">
        <w:rPr>
          <w:noProof/>
          <w:sz w:val="24"/>
          <w:szCs w:val="24"/>
          <w:lang w:val="en-US"/>
        </w:rPr>
        <w:tab/>
        <w:t xml:space="preserve">L. J. Balcer </w:t>
      </w:r>
      <w:r w:rsidRPr="00031084">
        <w:rPr>
          <w:i/>
          <w:iCs/>
          <w:noProof/>
          <w:sz w:val="24"/>
          <w:szCs w:val="24"/>
          <w:lang w:val="en-US"/>
        </w:rPr>
        <w:t>et al.</w:t>
      </w:r>
      <w:r w:rsidRPr="00031084">
        <w:rPr>
          <w:noProof/>
          <w:sz w:val="24"/>
          <w:szCs w:val="24"/>
          <w:lang w:val="en-US"/>
        </w:rPr>
        <w:t>, “Contrast letter acuity as a visual component for the Multiple Sclerosis Functional Composite,” vol. 000, pp. 1367–1374, 2003.</w:t>
      </w:r>
    </w:p>
    <w:p w14:paraId="17584E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[42]</w:t>
      </w:r>
      <w:r w:rsidRPr="00031084">
        <w:rPr>
          <w:noProof/>
          <w:sz w:val="24"/>
          <w:szCs w:val="24"/>
          <w:lang w:val="en-US"/>
        </w:rPr>
        <w:tab/>
        <w:t>K. Boyd, “Visual Field Test,” 2019. [Online]. Available: https://www.aao.org/eye-health/tips-prevention/visual-field-testing.</w:t>
      </w:r>
    </w:p>
    <w:p w14:paraId="31D660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[43]</w:t>
      </w:r>
      <w:r w:rsidRPr="00031084">
        <w:rPr>
          <w:noProof/>
          <w:sz w:val="24"/>
          <w:szCs w:val="24"/>
          <w:lang w:val="en-US"/>
        </w:rPr>
        <w:tab/>
        <w:t>J. G. Romano, P. Schulz, S. Kenkel, and D. P. Todd, “Visual field changes after a rehabilitation intervention: Vision restoration therapy,” vol. 273, pp. 70–74, 2008.</w:t>
      </w:r>
    </w:p>
    <w:p w14:paraId="0845F3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[44]</w:t>
      </w:r>
      <w:r w:rsidRPr="00031084">
        <w:rPr>
          <w:noProof/>
          <w:sz w:val="24"/>
          <w:szCs w:val="24"/>
          <w:lang w:val="en-US"/>
        </w:rPr>
        <w:tab/>
        <w:t>E. Kasten, U. Bunzenthal, and B. A. Sabel, “Visual field recovery after vision restoration therapy ( VRT ) is independent of eye movements : An eye tracker study,” vol. 175, pp. 18–26, 2006.</w:t>
      </w:r>
    </w:p>
    <w:p w14:paraId="7E95AEF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[45]</w:t>
      </w:r>
      <w:r w:rsidRPr="00031084">
        <w:rPr>
          <w:noProof/>
          <w:sz w:val="24"/>
          <w:szCs w:val="24"/>
          <w:lang w:val="en-US"/>
        </w:rPr>
        <w:tab/>
        <w:t>I. Mueller, H. Mast, and B. A. Sabel, “Recovery of visual field defects : A large clinical observational study using vision restoration therapy,” vol. 25, pp. 563–572, 2007.</w:t>
      </w:r>
    </w:p>
    <w:p w14:paraId="4F67244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[46]</w:t>
      </w:r>
      <w:r w:rsidRPr="00031084">
        <w:rPr>
          <w:noProof/>
          <w:sz w:val="24"/>
          <w:szCs w:val="24"/>
          <w:lang w:val="en-US"/>
        </w:rPr>
        <w:tab/>
        <w:t>A. Borst and M. Egelhaaf, “Principles of visual motion detection,” pp. 297–306, 1989.</w:t>
      </w:r>
    </w:p>
    <w:p w14:paraId="42E8C30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[47]</w:t>
      </w:r>
      <w:r w:rsidRPr="00031084">
        <w:rPr>
          <w:noProof/>
          <w:sz w:val="24"/>
          <w:szCs w:val="24"/>
          <w:lang w:val="en-US"/>
        </w:rPr>
        <w:tab/>
        <w:t xml:space="preserve">T. H. Donner, M. Siegel, R. Oostenveld, P. Fries, M. Bauer, and A. K. Engel, “Population Activity in the Human Dorsal Pathway Predicts the Accuracy of Visual Motion Detection,” </w:t>
      </w:r>
      <w:r w:rsidRPr="00031084">
        <w:rPr>
          <w:i/>
          <w:iCs/>
          <w:noProof/>
          <w:sz w:val="24"/>
          <w:szCs w:val="24"/>
          <w:lang w:val="en-US"/>
        </w:rPr>
        <w:t>J Neurophysiol 98</w:t>
      </w:r>
      <w:r w:rsidRPr="00031084">
        <w:rPr>
          <w:noProof/>
          <w:sz w:val="24"/>
          <w:szCs w:val="24"/>
          <w:lang w:val="en-US"/>
        </w:rPr>
        <w:t>, vol. 98, pp. 345–359, 2007.</w:t>
      </w:r>
    </w:p>
    <w:p w14:paraId="768F366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[48]</w:t>
      </w:r>
      <w:r w:rsidRPr="00031084">
        <w:rPr>
          <w:noProof/>
          <w:sz w:val="24"/>
          <w:szCs w:val="24"/>
          <w:lang w:val="en-US"/>
        </w:rPr>
        <w:tab/>
        <w:t>V. Walsh, A. Ellison, L. Battelli, and A. Cowey, “Task-specific impairments and enhancements induced by magnetic stimulation of human visual area V5,” vol. 5, no. November 1997, 1998.</w:t>
      </w:r>
    </w:p>
    <w:p w14:paraId="6F2679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[49]</w:t>
      </w:r>
      <w:r w:rsidRPr="00031084">
        <w:rPr>
          <w:noProof/>
          <w:sz w:val="24"/>
          <w:szCs w:val="24"/>
          <w:lang w:val="en-US"/>
        </w:rPr>
        <w:tab/>
        <w:t>L. M. Hamm, J. Black, S. Dai, and B. Thompson, “Global processing in amblyopia: a review,” vol. 5, no. June, pp. 1–21, 2014.</w:t>
      </w:r>
    </w:p>
    <w:p w14:paraId="320C9E5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[50]</w:t>
      </w:r>
      <w:r w:rsidRPr="00031084">
        <w:rPr>
          <w:noProof/>
          <w:sz w:val="24"/>
          <w:szCs w:val="24"/>
          <w:lang w:val="en-US"/>
        </w:rPr>
        <w:tab/>
        <w:t xml:space="preserve">F. Rocchi and B. S. Webb, “Criterion-free measurement of motion </w:t>
      </w:r>
      <w:r w:rsidRPr="00031084">
        <w:rPr>
          <w:noProof/>
          <w:sz w:val="24"/>
          <w:szCs w:val="24"/>
          <w:lang w:val="en-US"/>
        </w:rPr>
        <w:lastRenderedPageBreak/>
        <w:t>transparency perception at different speeds,” vol. 18, pp. 1–12, 2018.</w:t>
      </w:r>
    </w:p>
    <w:p w14:paraId="292255E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[51]</w:t>
      </w:r>
      <w:r w:rsidRPr="00031084">
        <w:rPr>
          <w:noProof/>
          <w:sz w:val="24"/>
          <w:szCs w:val="24"/>
          <w:lang w:val="en-US"/>
        </w:rPr>
        <w:tab/>
        <w:t>J. E. Raymond, “Attentional modulation of visual motion perception,” vol. 4, no. 2, pp. 42–50, 2000.</w:t>
      </w:r>
    </w:p>
    <w:p w14:paraId="2547506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[52]</w:t>
      </w:r>
      <w:r w:rsidRPr="00031084">
        <w:rPr>
          <w:noProof/>
          <w:sz w:val="24"/>
          <w:szCs w:val="24"/>
          <w:lang w:val="en-US"/>
        </w:rPr>
        <w:tab/>
        <w:t xml:space="preserve">S. O. Murray, D. Kersten, B. A. Olshausen, P. Schrater, and D. L. Woods, “Shape perception reduces activity in human primary visual cortex,” </w:t>
      </w:r>
      <w:r w:rsidRPr="00031084">
        <w:rPr>
          <w:i/>
          <w:iCs/>
          <w:noProof/>
          <w:sz w:val="24"/>
          <w:szCs w:val="24"/>
          <w:lang w:val="en-US"/>
        </w:rPr>
        <w:t>PNAS</w:t>
      </w:r>
      <w:r w:rsidRPr="00031084">
        <w:rPr>
          <w:noProof/>
          <w:sz w:val="24"/>
          <w:szCs w:val="24"/>
          <w:lang w:val="en-US"/>
        </w:rPr>
        <w:t>, vol. 99, p. 23, 2002.</w:t>
      </w:r>
    </w:p>
    <w:p w14:paraId="3BE410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[53]</w:t>
      </w:r>
      <w:r w:rsidRPr="00031084">
        <w:rPr>
          <w:noProof/>
          <w:sz w:val="24"/>
          <w:szCs w:val="24"/>
          <w:lang w:val="en-US"/>
        </w:rPr>
        <w:tab/>
        <w:t>T. W. James, J. Culham, G. K. Humphrey, A. D. Milner, and M. A. Goodale, “Ventral occipital lesions impair object recognition but not object-directed grasping : an fMRI study,” 2003.</w:t>
      </w:r>
    </w:p>
    <w:p w14:paraId="376287D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[54]</w:t>
      </w:r>
      <w:r w:rsidRPr="00031084">
        <w:rPr>
          <w:noProof/>
          <w:sz w:val="24"/>
          <w:szCs w:val="24"/>
          <w:lang w:val="en-US"/>
        </w:rPr>
        <w:tab/>
        <w:t xml:space="preserve">I. Kurki and J. Saarinen, “Investigating shape perception by classification images,” </w:t>
      </w:r>
      <w:r w:rsidRPr="00031084">
        <w:rPr>
          <w:i/>
          <w:iCs/>
          <w:noProof/>
          <w:sz w:val="24"/>
          <w:szCs w:val="24"/>
          <w:lang w:val="en-US"/>
        </w:rPr>
        <w:t>J. Vis.</w:t>
      </w:r>
      <w:r w:rsidRPr="00031084">
        <w:rPr>
          <w:noProof/>
          <w:sz w:val="24"/>
          <w:szCs w:val="24"/>
          <w:lang w:val="en-US"/>
        </w:rPr>
        <w:t>, vol. 14, pp. 1–19, 2014.</w:t>
      </w:r>
    </w:p>
    <w:p w14:paraId="5A01F58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[55]</w:t>
      </w:r>
      <w:r w:rsidRPr="00031084">
        <w:rPr>
          <w:noProof/>
          <w:sz w:val="24"/>
          <w:szCs w:val="24"/>
          <w:lang w:val="en-US"/>
        </w:rPr>
        <w:tab/>
        <w:t xml:space="preserve">B. J. B. Nicole M. Gage, </w:t>
      </w:r>
      <w:r w:rsidRPr="00031084">
        <w:rPr>
          <w:i/>
          <w:iCs/>
          <w:noProof/>
          <w:sz w:val="24"/>
          <w:szCs w:val="24"/>
          <w:lang w:val="en-US"/>
        </w:rPr>
        <w:t>Fundamentals of Cognitive Neuroscience (Second Edition)</w:t>
      </w:r>
      <w:r w:rsidRPr="00031084">
        <w:rPr>
          <w:noProof/>
          <w:sz w:val="24"/>
          <w:szCs w:val="24"/>
          <w:lang w:val="en-US"/>
        </w:rPr>
        <w:t>. 2018.</w:t>
      </w:r>
    </w:p>
    <w:p w14:paraId="1835459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[56]</w:t>
      </w:r>
      <w:r w:rsidRPr="00031084">
        <w:rPr>
          <w:noProof/>
          <w:sz w:val="24"/>
          <w:szCs w:val="24"/>
          <w:lang w:val="en-US"/>
        </w:rPr>
        <w:tab/>
        <w:t xml:space="preserve">H. O. Karnath, J. Rüter, A. Mandler, and M. Himmelbach, “The anatomy of object recognition - Visual form agnosia caused by medial occipitotemporal stroke,” </w:t>
      </w:r>
      <w:r w:rsidRPr="00031084">
        <w:rPr>
          <w:i/>
          <w:iCs/>
          <w:noProof/>
          <w:sz w:val="24"/>
          <w:szCs w:val="24"/>
          <w:lang w:val="en-US"/>
        </w:rPr>
        <w:t>J. Neurosci.</w:t>
      </w:r>
      <w:r w:rsidRPr="00031084">
        <w:rPr>
          <w:noProof/>
          <w:sz w:val="24"/>
          <w:szCs w:val="24"/>
          <w:lang w:val="en-US"/>
        </w:rPr>
        <w:t>, vol. 29, no. 18, pp. 5854–5862, 2009.</w:t>
      </w:r>
    </w:p>
    <w:p w14:paraId="4EBC5E6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[57]</w:t>
      </w:r>
      <w:r w:rsidRPr="00031084">
        <w:rPr>
          <w:noProof/>
          <w:sz w:val="24"/>
          <w:szCs w:val="24"/>
          <w:lang w:val="en-US"/>
        </w:rPr>
        <w:tab/>
        <w:t xml:space="preserve">G. W. A. James C. Grotta, </w:t>
      </w:r>
      <w:r w:rsidRPr="00031084">
        <w:rPr>
          <w:i/>
          <w:iCs/>
          <w:noProof/>
          <w:sz w:val="24"/>
          <w:szCs w:val="24"/>
          <w:lang w:val="en-US"/>
        </w:rPr>
        <w:t>Stroke. Pathophysiology, Diagnosis, and Management</w:t>
      </w:r>
      <w:r w:rsidRPr="00031084">
        <w:rPr>
          <w:noProof/>
          <w:sz w:val="24"/>
          <w:szCs w:val="24"/>
          <w:lang w:val="en-US"/>
        </w:rPr>
        <w:t>. 2016.</w:t>
      </w:r>
    </w:p>
    <w:p w14:paraId="2B7E11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[58]</w:t>
      </w:r>
      <w:r w:rsidRPr="00031084">
        <w:rPr>
          <w:noProof/>
          <w:sz w:val="24"/>
          <w:szCs w:val="24"/>
          <w:lang w:val="en-US"/>
        </w:rPr>
        <w:tab/>
        <w:t xml:space="preserve">P. Kok and F. P. De Lange, “Shape perception simultaneously up- and downregulates neural activity in the primary visual cortex,” </w:t>
      </w:r>
      <w:r w:rsidRPr="00031084">
        <w:rPr>
          <w:i/>
          <w:iCs/>
          <w:noProof/>
          <w:sz w:val="24"/>
          <w:szCs w:val="24"/>
          <w:lang w:val="en-US"/>
        </w:rPr>
        <w:t>Curr. Biol.</w:t>
      </w:r>
      <w:r w:rsidRPr="00031084">
        <w:rPr>
          <w:noProof/>
          <w:sz w:val="24"/>
          <w:szCs w:val="24"/>
          <w:lang w:val="en-US"/>
        </w:rPr>
        <w:t>, vol. 24, no. 13, pp. 1531–1535, 2014.</w:t>
      </w:r>
    </w:p>
    <w:p w14:paraId="1E78CA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[59]</w:t>
      </w:r>
      <w:r w:rsidRPr="00031084">
        <w:rPr>
          <w:noProof/>
          <w:sz w:val="24"/>
          <w:szCs w:val="24"/>
          <w:lang w:val="en-US"/>
        </w:rPr>
        <w:tab/>
        <w:t xml:space="preserve">J. D. Yeatman, A. M. Rauschecker, and B. A. Wandell, “Brain &amp; Language Anatomy of the visual word form area : Adjacent cortical circuits and long-range white matter connections,” </w:t>
      </w:r>
      <w:r w:rsidRPr="00031084">
        <w:rPr>
          <w:i/>
          <w:iCs/>
          <w:noProof/>
          <w:sz w:val="24"/>
          <w:szCs w:val="24"/>
          <w:lang w:val="en-US"/>
        </w:rPr>
        <w:t>Brain Lang.</w:t>
      </w:r>
      <w:r w:rsidRPr="00031084">
        <w:rPr>
          <w:noProof/>
          <w:sz w:val="24"/>
          <w:szCs w:val="24"/>
          <w:lang w:val="en-US"/>
        </w:rPr>
        <w:t>, vol. 125, no. 2, pp. 146–155, 2013.</w:t>
      </w:r>
    </w:p>
    <w:p w14:paraId="1AF1004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[60]</w:t>
      </w:r>
      <w:r w:rsidRPr="00031084">
        <w:rPr>
          <w:noProof/>
          <w:sz w:val="24"/>
          <w:szCs w:val="24"/>
          <w:lang w:val="en-US"/>
        </w:rPr>
        <w:tab/>
        <w:t>L. Cohen, S. Dehaene, F. Vinckier, A. Jobert, and A. Montavont, “Reading normal and degraded words : Contribution of the dorsal and ventral visual pathways,” vol. 40, pp. 353–366, 2008.</w:t>
      </w:r>
    </w:p>
    <w:p w14:paraId="2AA3AAA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[61]</w:t>
      </w:r>
      <w:r w:rsidRPr="00031084">
        <w:rPr>
          <w:noProof/>
          <w:sz w:val="24"/>
          <w:szCs w:val="24"/>
          <w:lang w:val="en-US"/>
        </w:rPr>
        <w:tab/>
        <w:t>M. Vigneau, G. Jobard, B. Mazoyer, and N. Tzourio-mazoyer, “Word and non-word reading : What role for the Visual Word Form Area ?,” vol. 27, pp. 694–705, 2005.</w:t>
      </w:r>
    </w:p>
    <w:p w14:paraId="63D5EDB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[62]</w:t>
      </w:r>
      <w:r w:rsidRPr="00031084">
        <w:rPr>
          <w:noProof/>
          <w:sz w:val="24"/>
          <w:szCs w:val="24"/>
          <w:lang w:val="en-US"/>
        </w:rPr>
        <w:tab/>
        <w:t xml:space="preserve">F. Chochon </w:t>
      </w:r>
      <w:r w:rsidRPr="00031084">
        <w:rPr>
          <w:i/>
          <w:iCs/>
          <w:noProof/>
          <w:sz w:val="24"/>
          <w:szCs w:val="24"/>
          <w:lang w:val="en-US"/>
        </w:rPr>
        <w:t>et al.</w:t>
      </w:r>
      <w:r w:rsidRPr="00031084">
        <w:rPr>
          <w:noProof/>
          <w:sz w:val="24"/>
          <w:szCs w:val="24"/>
          <w:lang w:val="en-US"/>
        </w:rPr>
        <w:t xml:space="preserve">, “Language-specific tuning of visual cortex ? Functional properties of the Visual Word Form Area,” </w:t>
      </w:r>
      <w:r w:rsidRPr="00031084">
        <w:rPr>
          <w:i/>
          <w:iCs/>
          <w:noProof/>
          <w:sz w:val="24"/>
          <w:szCs w:val="24"/>
          <w:lang w:val="en-US"/>
        </w:rPr>
        <w:t>Brain</w:t>
      </w:r>
      <w:r w:rsidRPr="00031084">
        <w:rPr>
          <w:noProof/>
          <w:sz w:val="24"/>
          <w:szCs w:val="24"/>
          <w:lang w:val="en-US"/>
        </w:rPr>
        <w:t>, pp. 1054–1069, 2002.</w:t>
      </w:r>
    </w:p>
    <w:p w14:paraId="210CFEF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[63]</w:t>
      </w:r>
      <w:r w:rsidRPr="00031084">
        <w:rPr>
          <w:noProof/>
          <w:sz w:val="24"/>
          <w:szCs w:val="24"/>
          <w:lang w:val="en-US"/>
        </w:rPr>
        <w:tab/>
        <w:t xml:space="preserve">P. E. Turkeltaub </w:t>
      </w:r>
      <w:r w:rsidRPr="00031084">
        <w:rPr>
          <w:i/>
          <w:iCs/>
          <w:noProof/>
          <w:sz w:val="24"/>
          <w:szCs w:val="24"/>
          <w:lang w:val="en-US"/>
        </w:rPr>
        <w:t>et al.</w:t>
      </w:r>
      <w:r w:rsidRPr="00031084">
        <w:rPr>
          <w:noProof/>
          <w:sz w:val="24"/>
          <w:szCs w:val="24"/>
          <w:lang w:val="en-US"/>
        </w:rPr>
        <w:t xml:space="preserve">, “Alexia due to ischemic stroke of the visual word form area,” </w:t>
      </w:r>
      <w:r w:rsidRPr="00031084">
        <w:rPr>
          <w:i/>
          <w:iCs/>
          <w:noProof/>
          <w:sz w:val="24"/>
          <w:szCs w:val="24"/>
          <w:lang w:val="en-US"/>
        </w:rPr>
        <w:t>Neurocase</w:t>
      </w:r>
      <w:r w:rsidRPr="00031084">
        <w:rPr>
          <w:noProof/>
          <w:sz w:val="24"/>
          <w:szCs w:val="24"/>
          <w:lang w:val="en-US"/>
        </w:rPr>
        <w:t>, vol. 20, no. 2, pp. 230–235, 2014.</w:t>
      </w:r>
    </w:p>
    <w:p w14:paraId="0A9E04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[64]</w:t>
      </w:r>
      <w:r w:rsidRPr="00031084">
        <w:rPr>
          <w:noProof/>
          <w:sz w:val="24"/>
          <w:szCs w:val="24"/>
          <w:lang w:val="en-US"/>
        </w:rPr>
        <w:tab/>
        <w:t>C. Terms, “Color Vision,” vol. 41, no. 3, 2000.</w:t>
      </w:r>
    </w:p>
    <w:p w14:paraId="6B29FED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[65]</w:t>
      </w:r>
      <w:r w:rsidRPr="00031084">
        <w:rPr>
          <w:noProof/>
          <w:sz w:val="24"/>
          <w:szCs w:val="24"/>
          <w:lang w:val="en-US"/>
        </w:rPr>
        <w:tab/>
        <w:t xml:space="preserve">K. Seymour, C. W. G. Clifford, and N. K. Logothetis, “The Coding of Color , Motion , and Their Conjunction in the Human Visual Cortex,” </w:t>
      </w:r>
      <w:r w:rsidRPr="00031084">
        <w:rPr>
          <w:i/>
          <w:iCs/>
          <w:noProof/>
          <w:sz w:val="24"/>
          <w:szCs w:val="24"/>
          <w:lang w:val="en-US"/>
        </w:rPr>
        <w:t>Curr. Biol.</w:t>
      </w:r>
      <w:r w:rsidRPr="00031084">
        <w:rPr>
          <w:noProof/>
          <w:sz w:val="24"/>
          <w:szCs w:val="24"/>
          <w:lang w:val="en-US"/>
        </w:rPr>
        <w:t>, vol. 19, no. 3, pp. 177–183, 2009.</w:t>
      </w:r>
    </w:p>
    <w:p w14:paraId="4523437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[66]</w:t>
      </w:r>
      <w:r w:rsidRPr="00031084">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74DF3A4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[67]</w:t>
      </w:r>
      <w:r w:rsidRPr="00031084">
        <w:rPr>
          <w:noProof/>
          <w:sz w:val="24"/>
          <w:szCs w:val="24"/>
          <w:lang w:val="en-US"/>
        </w:rPr>
        <w:tab/>
        <w:t xml:space="preserve">S. E. Bouvier and S. A. Engel, “Behavioral Deficits and Cortical Damage Loci in Cerebral Achromatopsia,” </w:t>
      </w:r>
      <w:r w:rsidRPr="00031084">
        <w:rPr>
          <w:i/>
          <w:iCs/>
          <w:noProof/>
          <w:sz w:val="24"/>
          <w:szCs w:val="24"/>
          <w:lang w:val="en-US"/>
        </w:rPr>
        <w:t>Cereb. Cortex</w:t>
      </w:r>
      <w:r w:rsidRPr="00031084">
        <w:rPr>
          <w:noProof/>
          <w:sz w:val="24"/>
          <w:szCs w:val="24"/>
          <w:lang w:val="en-US"/>
        </w:rPr>
        <w:t>, no. February, pp. 183–191, 2006.</w:t>
      </w:r>
    </w:p>
    <w:p w14:paraId="32CB11F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[68]</w:t>
      </w:r>
      <w:r w:rsidRPr="00031084">
        <w:rPr>
          <w:noProof/>
          <w:sz w:val="24"/>
          <w:szCs w:val="24"/>
          <w:lang w:val="en-US"/>
        </w:rPr>
        <w:tab/>
        <w:t xml:space="preserve">M. A. Crognale, C. S. Duncan, D. J. Peterson, and M. E. Berryhill, “The locus of color sensation : Cortical color loss and the chromatic visual evoked potential,” </w:t>
      </w:r>
      <w:r w:rsidRPr="00031084">
        <w:rPr>
          <w:i/>
          <w:iCs/>
          <w:noProof/>
          <w:sz w:val="24"/>
          <w:szCs w:val="24"/>
          <w:lang w:val="en-US"/>
        </w:rPr>
        <w:t>Vision</w:t>
      </w:r>
      <w:r w:rsidRPr="00031084">
        <w:rPr>
          <w:noProof/>
          <w:sz w:val="24"/>
          <w:szCs w:val="24"/>
          <w:lang w:val="en-US"/>
        </w:rPr>
        <w:t>, vol. 13, pp. 1–11, 2013.</w:t>
      </w:r>
    </w:p>
    <w:p w14:paraId="337D848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[69]</w:t>
      </w:r>
      <w:r w:rsidRPr="00031084">
        <w:rPr>
          <w:noProof/>
          <w:sz w:val="24"/>
          <w:szCs w:val="24"/>
          <w:lang w:val="en-US"/>
        </w:rPr>
        <w:tab/>
        <w:t>D. J. Mckeefry and S. Zeki, “The position and topography of the human colour centre as revealed by functional magnetic resonance imaging,” pp. 2229–2242, 1997.</w:t>
      </w:r>
    </w:p>
    <w:p w14:paraId="715302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lastRenderedPageBreak/>
        <w:t>[70]</w:t>
      </w:r>
      <w:r w:rsidRPr="00031084">
        <w:rPr>
          <w:noProof/>
          <w:sz w:val="24"/>
          <w:szCs w:val="24"/>
          <w:lang w:val="en-US"/>
        </w:rPr>
        <w:tab/>
        <w:t xml:space="preserve"> and N. K. Mona Spiridon, Bruce Fischl, “Location and Spatial Profile of Category-Specific Regions in Human Extrastriate Cortex,” vol. 27, no. 1, pp. 77–89, 2012.</w:t>
      </w:r>
    </w:p>
    <w:p w14:paraId="1887098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[71]</w:t>
      </w:r>
      <w:r w:rsidRPr="00031084">
        <w:rPr>
          <w:noProof/>
          <w:sz w:val="24"/>
          <w:szCs w:val="24"/>
          <w:lang w:val="en-US"/>
        </w:rPr>
        <w:tab/>
        <w:t>S. Km, A. Midelfart, L. Thomassen, A. Melms, H. Wilhelm, and H. Jm, “Visual impairment in stroke patients – a review,” vol. 127, pp. 52–56, 2013.</w:t>
      </w:r>
    </w:p>
    <w:p w14:paraId="0F848A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[72]</w:t>
      </w:r>
      <w:r w:rsidRPr="00031084">
        <w:rPr>
          <w:noProof/>
          <w:sz w:val="24"/>
          <w:szCs w:val="24"/>
          <w:lang w:val="en-US"/>
        </w:rPr>
        <w:tab/>
        <w:t>G. Kerkhoff, “Restorative and compensatory therapy approaches in cerebral blindness – a review,” vol. 15, pp. 255–271, 1999.</w:t>
      </w:r>
    </w:p>
    <w:p w14:paraId="6AC72A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[73]</w:t>
      </w:r>
      <w:r w:rsidRPr="00031084">
        <w:rPr>
          <w:noProof/>
          <w:sz w:val="24"/>
          <w:szCs w:val="24"/>
          <w:lang w:val="en-US"/>
        </w:rPr>
        <w:tab/>
        <w:t xml:space="preserve">R. J. Nudo, “Recovery after brain injury: mechanisms and principles,” </w:t>
      </w:r>
      <w:r w:rsidRPr="00031084">
        <w:rPr>
          <w:i/>
          <w:iCs/>
          <w:noProof/>
          <w:sz w:val="24"/>
          <w:szCs w:val="24"/>
          <w:lang w:val="en-US"/>
        </w:rPr>
        <w:t>Front. Hum. Neurosci.</w:t>
      </w:r>
      <w:r w:rsidRPr="00031084">
        <w:rPr>
          <w:noProof/>
          <w:sz w:val="24"/>
          <w:szCs w:val="24"/>
          <w:lang w:val="en-US"/>
        </w:rPr>
        <w:t>, vol. 7, no. December, pp. 1–14, 2013.</w:t>
      </w:r>
    </w:p>
    <w:p w14:paraId="75B5DBB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[74]</w:t>
      </w:r>
      <w:r w:rsidRPr="00031084">
        <w:rPr>
          <w:noProof/>
          <w:sz w:val="24"/>
          <w:szCs w:val="24"/>
          <w:lang w:val="en-US"/>
        </w:rPr>
        <w:tab/>
        <w:t>A. Pascual-leone, A. Amedi, F. Fregni, and L. B. Merabet, “The Plastic Human Brain Cortex,” 2005.</w:t>
      </w:r>
    </w:p>
    <w:p w14:paraId="5CBBFC3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[75]</w:t>
      </w:r>
      <w:r w:rsidRPr="00031084">
        <w:rPr>
          <w:noProof/>
          <w:sz w:val="24"/>
          <w:szCs w:val="24"/>
          <w:lang w:val="en-US"/>
        </w:rPr>
        <w:tab/>
        <w:t>A. T. Toosy, “Valuable Insights Into Visual Neuroplasticity After Optic Neuritis,” pp. 1–2, 2018.</w:t>
      </w:r>
    </w:p>
    <w:p w14:paraId="32C87F8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[76]</w:t>
      </w:r>
      <w:r w:rsidRPr="00031084">
        <w:rPr>
          <w:noProof/>
          <w:sz w:val="24"/>
          <w:szCs w:val="24"/>
          <w:lang w:val="en-US"/>
        </w:rPr>
        <w:tab/>
        <w:t xml:space="preserve">I. Mueller </w:t>
      </w:r>
      <w:r w:rsidRPr="00031084">
        <w:rPr>
          <w:i/>
          <w:iCs/>
          <w:noProof/>
          <w:sz w:val="24"/>
          <w:szCs w:val="24"/>
          <w:lang w:val="en-US"/>
        </w:rPr>
        <w:t>et al.</w:t>
      </w:r>
      <w:r w:rsidRPr="00031084">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0D085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[77]</w:t>
      </w:r>
      <w:r w:rsidRPr="00031084">
        <w:rPr>
          <w:noProof/>
          <w:sz w:val="24"/>
          <w:szCs w:val="24"/>
          <w:lang w:val="en-US"/>
        </w:rPr>
        <w:tab/>
        <w:t>G. K. V, D. Strasse, and D.- München, “Neurovisual rehabilitation : recent developments and future directions,” pp. 691–706, 2000.</w:t>
      </w:r>
    </w:p>
    <w:p w14:paraId="6AA8FE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[78]</w:t>
      </w:r>
      <w:r w:rsidRPr="00031084">
        <w:rPr>
          <w:noProof/>
          <w:sz w:val="24"/>
          <w:szCs w:val="24"/>
          <w:lang w:val="en-US"/>
        </w:rPr>
        <w:tab/>
        <w:t xml:space="preserve">J. H. Pula and C. A. Yuen, “Eyes and stroke: The visual aspects of cerebrovascular disease,” </w:t>
      </w:r>
      <w:r w:rsidRPr="00031084">
        <w:rPr>
          <w:i/>
          <w:iCs/>
          <w:noProof/>
          <w:sz w:val="24"/>
          <w:szCs w:val="24"/>
          <w:lang w:val="en-US"/>
        </w:rPr>
        <w:t>Stroke Vasc. Neurol.</w:t>
      </w:r>
      <w:r w:rsidRPr="00031084">
        <w:rPr>
          <w:noProof/>
          <w:sz w:val="24"/>
          <w:szCs w:val="24"/>
          <w:lang w:val="en-US"/>
        </w:rPr>
        <w:t>, vol. 2, no. 4, pp. 210–220, 2017.</w:t>
      </w:r>
    </w:p>
    <w:p w14:paraId="702C113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[79]</w:t>
      </w:r>
      <w:r w:rsidRPr="00031084">
        <w:rPr>
          <w:noProof/>
          <w:sz w:val="24"/>
          <w:szCs w:val="24"/>
          <w:lang w:val="en-US"/>
        </w:rPr>
        <w:tab/>
        <w:t xml:space="preserve">L. F. Nicolas-Alonso and J. Gomez-Gil, “Brain computer interfaces, a review,” </w:t>
      </w:r>
      <w:r w:rsidRPr="00031084">
        <w:rPr>
          <w:i/>
          <w:iCs/>
          <w:noProof/>
          <w:sz w:val="24"/>
          <w:szCs w:val="24"/>
          <w:lang w:val="en-US"/>
        </w:rPr>
        <w:t>Sensors</w:t>
      </w:r>
      <w:r w:rsidRPr="00031084">
        <w:rPr>
          <w:noProof/>
          <w:sz w:val="24"/>
          <w:szCs w:val="24"/>
          <w:lang w:val="en-US"/>
        </w:rPr>
        <w:t>, vol. 12, no. 2, pp. 1211–1279, 2012.</w:t>
      </w:r>
    </w:p>
    <w:p w14:paraId="659D3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[80]</w:t>
      </w:r>
      <w:r w:rsidRPr="00031084">
        <w:rPr>
          <w:noProof/>
          <w:sz w:val="24"/>
          <w:szCs w:val="24"/>
          <w:lang w:val="en-US"/>
        </w:rPr>
        <w:tab/>
        <w:t xml:space="preserve">S. S. and J. A. Chambers, </w:t>
      </w:r>
      <w:r w:rsidRPr="00031084">
        <w:rPr>
          <w:i/>
          <w:iCs/>
          <w:noProof/>
          <w:sz w:val="24"/>
          <w:szCs w:val="24"/>
          <w:lang w:val="en-US"/>
        </w:rPr>
        <w:t>EEG Signal Processing</w:t>
      </w:r>
      <w:r w:rsidRPr="00031084">
        <w:rPr>
          <w:noProof/>
          <w:sz w:val="24"/>
          <w:szCs w:val="24"/>
          <w:lang w:val="en-US"/>
        </w:rPr>
        <w:t>. 2007.</w:t>
      </w:r>
    </w:p>
    <w:p w14:paraId="5A6F202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[81]</w:t>
      </w:r>
      <w:r w:rsidRPr="00031084">
        <w:rPr>
          <w:noProof/>
          <w:sz w:val="24"/>
          <w:szCs w:val="24"/>
          <w:lang w:val="en-US"/>
        </w:rPr>
        <w:tab/>
        <w:t xml:space="preserve">X. Lei </w:t>
      </w:r>
      <w:r w:rsidRPr="00031084">
        <w:rPr>
          <w:i/>
          <w:iCs/>
          <w:noProof/>
          <w:sz w:val="24"/>
          <w:szCs w:val="24"/>
          <w:lang w:val="en-US"/>
        </w:rPr>
        <w:t>et al.</w:t>
      </w:r>
      <w:r w:rsidRPr="00031084">
        <w:rPr>
          <w:noProof/>
          <w:sz w:val="24"/>
          <w:szCs w:val="24"/>
          <w:lang w:val="en-US"/>
        </w:rPr>
        <w:t>, “Identification of EEG features in Stroke Patients based on Common Spatial Pattern and Sparse Representation Classification,” pp. 114–117, 2017.</w:t>
      </w:r>
    </w:p>
    <w:p w14:paraId="74324C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[82]</w:t>
      </w:r>
      <w:r w:rsidRPr="00031084">
        <w:rPr>
          <w:noProof/>
          <w:sz w:val="24"/>
          <w:szCs w:val="24"/>
          <w:lang w:val="en-US"/>
        </w:rPr>
        <w:tab/>
        <w:t xml:space="preserve">Encyclopedia, </w:t>
      </w:r>
      <w:r w:rsidRPr="00031084">
        <w:rPr>
          <w:i/>
          <w:iCs/>
          <w:noProof/>
          <w:sz w:val="24"/>
          <w:szCs w:val="24"/>
          <w:lang w:val="en-US"/>
        </w:rPr>
        <w:t>Medical Devices and Human Engineering</w:t>
      </w:r>
      <w:r w:rsidRPr="00031084">
        <w:rPr>
          <w:noProof/>
          <w:sz w:val="24"/>
          <w:szCs w:val="24"/>
          <w:lang w:val="en-US"/>
        </w:rPr>
        <w:t>, vol. 5. 2006.</w:t>
      </w:r>
    </w:p>
    <w:p w14:paraId="48AD581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[83]</w:t>
      </w:r>
      <w:r w:rsidRPr="00031084">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031084">
        <w:rPr>
          <w:i/>
          <w:iCs/>
          <w:noProof/>
          <w:sz w:val="24"/>
          <w:szCs w:val="24"/>
          <w:lang w:val="en-US"/>
        </w:rPr>
        <w:t>Clin. Neurophysiol.</w:t>
      </w:r>
      <w:r w:rsidRPr="00031084">
        <w:rPr>
          <w:noProof/>
          <w:sz w:val="24"/>
          <w:szCs w:val="24"/>
          <w:lang w:val="en-US"/>
        </w:rPr>
        <w:t>, vol. 120, no. 6, pp. 1039–1045, 2009.</w:t>
      </w:r>
    </w:p>
    <w:p w14:paraId="3D18330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[84]</w:t>
      </w:r>
      <w:r w:rsidRPr="00031084">
        <w:rPr>
          <w:noProof/>
          <w:sz w:val="24"/>
          <w:szCs w:val="24"/>
          <w:lang w:val="en-US"/>
        </w:rPr>
        <w:tab/>
        <w:t xml:space="preserve">A. Mora-Cortes, K. R. Ridderinkhof, and M. X. Cohen, “Evaluating the feasibility of the steady-state visual evoked potential (SSVEP) to study temporal attention,” </w:t>
      </w:r>
      <w:r w:rsidRPr="00031084">
        <w:rPr>
          <w:i/>
          <w:iCs/>
          <w:noProof/>
          <w:sz w:val="24"/>
          <w:szCs w:val="24"/>
          <w:lang w:val="en-US"/>
        </w:rPr>
        <w:t>Psychophysiology</w:t>
      </w:r>
      <w:r w:rsidRPr="00031084">
        <w:rPr>
          <w:noProof/>
          <w:sz w:val="24"/>
          <w:szCs w:val="24"/>
          <w:lang w:val="en-US"/>
        </w:rPr>
        <w:t>, no. June, 2017.</w:t>
      </w:r>
    </w:p>
    <w:p w14:paraId="64699B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[85]</w:t>
      </w:r>
      <w:r w:rsidRPr="00031084">
        <w:rPr>
          <w:noProof/>
          <w:sz w:val="24"/>
          <w:szCs w:val="24"/>
          <w:lang w:val="en-US"/>
        </w:rPr>
        <w:tab/>
        <w:t xml:space="preserve">X. Gao, D. Xu, M. Cheng, and S. Gao, “A BCI-based environmental controller for the motion-disabled,” </w:t>
      </w:r>
      <w:r w:rsidRPr="00031084">
        <w:rPr>
          <w:i/>
          <w:iCs/>
          <w:noProof/>
          <w:sz w:val="24"/>
          <w:szCs w:val="24"/>
          <w:lang w:val="en-US"/>
        </w:rPr>
        <w:t>IEEE Trans. Neural Syst. Rehabil. Eng.</w:t>
      </w:r>
      <w:r w:rsidRPr="00031084">
        <w:rPr>
          <w:noProof/>
          <w:sz w:val="24"/>
          <w:szCs w:val="24"/>
          <w:lang w:val="en-US"/>
        </w:rPr>
        <w:t>, vol. 11, no. 2, pp. 137–140, 2003.</w:t>
      </w:r>
    </w:p>
    <w:p w14:paraId="4279E4C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[86]</w:t>
      </w:r>
      <w:r w:rsidRPr="00031084">
        <w:rPr>
          <w:noProof/>
          <w:sz w:val="24"/>
          <w:szCs w:val="24"/>
          <w:lang w:val="en-US"/>
        </w:rPr>
        <w:tab/>
        <w:t xml:space="preserve">A. M. Norcia, L. G. G. Appelbaum, J. M. J. M. Ales, B. R. B. R. Cottereau, and B. Rossion, “The steady-state visual evoked potential in vision research: a review,” </w:t>
      </w:r>
      <w:r w:rsidRPr="00031084">
        <w:rPr>
          <w:i/>
          <w:iCs/>
          <w:noProof/>
          <w:sz w:val="24"/>
          <w:szCs w:val="24"/>
          <w:lang w:val="en-US"/>
        </w:rPr>
        <w:t>J. Vis.</w:t>
      </w:r>
      <w:r w:rsidRPr="00031084">
        <w:rPr>
          <w:noProof/>
          <w:sz w:val="24"/>
          <w:szCs w:val="24"/>
          <w:lang w:val="en-US"/>
        </w:rPr>
        <w:t>, vol. 15, no. 6, p. 4, 2015.</w:t>
      </w:r>
    </w:p>
    <w:p w14:paraId="594A5D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[87]</w:t>
      </w:r>
      <w:r w:rsidRPr="00031084">
        <w:rPr>
          <w:noProof/>
          <w:sz w:val="24"/>
          <w:szCs w:val="24"/>
          <w:lang w:val="en-US"/>
        </w:rPr>
        <w:tab/>
        <w:t xml:space="preserve">Y. Wang, X. Gao, B. Hong, C. Jia, and S. Gao, “Brain-Computer Interfaces Based on Visual Evoked Potentials,” </w:t>
      </w:r>
      <w:r w:rsidRPr="00031084">
        <w:rPr>
          <w:i/>
          <w:iCs/>
          <w:noProof/>
          <w:sz w:val="24"/>
          <w:szCs w:val="24"/>
          <w:lang w:val="en-US"/>
        </w:rPr>
        <w:t>Ieee Eng. Med. Biol. Mag.</w:t>
      </w:r>
      <w:r w:rsidRPr="00031084">
        <w:rPr>
          <w:noProof/>
          <w:sz w:val="24"/>
          <w:szCs w:val="24"/>
          <w:lang w:val="en-US"/>
        </w:rPr>
        <w:t>, vol. 27, no. 5, pp. 64–71, 2008.</w:t>
      </w:r>
    </w:p>
    <w:p w14:paraId="14E9C6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[88]</w:t>
      </w:r>
      <w:r w:rsidRPr="00031084">
        <w:rPr>
          <w:noProof/>
          <w:sz w:val="24"/>
          <w:szCs w:val="24"/>
          <w:lang w:val="en-US"/>
        </w:rPr>
        <w:tab/>
        <w:t xml:space="preserve">J. A. G. Heckenlively, </w:t>
      </w:r>
      <w:r w:rsidRPr="00031084">
        <w:rPr>
          <w:i/>
          <w:iCs/>
          <w:noProof/>
          <w:sz w:val="24"/>
          <w:szCs w:val="24"/>
          <w:lang w:val="en-US"/>
        </w:rPr>
        <w:t>Principles and practice of clinical electrophysiology of vision.</w:t>
      </w:r>
      <w:r w:rsidRPr="00031084">
        <w:rPr>
          <w:noProof/>
          <w:sz w:val="24"/>
          <w:szCs w:val="24"/>
          <w:lang w:val="en-US"/>
        </w:rPr>
        <w:t xml:space="preserve"> 2006.</w:t>
      </w:r>
    </w:p>
    <w:p w14:paraId="6763EA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[89]</w:t>
      </w:r>
      <w:r w:rsidRPr="00031084">
        <w:rPr>
          <w:noProof/>
          <w:sz w:val="24"/>
          <w:szCs w:val="24"/>
          <w:lang w:val="en-US"/>
        </w:rPr>
        <w:tab/>
        <w:t xml:space="preserve">S. J. Leat, L. M. Head, and E. L. Irving, “Effects of sweep VEP parameters on visual acuity and contrast thresholds in children and adults,” </w:t>
      </w:r>
      <w:r w:rsidRPr="00031084">
        <w:rPr>
          <w:i/>
          <w:iCs/>
          <w:noProof/>
          <w:sz w:val="24"/>
          <w:szCs w:val="24"/>
          <w:lang w:val="en-US"/>
        </w:rPr>
        <w:t>Graefes Arch Clin Exp Ophthalmol</w:t>
      </w:r>
      <w:r w:rsidRPr="00031084">
        <w:rPr>
          <w:noProof/>
          <w:sz w:val="24"/>
          <w:szCs w:val="24"/>
          <w:lang w:val="en-US"/>
        </w:rPr>
        <w:t>, pp. 613–623, 2011.</w:t>
      </w:r>
    </w:p>
    <w:p w14:paraId="7F249DF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[90]</w:t>
      </w:r>
      <w:r w:rsidRPr="00031084">
        <w:rPr>
          <w:noProof/>
          <w:sz w:val="24"/>
          <w:szCs w:val="24"/>
          <w:lang w:val="en-US"/>
        </w:rPr>
        <w:tab/>
        <w:t xml:space="preserve">N. V. T. Shanbao Tong, </w:t>
      </w:r>
      <w:r w:rsidRPr="00031084">
        <w:rPr>
          <w:i/>
          <w:iCs/>
          <w:noProof/>
          <w:sz w:val="24"/>
          <w:szCs w:val="24"/>
          <w:lang w:val="en-US"/>
        </w:rPr>
        <w:t xml:space="preserve">Quantative EEG Analysis Methods and Clinical </w:t>
      </w:r>
      <w:r w:rsidRPr="00031084">
        <w:rPr>
          <w:i/>
          <w:iCs/>
          <w:noProof/>
          <w:sz w:val="24"/>
          <w:szCs w:val="24"/>
          <w:lang w:val="en-US"/>
        </w:rPr>
        <w:lastRenderedPageBreak/>
        <w:t>Applications</w:t>
      </w:r>
      <w:r w:rsidRPr="00031084">
        <w:rPr>
          <w:noProof/>
          <w:sz w:val="24"/>
          <w:szCs w:val="24"/>
          <w:lang w:val="en-US"/>
        </w:rPr>
        <w:t>. 2009.</w:t>
      </w:r>
    </w:p>
    <w:p w14:paraId="3ACD65E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[91]</w:t>
      </w:r>
      <w:r w:rsidRPr="00031084">
        <w:rPr>
          <w:noProof/>
          <w:sz w:val="24"/>
          <w:szCs w:val="24"/>
          <w:lang w:val="en-US"/>
        </w:rPr>
        <w:tab/>
        <w:t xml:space="preserve">S. Stathopoulou, “EEG Changes in Traumatic Brain Injured Patients After Cognitive Rehabilitation,” </w:t>
      </w:r>
      <w:r w:rsidRPr="00031084">
        <w:rPr>
          <w:i/>
          <w:iCs/>
          <w:noProof/>
          <w:sz w:val="24"/>
          <w:szCs w:val="24"/>
          <w:lang w:val="en-US"/>
        </w:rPr>
        <w:t>J. Neurother.</w:t>
      </w:r>
      <w:r w:rsidRPr="00031084">
        <w:rPr>
          <w:noProof/>
          <w:sz w:val="24"/>
          <w:szCs w:val="24"/>
          <w:lang w:val="en-US"/>
        </w:rPr>
        <w:t>, vol. 8, no. 2.</w:t>
      </w:r>
    </w:p>
    <w:p w14:paraId="74CA052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[92]</w:t>
      </w:r>
      <w:r w:rsidRPr="00031084">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031084">
        <w:rPr>
          <w:i/>
          <w:iCs/>
          <w:noProof/>
          <w:sz w:val="24"/>
          <w:szCs w:val="24"/>
          <w:lang w:val="en-US"/>
        </w:rPr>
        <w:t>J Neurosurg</w:t>
      </w:r>
      <w:r w:rsidRPr="00031084">
        <w:rPr>
          <w:noProof/>
          <w:sz w:val="24"/>
          <w:szCs w:val="24"/>
          <w:lang w:val="en-US"/>
        </w:rPr>
        <w:t>, vol. 97, pp. 84–92, 2002.</w:t>
      </w:r>
    </w:p>
    <w:p w14:paraId="0533E3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[93]</w:t>
      </w:r>
      <w:r w:rsidRPr="00031084">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031084">
        <w:rPr>
          <w:i/>
          <w:iCs/>
          <w:noProof/>
          <w:sz w:val="24"/>
          <w:szCs w:val="24"/>
          <w:lang w:val="en-US"/>
        </w:rPr>
        <w:t>Clin. Neurophysiol.</w:t>
      </w:r>
      <w:r w:rsidRPr="00031084">
        <w:rPr>
          <w:noProof/>
          <w:sz w:val="24"/>
          <w:szCs w:val="24"/>
          <w:lang w:val="en-US"/>
        </w:rPr>
        <w:t>, vol. 115, no. 6, pp. 1332–1339, 2004.</w:t>
      </w:r>
    </w:p>
    <w:p w14:paraId="32AAE8E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[94]</w:t>
      </w:r>
      <w:r w:rsidRPr="00031084">
        <w:rPr>
          <w:noProof/>
          <w:sz w:val="24"/>
          <w:szCs w:val="24"/>
          <w:lang w:val="en-US"/>
        </w:rPr>
        <w:tab/>
        <w:t xml:space="preserve">C. J. Stam and B. W. Van Dijk, “Synchronization likelihood: An unbiased measure of generalized synchronization in multivariate data sets,” </w:t>
      </w:r>
      <w:r w:rsidRPr="00031084">
        <w:rPr>
          <w:i/>
          <w:iCs/>
          <w:noProof/>
          <w:sz w:val="24"/>
          <w:szCs w:val="24"/>
          <w:lang w:val="en-US"/>
        </w:rPr>
        <w:t>Phys. D Nonlinear Phenom.</w:t>
      </w:r>
      <w:r w:rsidRPr="00031084">
        <w:rPr>
          <w:noProof/>
          <w:sz w:val="24"/>
          <w:szCs w:val="24"/>
          <w:lang w:val="en-US"/>
        </w:rPr>
        <w:t>, vol. 163, no. 3–4, pp. 236–251, 2002.</w:t>
      </w:r>
    </w:p>
    <w:p w14:paraId="61B501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[95]</w:t>
      </w:r>
      <w:r w:rsidRPr="00031084">
        <w:rPr>
          <w:noProof/>
          <w:sz w:val="24"/>
          <w:szCs w:val="24"/>
          <w:lang w:val="en-US"/>
        </w:rPr>
        <w:tab/>
        <w:t xml:space="preserve">J. T. Lizier, M. Prokopenko, and A. Y. Zomaya, “Local measures of information storage in complex distributed computation,” </w:t>
      </w:r>
      <w:r w:rsidRPr="00031084">
        <w:rPr>
          <w:i/>
          <w:iCs/>
          <w:noProof/>
          <w:sz w:val="24"/>
          <w:szCs w:val="24"/>
          <w:lang w:val="en-US"/>
        </w:rPr>
        <w:t>Inf. Sci. (Ny).</w:t>
      </w:r>
      <w:r w:rsidRPr="00031084">
        <w:rPr>
          <w:noProof/>
          <w:sz w:val="24"/>
          <w:szCs w:val="24"/>
          <w:lang w:val="en-US"/>
        </w:rPr>
        <w:t>, vol. 208, pp. 39–54, 2012.</w:t>
      </w:r>
    </w:p>
    <w:p w14:paraId="78192E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[96]</w:t>
      </w:r>
      <w:r w:rsidRPr="00031084">
        <w:rPr>
          <w:noProof/>
          <w:sz w:val="24"/>
          <w:szCs w:val="24"/>
          <w:lang w:val="en-US"/>
        </w:rPr>
        <w:tab/>
        <w:t xml:space="preserve">“OpenBCI shop,” </w:t>
      </w:r>
      <w:r w:rsidRPr="00031084">
        <w:rPr>
          <w:i/>
          <w:iCs/>
          <w:noProof/>
          <w:sz w:val="24"/>
          <w:szCs w:val="24"/>
          <w:lang w:val="en-US"/>
        </w:rPr>
        <w:t>https://shop.openbci.com/products/cyton-biosensing-board-8-channel?variant=38958638542</w:t>
      </w:r>
      <w:r w:rsidRPr="00031084">
        <w:rPr>
          <w:noProof/>
          <w:sz w:val="24"/>
          <w:szCs w:val="24"/>
          <w:lang w:val="en-US"/>
        </w:rPr>
        <w:t>. .</w:t>
      </w:r>
    </w:p>
    <w:p w14:paraId="7922992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[97]</w:t>
      </w:r>
      <w:r w:rsidRPr="00031084">
        <w:rPr>
          <w:noProof/>
          <w:sz w:val="24"/>
          <w:szCs w:val="24"/>
          <w:lang w:val="en-US"/>
        </w:rPr>
        <w:tab/>
        <w:t xml:space="preserve">W. H. Ridder, I. I. I. Anna, and T. Floresca, “Reliability of acuities determined with the sweep visual evoked potential ( sVEP ),” </w:t>
      </w:r>
      <w:r w:rsidRPr="00031084">
        <w:rPr>
          <w:i/>
          <w:iCs/>
          <w:noProof/>
          <w:sz w:val="24"/>
          <w:szCs w:val="24"/>
          <w:lang w:val="en-US"/>
        </w:rPr>
        <w:t>Doc Ophthalmol</w:t>
      </w:r>
      <w:r w:rsidRPr="00031084">
        <w:rPr>
          <w:noProof/>
          <w:sz w:val="24"/>
          <w:szCs w:val="24"/>
          <w:lang w:val="en-US"/>
        </w:rPr>
        <w:t>, pp. 99–107, 2012.</w:t>
      </w:r>
    </w:p>
    <w:p w14:paraId="3F59F8C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[98]</w:t>
      </w:r>
      <w:r w:rsidRPr="00031084">
        <w:rPr>
          <w:noProof/>
          <w:sz w:val="24"/>
          <w:szCs w:val="24"/>
          <w:lang w:val="en-US"/>
        </w:rPr>
        <w:tab/>
        <w:t xml:space="preserve">J. M. L. De Faria, O. Katsumi, M. Arai, and T. Hirose, “Objective measurement of contrast sensitivity function using contrast sweep visual evoked responses,” </w:t>
      </w:r>
      <w:r w:rsidRPr="00031084">
        <w:rPr>
          <w:i/>
          <w:iCs/>
          <w:noProof/>
          <w:sz w:val="24"/>
          <w:szCs w:val="24"/>
          <w:lang w:val="en-US"/>
        </w:rPr>
        <w:t>Br. J. Ophthalmol.</w:t>
      </w:r>
      <w:r w:rsidRPr="00031084">
        <w:rPr>
          <w:noProof/>
          <w:sz w:val="24"/>
          <w:szCs w:val="24"/>
          <w:lang w:val="en-US"/>
        </w:rPr>
        <w:t>, pp. 168–173, 1998.</w:t>
      </w:r>
    </w:p>
    <w:p w14:paraId="79A9F0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[99]</w:t>
      </w:r>
      <w:r w:rsidRPr="00031084">
        <w:rPr>
          <w:noProof/>
          <w:sz w:val="24"/>
          <w:szCs w:val="24"/>
          <w:lang w:val="en-US"/>
        </w:rPr>
        <w:tab/>
        <w:t xml:space="preserve">A. M. Skoczenski and A. M. Norcia, “Development of VEP Vernier Acuity and Grating Acuity in Human Infants,” </w:t>
      </w:r>
      <w:r w:rsidRPr="00031084">
        <w:rPr>
          <w:i/>
          <w:iCs/>
          <w:noProof/>
          <w:sz w:val="24"/>
          <w:szCs w:val="24"/>
          <w:lang w:val="en-US"/>
        </w:rPr>
        <w:t>Invest. Ophthalmol. Vis. Sci.</w:t>
      </w:r>
      <w:r w:rsidRPr="00031084">
        <w:rPr>
          <w:noProof/>
          <w:sz w:val="24"/>
          <w:szCs w:val="24"/>
          <w:lang w:val="en-US"/>
        </w:rPr>
        <w:t>, 2018.</w:t>
      </w:r>
    </w:p>
    <w:p w14:paraId="077BD17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[100]</w:t>
      </w:r>
      <w:r w:rsidRPr="00031084">
        <w:rPr>
          <w:noProof/>
          <w:sz w:val="24"/>
          <w:szCs w:val="24"/>
          <w:lang w:val="en-US"/>
        </w:rPr>
        <w:tab/>
        <w:t xml:space="preserve">C. Hou, W. V Good, and A. M. Norcia, “Detection of Amblyopia Using Sweep VEP Vernier and Grating Acuity,” </w:t>
      </w:r>
      <w:r w:rsidRPr="00031084">
        <w:rPr>
          <w:i/>
          <w:iCs/>
          <w:noProof/>
          <w:sz w:val="24"/>
          <w:szCs w:val="24"/>
          <w:lang w:val="en-US"/>
        </w:rPr>
        <w:t>Investig. Ophthalmol. Vis. Sci.</w:t>
      </w:r>
      <w:r w:rsidRPr="00031084">
        <w:rPr>
          <w:noProof/>
          <w:sz w:val="24"/>
          <w:szCs w:val="24"/>
          <w:lang w:val="en-US"/>
        </w:rPr>
        <w:t>, 2018.</w:t>
      </w:r>
    </w:p>
    <w:p w14:paraId="341F84F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[101]</w:t>
      </w:r>
      <w:r w:rsidRPr="00031084">
        <w:rPr>
          <w:noProof/>
          <w:sz w:val="24"/>
          <w:szCs w:val="24"/>
          <w:lang w:val="en-US"/>
        </w:rPr>
        <w:tab/>
        <w:t xml:space="preserve">A. L. Ely </w:t>
      </w:r>
      <w:r w:rsidRPr="00031084">
        <w:rPr>
          <w:i/>
          <w:iCs/>
          <w:noProof/>
          <w:sz w:val="24"/>
          <w:szCs w:val="24"/>
          <w:lang w:val="en-US"/>
        </w:rPr>
        <w:t>et al.</w:t>
      </w:r>
      <w:r w:rsidRPr="00031084">
        <w:rPr>
          <w:noProof/>
          <w:sz w:val="24"/>
          <w:szCs w:val="24"/>
          <w:lang w:val="en-US"/>
        </w:rPr>
        <w:t xml:space="preserve">, “Degradation of Swept-Parameter VEP Responses by Neutral Density Filters in Amblyopic and Normal Subjects,” </w:t>
      </w:r>
      <w:r w:rsidRPr="00031084">
        <w:rPr>
          <w:i/>
          <w:iCs/>
          <w:noProof/>
          <w:sz w:val="24"/>
          <w:szCs w:val="24"/>
          <w:lang w:val="en-US"/>
        </w:rPr>
        <w:t>Investig. opthalmology Vis. Sci.</w:t>
      </w:r>
      <w:r w:rsidRPr="00031084">
        <w:rPr>
          <w:noProof/>
          <w:sz w:val="24"/>
          <w:szCs w:val="24"/>
          <w:lang w:val="en-US"/>
        </w:rPr>
        <w:t>, 2018.</w:t>
      </w:r>
    </w:p>
    <w:p w14:paraId="383DD80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[102]</w:t>
      </w:r>
      <w:r w:rsidRPr="00031084">
        <w:rPr>
          <w:noProof/>
          <w:sz w:val="24"/>
          <w:szCs w:val="24"/>
          <w:lang w:val="en-US"/>
        </w:rPr>
        <w:tab/>
        <w:t xml:space="preserve">H. Ja, “A comparison of the performance of three visual evoked potential-based methods to estimate visual acuity,” </w:t>
      </w:r>
      <w:r w:rsidRPr="00031084">
        <w:rPr>
          <w:i/>
          <w:iCs/>
          <w:noProof/>
          <w:sz w:val="24"/>
          <w:szCs w:val="24"/>
          <w:lang w:val="en-US"/>
        </w:rPr>
        <w:t>Doc Ophthalmol</w:t>
      </w:r>
      <w:r w:rsidRPr="00031084">
        <w:rPr>
          <w:noProof/>
          <w:sz w:val="24"/>
          <w:szCs w:val="24"/>
          <w:lang w:val="en-US"/>
        </w:rPr>
        <w:t>, pp. 45–56, 2013.</w:t>
      </w:r>
    </w:p>
    <w:p w14:paraId="3795FAA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[103]</w:t>
      </w:r>
      <w:r w:rsidRPr="00031084">
        <w:rPr>
          <w:noProof/>
          <w:sz w:val="24"/>
          <w:szCs w:val="24"/>
          <w:lang w:val="en-US"/>
        </w:rPr>
        <w:tab/>
        <w:t>E. M. Santos, E. K. Gnang, and E. Kowler, “Anticipatory smooth eye movements with random-dot kinematograms,” vol. 12, pp. 1–20, 2012.</w:t>
      </w:r>
    </w:p>
    <w:p w14:paraId="0FBED98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[104]</w:t>
      </w:r>
      <w:r w:rsidRPr="00031084">
        <w:rPr>
          <w:noProof/>
          <w:sz w:val="24"/>
          <w:szCs w:val="24"/>
          <w:lang w:val="en-US"/>
        </w:rPr>
        <w:tab/>
        <w:t>R. J. Barry, A. R. Clarke, S. J. Johnstone, C. A. Magee, and J. A. Rushby, “EEG differences between eyes-closed and eyes-open resting conditions,” vol. 118, pp. 2765–2773, 2007.</w:t>
      </w:r>
    </w:p>
    <w:p w14:paraId="27AAD9BF" w14:textId="77777777" w:rsidR="000464A3" w:rsidRPr="000464A3" w:rsidRDefault="000464A3" w:rsidP="000464A3">
      <w:pPr>
        <w:widowControl w:val="0"/>
        <w:autoSpaceDE w:val="0"/>
        <w:autoSpaceDN w:val="0"/>
        <w:adjustRightInd w:val="0"/>
        <w:spacing w:line="240" w:lineRule="auto"/>
        <w:ind w:left="640" w:hanging="640"/>
        <w:rPr>
          <w:noProof/>
          <w:sz w:val="24"/>
        </w:rPr>
      </w:pPr>
      <w:r w:rsidRPr="00031084">
        <w:rPr>
          <w:noProof/>
          <w:sz w:val="24"/>
          <w:szCs w:val="24"/>
          <w:lang w:val="en-US"/>
        </w:rPr>
        <w:t>[105]</w:t>
      </w:r>
      <w:r w:rsidRPr="00031084">
        <w:rPr>
          <w:noProof/>
          <w:sz w:val="24"/>
          <w:szCs w:val="24"/>
          <w:lang w:val="en-US"/>
        </w:rPr>
        <w:tab/>
        <w:t xml:space="preserve">L. Li, “The Differences among Eyes-closed , Eyes-open and Attention States : An EEG Study,” no. </w:t>
      </w:r>
      <w:r w:rsidRPr="000464A3">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lastRenderedPageBreak/>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BC2206">
      <w:pPr>
        <w:pStyle w:val="Ttulo1"/>
        <w:numPr>
          <w:ilvl w:val="0"/>
          <w:numId w:val="15"/>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74" w:name="_Toc22095193"/>
      <w:r w:rsidR="00487240" w:rsidRPr="002A063A">
        <w:rPr>
          <w:rFonts w:eastAsia="Helvetica Neue"/>
          <w:b/>
          <w:sz w:val="24"/>
          <w:szCs w:val="24"/>
          <w:highlight w:val="white"/>
          <w:lang w:val="en-US"/>
        </w:rPr>
        <w:t>Supplementary material</w:t>
      </w:r>
      <w:bookmarkEnd w:id="74"/>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BC2206">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BC2206">
        <w:trPr>
          <w:trHeight w:val="300"/>
          <w:jc w:val="center"/>
        </w:trPr>
        <w:tc>
          <w:tcPr>
            <w:tcW w:w="763"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auto" w:fill="000000" w:themeFill="text1"/>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auto" w:fill="000000" w:themeFill="text1"/>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auto" w:fill="000000" w:themeFill="text1"/>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BC2206">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BC2206">
        <w:trPr>
          <w:trHeight w:val="519"/>
          <w:jc w:val="center"/>
        </w:trPr>
        <w:tc>
          <w:tcPr>
            <w:tcW w:w="942" w:type="dxa"/>
            <w:tcBorders>
              <w:top w:val="nil"/>
              <w:left w:val="single" w:sz="4" w:space="0" w:color="auto"/>
              <w:bottom w:val="single" w:sz="4" w:space="0" w:color="auto"/>
              <w:right w:val="single" w:sz="4" w:space="0" w:color="auto"/>
            </w:tcBorders>
            <w:shd w:val="clear" w:color="auto" w:fill="000000" w:themeFill="text1"/>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auto" w:fill="000000" w:themeFill="text1"/>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auto" w:fill="000000" w:themeFill="text1"/>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auto" w:fill="000000" w:themeFill="text1"/>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726D38" w:rsidP="00A9581B">
      <w:pPr>
        <w:rPr>
          <w:sz w:val="24"/>
          <w:szCs w:val="24"/>
          <w:highlight w:val="yellow"/>
          <w:lang w:val="en-US"/>
        </w:rPr>
      </w:pPr>
      <w:hyperlink r:id="rId60"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726D38" w:rsidP="00A9581B">
      <w:pPr>
        <w:rPr>
          <w:lang w:val="en-US"/>
        </w:rPr>
      </w:pPr>
      <w:hyperlink r:id="rId61" w:history="1">
        <w:r w:rsidR="00A9581B" w:rsidRPr="002A063A">
          <w:rPr>
            <w:rStyle w:val="Hipervnculo"/>
            <w:color w:val="auto"/>
            <w:lang w:val="en-US"/>
          </w:rPr>
          <w:t>http://fourier.eng.hmc.edu/e180/lectures/v1/node7.html</w:t>
        </w:r>
      </w:hyperlink>
    </w:p>
    <w:p w14:paraId="62BBB5BD" w14:textId="77777777" w:rsidR="00A9581B" w:rsidRPr="002A063A" w:rsidRDefault="00726D38" w:rsidP="00A9581B">
      <w:hyperlink r:id="rId62"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726D38" w:rsidP="00A9581B">
      <w:pPr>
        <w:rPr>
          <w:lang w:val="en-US"/>
        </w:rPr>
      </w:pPr>
      <w:hyperlink r:id="rId64"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726D38" w:rsidP="00A9581B">
      <w:pPr>
        <w:rPr>
          <w:lang w:val="en-US"/>
        </w:rPr>
      </w:pPr>
      <w:hyperlink r:id="rId65"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6"/>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96C42" w14:textId="77777777" w:rsidR="00726D38" w:rsidRDefault="00726D38" w:rsidP="00733246">
      <w:pPr>
        <w:spacing w:line="240" w:lineRule="auto"/>
      </w:pPr>
      <w:r>
        <w:separator/>
      </w:r>
    </w:p>
  </w:endnote>
  <w:endnote w:type="continuationSeparator" w:id="0">
    <w:p w14:paraId="1478DD1C" w14:textId="77777777" w:rsidR="00726D38" w:rsidRDefault="00726D38"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8546DD" w:rsidRDefault="008546DD">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89527" w14:textId="77777777" w:rsidR="00726D38" w:rsidRDefault="00726D38" w:rsidP="00733246">
      <w:pPr>
        <w:spacing w:line="240" w:lineRule="auto"/>
      </w:pPr>
      <w:r>
        <w:separator/>
      </w:r>
    </w:p>
  </w:footnote>
  <w:footnote w:type="continuationSeparator" w:id="0">
    <w:p w14:paraId="63B8C45D" w14:textId="77777777" w:rsidR="00726D38" w:rsidRDefault="00726D38"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370BBC"/>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4"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5"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6"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7" w15:restartNumberingAfterBreak="0">
    <w:nsid w:val="41F05050"/>
    <w:multiLevelType w:val="multilevel"/>
    <w:tmpl w:val="A042ADD0"/>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10"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2"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4"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
  </w:num>
  <w:num w:numId="3">
    <w:abstractNumId w:val="10"/>
  </w:num>
  <w:num w:numId="4">
    <w:abstractNumId w:val="4"/>
  </w:num>
  <w:num w:numId="5">
    <w:abstractNumId w:val="13"/>
  </w:num>
  <w:num w:numId="6">
    <w:abstractNumId w:val="0"/>
  </w:num>
  <w:num w:numId="7">
    <w:abstractNumId w:val="6"/>
  </w:num>
  <w:num w:numId="8">
    <w:abstractNumId w:val="9"/>
  </w:num>
  <w:num w:numId="9">
    <w:abstractNumId w:val="5"/>
  </w:num>
  <w:num w:numId="10">
    <w:abstractNumId w:val="3"/>
  </w:num>
  <w:num w:numId="11">
    <w:abstractNumId w:val="11"/>
  </w:num>
  <w:num w:numId="12">
    <w:abstractNumId w:val="14"/>
  </w:num>
  <w:num w:numId="13">
    <w:abstractNumId w:val="8"/>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4DEB"/>
    <w:rsid w:val="00115158"/>
    <w:rsid w:val="00125CCF"/>
    <w:rsid w:val="00127C97"/>
    <w:rsid w:val="001302D7"/>
    <w:rsid w:val="00130455"/>
    <w:rsid w:val="00130EDF"/>
    <w:rsid w:val="00131E6B"/>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D7D07"/>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E14AC"/>
    <w:rsid w:val="002E555E"/>
    <w:rsid w:val="002E5A4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2F81"/>
    <w:rsid w:val="0046714B"/>
    <w:rsid w:val="004671B1"/>
    <w:rsid w:val="00470576"/>
    <w:rsid w:val="00470DEE"/>
    <w:rsid w:val="004710C5"/>
    <w:rsid w:val="00476825"/>
    <w:rsid w:val="00477C8A"/>
    <w:rsid w:val="00481526"/>
    <w:rsid w:val="0048161A"/>
    <w:rsid w:val="00483760"/>
    <w:rsid w:val="00487240"/>
    <w:rsid w:val="00487D67"/>
    <w:rsid w:val="00487DB5"/>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2621"/>
    <w:rsid w:val="004F77D8"/>
    <w:rsid w:val="005009BA"/>
    <w:rsid w:val="00501333"/>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4E12"/>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45A0"/>
    <w:rsid w:val="006F65AC"/>
    <w:rsid w:val="006F707E"/>
    <w:rsid w:val="006F7B6A"/>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38"/>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B25"/>
    <w:rsid w:val="00765CE3"/>
    <w:rsid w:val="00770A8C"/>
    <w:rsid w:val="0077317D"/>
    <w:rsid w:val="00776EBA"/>
    <w:rsid w:val="007777A5"/>
    <w:rsid w:val="00777C68"/>
    <w:rsid w:val="00780768"/>
    <w:rsid w:val="00780E5D"/>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507"/>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44B9"/>
    <w:rsid w:val="00896729"/>
    <w:rsid w:val="0089719B"/>
    <w:rsid w:val="008A0410"/>
    <w:rsid w:val="008A1617"/>
    <w:rsid w:val="008A4118"/>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4214"/>
    <w:rsid w:val="00AF511E"/>
    <w:rsid w:val="00B004DC"/>
    <w:rsid w:val="00B01A42"/>
    <w:rsid w:val="00B05B12"/>
    <w:rsid w:val="00B06755"/>
    <w:rsid w:val="00B10F70"/>
    <w:rsid w:val="00B23BA4"/>
    <w:rsid w:val="00B24100"/>
    <w:rsid w:val="00B245A7"/>
    <w:rsid w:val="00B259CB"/>
    <w:rsid w:val="00B259FA"/>
    <w:rsid w:val="00B27E56"/>
    <w:rsid w:val="00B34282"/>
    <w:rsid w:val="00B3708C"/>
    <w:rsid w:val="00B37186"/>
    <w:rsid w:val="00B3773F"/>
    <w:rsid w:val="00B40032"/>
    <w:rsid w:val="00B444FE"/>
    <w:rsid w:val="00B46F23"/>
    <w:rsid w:val="00B47265"/>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C2206"/>
    <w:rsid w:val="00BD01B6"/>
    <w:rsid w:val="00BD0B50"/>
    <w:rsid w:val="00BE02F0"/>
    <w:rsid w:val="00BE4681"/>
    <w:rsid w:val="00BE477E"/>
    <w:rsid w:val="00BF0A91"/>
    <w:rsid w:val="00BF131C"/>
    <w:rsid w:val="00BF212B"/>
    <w:rsid w:val="00BF33CC"/>
    <w:rsid w:val="00BF4C40"/>
    <w:rsid w:val="00BF53CF"/>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4836"/>
    <w:rsid w:val="00C849BC"/>
    <w:rsid w:val="00C8531A"/>
    <w:rsid w:val="00C921BE"/>
    <w:rsid w:val="00CA0395"/>
    <w:rsid w:val="00CA12F2"/>
    <w:rsid w:val="00CA19E5"/>
    <w:rsid w:val="00CA244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4D33"/>
    <w:rsid w:val="00D7607F"/>
    <w:rsid w:val="00D76325"/>
    <w:rsid w:val="00D76AB2"/>
    <w:rsid w:val="00D77106"/>
    <w:rsid w:val="00D778EF"/>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031"/>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389300150">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ni9310/Thesis_stimuli" TargetMode="External"/><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hyperlink" Target="https://github.com/danni9310/Thesis_group_2" TargetMode="Externa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hyperlink" Target="https://www.sciencedirect.com/topics/medicine-and-dentistry/factor-analysis" TargetMode="External"/><Relationship Id="rId32" Type="http://schemas.microsoft.com/office/2007/relationships/diagramDrawing" Target="diagrams/drawing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fourier.eng.hmc.edu/e180/lectures/v1/node7.html" TargetMode="Externa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yperlink" Target="https://mlsauce.wordpress.com/2018/06/12/simple-and-complex-cells-in-the-visual-cortex-inspiring-the-sauce/" TargetMode="External"/><Relationship Id="rId8" Type="http://schemas.openxmlformats.org/officeDocument/2006/relationships/hyperlink" Target="mailto:john.ochoa@udea.edu.co"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github.com/danni9310/Thesis_stimuli" TargetMode="External"/><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yperlink" Target="https://slideplayer.com/slide/98319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github.com/jlizier/jidt/wiki/Downloads" TargetMode="External"/><Relationship Id="rId28" Type="http://schemas.openxmlformats.org/officeDocument/2006/relationships/diagramData" Target="diagrams/data1.xml"/><Relationship Id="rId36" Type="http://schemas.openxmlformats.org/officeDocument/2006/relationships/image" Target="media/image17.png"/><Relationship Id="rId49" Type="http://schemas.openxmlformats.org/officeDocument/2006/relationships/hyperlink" Target="https://github.com/danni9310/Thesis_group_1" TargetMode="External"/><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diagramColors" Target="diagrams/colors1.xml"/><Relationship Id="rId44" Type="http://schemas.openxmlformats.org/officeDocument/2006/relationships/image" Target="media/image25.gif"/><Relationship Id="rId52" Type="http://schemas.openxmlformats.org/officeDocument/2006/relationships/image" Target="media/image31.png"/><Relationship Id="rId60" Type="http://schemas.openxmlformats.org/officeDocument/2006/relationships/hyperlink" Target="http://wiki.bethanycrane.com/introducingtheeye" TargetMode="External"/><Relationship Id="rId65" Type="http://schemas.openxmlformats.org/officeDocument/2006/relationships/hyperlink" Target="https://www.researchgate.net/publication/277310946_Dynamic_Field_Theory_of_Visuospatial_Cognition/figures?lo=1"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A89C3940-E737-4190-A175-01E6EECA8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56</Pages>
  <Words>57046</Words>
  <Characters>313757</Characters>
  <Application>Microsoft Office Word</Application>
  <DocSecurity>0</DocSecurity>
  <Lines>2614</Lines>
  <Paragraphs>740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19</cp:revision>
  <cp:lastPrinted>2018-12-09T23:17:00Z</cp:lastPrinted>
  <dcterms:created xsi:type="dcterms:W3CDTF">2019-10-15T11:59:00Z</dcterms:created>
  <dcterms:modified xsi:type="dcterms:W3CDTF">2019-10-27T16:21:00Z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