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ind w:left="0" w:firstLine="0"/>
        <w:rPr>
          <w:rFonts w:ascii="Times New Roman"/>
          <w:sz w:val="19"/>
        </w:rPr>
      </w:pPr>
    </w:p>
    <w:p>
      <w:pPr>
        <w:pStyle w:val="BodyText"/>
        <w:spacing w:after="0"/>
        <w:rPr>
          <w:rFonts w:ascii="Times New Roman"/>
          <w:sz w:val="19"/>
        </w:rPr>
        <w:sectPr>
          <w:type w:val="continuous"/>
          <w:pgSz w:w="11930" w:h="16860"/>
          <w:pgMar w:top="400" w:bottom="280" w:left="708" w:right="992"/>
        </w:sect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163"/>
        <w:ind w:left="0" w:firstLine="0"/>
        <w:rPr>
          <w:rFonts w:ascii="Times New Roman"/>
          <w:sz w:val="28"/>
        </w:rPr>
      </w:pPr>
    </w:p>
    <w:p>
      <w:pPr>
        <w:pStyle w:val="Title"/>
        <w:spacing w:line="259" w:lineRule="auto"/>
        <w:ind w:left="4345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461644</wp:posOffset>
            </wp:positionH>
            <wp:positionV relativeFrom="paragraph">
              <wp:posOffset>-865123</wp:posOffset>
            </wp:positionV>
            <wp:extent cx="2903855" cy="48704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80"/>
        </w:rPr>
        <w:t>TALLER</w:t>
      </w:r>
      <w:r>
        <w:rPr>
          <w:color w:val="008080"/>
          <w:spacing w:val="-20"/>
        </w:rPr>
        <w:t> </w:t>
      </w:r>
      <w:r>
        <w:rPr>
          <w:color w:val="008080"/>
        </w:rPr>
        <w:t>DE</w:t>
      </w:r>
      <w:r>
        <w:rPr>
          <w:color w:val="008080"/>
          <w:spacing w:val="-19"/>
        </w:rPr>
        <w:t> </w:t>
      </w:r>
      <w:r>
        <w:rPr>
          <w:color w:val="008080"/>
        </w:rPr>
        <w:t>DISCUSIÓN</w:t>
      </w:r>
      <w:r>
        <w:rPr>
          <w:color w:val="008080"/>
          <w:spacing w:val="-20"/>
        </w:rPr>
        <w:t> </w:t>
      </w:r>
      <w:r>
        <w:rPr>
          <w:color w:val="008080"/>
        </w:rPr>
        <w:t>N°3 </w:t>
      </w:r>
      <w:r>
        <w:rPr>
          <w:color w:val="008080"/>
          <w:spacing w:val="-2"/>
        </w:rPr>
        <w:t>INMUNIDAD</w:t>
      </w:r>
    </w:p>
    <w:p>
      <w:pPr>
        <w:pStyle w:val="Title"/>
        <w:spacing w:before="92"/>
        <w:ind w:firstLine="0"/>
      </w:pPr>
      <w:r>
        <w:rPr>
          <w:b w:val="0"/>
        </w:rPr>
        <w:br w:type="column"/>
      </w:r>
      <w:r>
        <w:rPr>
          <w:color w:val="008080"/>
        </w:rPr>
        <w:t>AÑO</w:t>
      </w:r>
      <w:r>
        <w:rPr>
          <w:color w:val="008080"/>
          <w:spacing w:val="-3"/>
        </w:rPr>
        <w:t> </w:t>
      </w:r>
      <w:r>
        <w:rPr>
          <w:color w:val="008080"/>
          <w:spacing w:val="-4"/>
        </w:rPr>
        <w:t>2025</w:t>
      </w:r>
    </w:p>
    <w:p>
      <w:pPr>
        <w:pStyle w:val="Title"/>
        <w:spacing w:after="0"/>
        <w:sectPr>
          <w:type w:val="continuous"/>
          <w:pgSz w:w="11930" w:h="16860"/>
          <w:pgMar w:top="400" w:bottom="280" w:left="708" w:right="992"/>
          <w:cols w:num="2" w:equalWidth="0">
            <w:col w:w="6924" w:space="1822"/>
            <w:col w:w="1484"/>
          </w:cols>
        </w:sectPr>
      </w:pPr>
    </w:p>
    <w:p>
      <w:pPr>
        <w:pStyle w:val="BodyText"/>
        <w:spacing w:before="0"/>
        <w:ind w:left="0" w:firstLine="0"/>
        <w:rPr>
          <w:rFonts w:ascii="Arial"/>
          <w:b/>
        </w:rPr>
      </w:pPr>
    </w:p>
    <w:p>
      <w:pPr>
        <w:pStyle w:val="BodyText"/>
        <w:spacing w:before="81"/>
        <w:ind w:left="0" w:firstLine="0"/>
        <w:rPr>
          <w:rFonts w:ascii="Arial"/>
          <w:b/>
        </w:rPr>
      </w:pPr>
    </w:p>
    <w:p>
      <w:pPr>
        <w:pStyle w:val="Heading1"/>
      </w:pPr>
      <w:r>
        <w:rPr/>
        <w:t>SEMANA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117" w:after="0"/>
        <w:ind w:left="975" w:right="0" w:hanging="358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entiende</w:t>
      </w:r>
      <w:r>
        <w:rPr>
          <w:spacing w:val="-7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inmunidad?</w:t>
      </w:r>
      <w:r>
        <w:rPr>
          <w:spacing w:val="-6"/>
          <w:sz w:val="24"/>
        </w:rPr>
        <w:t> </w:t>
      </w:r>
      <w:r>
        <w:rPr>
          <w:sz w:val="24"/>
        </w:rPr>
        <w:t>Defina</w:t>
      </w:r>
      <w:r>
        <w:rPr>
          <w:spacing w:val="-6"/>
          <w:sz w:val="24"/>
        </w:rPr>
        <w:t> </w:t>
      </w:r>
      <w:r>
        <w:rPr>
          <w:sz w:val="24"/>
        </w:rPr>
        <w:t>inmunidad</w:t>
      </w:r>
      <w:r>
        <w:rPr>
          <w:spacing w:val="-7"/>
          <w:sz w:val="24"/>
        </w:rPr>
        <w:t> </w:t>
      </w:r>
      <w:r>
        <w:rPr>
          <w:sz w:val="24"/>
        </w:rPr>
        <w:t>innata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adaptativa.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49" w:lineRule="auto" w:before="122" w:after="0"/>
        <w:ind w:left="977" w:right="20" w:hanging="360"/>
        <w:jc w:val="both"/>
        <w:rPr>
          <w:sz w:val="24"/>
        </w:rPr>
      </w:pPr>
      <w:r>
        <w:rPr>
          <w:sz w:val="24"/>
        </w:rPr>
        <w:t>Describa los componentes tisulares (barreras), celulares (células dendríticas, macrófagos, neutrófilos y células NK), humorales (complemento, proteína C reactiva, lectinas de unión a manosa) y las citoquinas que participan en la inmunidad innata.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49" w:lineRule="auto" w:before="112" w:after="0"/>
        <w:ind w:left="977" w:right="18" w:hanging="360"/>
        <w:jc w:val="both"/>
        <w:rPr>
          <w:sz w:val="24"/>
        </w:rPr>
      </w:pPr>
      <w:r>
        <w:rPr>
          <w:sz w:val="24"/>
        </w:rPr>
        <w:t>¿Qué son los patrones moleculares asociados a patógenos (PAMPs) y a daño (DAMPs), y mediante qué mecanismos son reconocidos por los componentes de inmunidad innata para iniciar una respuesta frente a infecciones o lesiones tisulares?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49" w:lineRule="auto" w:before="111" w:after="0"/>
        <w:ind w:left="977" w:right="27" w:hanging="360"/>
        <w:jc w:val="both"/>
        <w:rPr>
          <w:sz w:val="24"/>
        </w:rPr>
      </w:pPr>
      <w:r>
        <w:rPr>
          <w:sz w:val="24"/>
        </w:rPr>
        <w:t>Describa los componentes celulares (linfocitos T y B), humorales (anticuerpos) y las citoquinas que participan en la inmunidad adaptativa.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52" w:lineRule="auto" w:before="108" w:after="0"/>
        <w:ind w:left="977" w:right="30" w:hanging="360"/>
        <w:jc w:val="both"/>
        <w:rPr>
          <w:sz w:val="24"/>
        </w:rPr>
      </w:pPr>
      <w:r>
        <w:rPr>
          <w:sz w:val="24"/>
        </w:rPr>
        <w:t>¿Qué condiciones debe reunir una molécula para ser un antígeno o inmunógeno? ¿Qué es un epitope? Explique polivalencia y poliespecificidad de antígenos.</w:t>
      </w:r>
    </w:p>
    <w:p>
      <w:pPr>
        <w:pStyle w:val="BodyText"/>
        <w:spacing w:before="227"/>
        <w:ind w:left="0" w:firstLine="0"/>
      </w:pPr>
    </w:p>
    <w:p>
      <w:pPr>
        <w:pStyle w:val="Heading1"/>
      </w:pPr>
      <w:r>
        <w:rPr/>
        <w:t>SEMANA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49" w:lineRule="auto" w:before="120" w:after="0"/>
        <w:ind w:left="977" w:right="27" w:hanging="360"/>
        <w:jc w:val="both"/>
        <w:rPr>
          <w:sz w:val="24"/>
        </w:rPr>
      </w:pPr>
      <w:r>
        <w:rPr>
          <w:sz w:val="24"/>
        </w:rPr>
        <w:t>¿Cómo se reconocen los antígenos (receptor de linfocito T, complejo mayor de histocompatibilidad (CMH), anticuerpos)?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49" w:lineRule="auto" w:before="111" w:after="0"/>
        <w:ind w:left="977" w:right="25" w:hanging="360"/>
        <w:jc w:val="both"/>
        <w:rPr>
          <w:sz w:val="24"/>
        </w:rPr>
      </w:pPr>
      <w:r>
        <w:rPr>
          <w:sz w:val="24"/>
        </w:rPr>
        <w:t>¿Cómo logran los linfocitos reconocer específicamente al antígeno? Explique la selección y maduración de los linfocitos T y B.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49" w:lineRule="auto" w:before="108" w:after="0"/>
        <w:ind w:left="977" w:right="19" w:hanging="360"/>
        <w:jc w:val="both"/>
        <w:rPr>
          <w:sz w:val="24"/>
        </w:rPr>
      </w:pPr>
      <w:r>
        <w:rPr>
          <w:sz w:val="24"/>
        </w:rPr>
        <w:t>Describa los mecanismos de captura y presentación de antígenos. Discuta las vías de procesamiento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antígenos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involucran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CMH</w:t>
      </w:r>
      <w:r>
        <w:rPr>
          <w:spacing w:val="-6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I-linfocito</w:t>
      </w:r>
      <w:r>
        <w:rPr>
          <w:spacing w:val="-7"/>
          <w:sz w:val="24"/>
        </w:rPr>
        <w:t> </w:t>
      </w:r>
      <w:r>
        <w:rPr>
          <w:sz w:val="24"/>
        </w:rPr>
        <w:t>T</w:t>
      </w:r>
      <w:r>
        <w:rPr>
          <w:spacing w:val="-7"/>
          <w:sz w:val="24"/>
        </w:rPr>
        <w:t> </w:t>
      </w:r>
      <w:r>
        <w:rPr>
          <w:sz w:val="24"/>
        </w:rPr>
        <w:t>CD8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CMH</w:t>
      </w:r>
      <w:r>
        <w:rPr>
          <w:spacing w:val="-6"/>
          <w:sz w:val="24"/>
        </w:rPr>
        <w:t> </w:t>
      </w:r>
      <w:r>
        <w:rPr>
          <w:sz w:val="24"/>
        </w:rPr>
        <w:t>tipo</w:t>
      </w:r>
      <w:r>
        <w:rPr>
          <w:spacing w:val="-7"/>
          <w:sz w:val="24"/>
        </w:rPr>
        <w:t> </w:t>
      </w:r>
      <w:r>
        <w:rPr>
          <w:sz w:val="24"/>
        </w:rPr>
        <w:t>II-</w:t>
      </w:r>
      <w:r>
        <w:rPr>
          <w:spacing w:val="-4"/>
          <w:sz w:val="24"/>
        </w:rPr>
        <w:t> </w:t>
      </w:r>
      <w:r>
        <w:rPr>
          <w:sz w:val="24"/>
        </w:rPr>
        <w:t>linfocito T CD4.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77" w:val="left" w:leader="none"/>
        </w:tabs>
        <w:spacing w:line="249" w:lineRule="auto" w:before="111" w:after="0"/>
        <w:ind w:left="977" w:right="26" w:hanging="360"/>
        <w:jc w:val="both"/>
        <w:rPr>
          <w:sz w:val="24"/>
        </w:rPr>
      </w:pPr>
      <w:r>
        <w:rPr>
          <w:sz w:val="24"/>
        </w:rPr>
        <w:t>¿Cuáles son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mecanismos efectores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concluye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respuesta inmune?</w:t>
      </w:r>
      <w:r>
        <w:rPr>
          <w:spacing w:val="-3"/>
          <w:sz w:val="24"/>
        </w:rPr>
        <w:t> </w:t>
      </w:r>
      <w:r>
        <w:rPr>
          <w:sz w:val="24"/>
        </w:rPr>
        <w:t>Activación</w:t>
      </w:r>
      <w:r>
        <w:rPr>
          <w:spacing w:val="-2"/>
          <w:sz w:val="24"/>
        </w:rPr>
        <w:t> </w:t>
      </w:r>
      <w:r>
        <w:rPr>
          <w:sz w:val="24"/>
        </w:rPr>
        <w:t>de macrófagos, linfocitos B y producción de anticuerpos, linfocitos B y T memoria, lisis celular (linfocito T CD8, células NK, complemento), inflamación.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111" w:after="0"/>
        <w:ind w:left="975" w:right="0" w:hanging="358"/>
        <w:jc w:val="both"/>
        <w:rPr>
          <w:sz w:val="24"/>
        </w:rPr>
      </w:pPr>
      <w:r>
        <w:rPr>
          <w:sz w:val="24"/>
        </w:rPr>
        <w:t>Caracterice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respuestas</w:t>
      </w:r>
      <w:r>
        <w:rPr>
          <w:spacing w:val="-6"/>
          <w:sz w:val="24"/>
        </w:rPr>
        <w:t> </w:t>
      </w:r>
      <w:r>
        <w:rPr>
          <w:sz w:val="24"/>
        </w:rPr>
        <w:t>adaptativas</w:t>
      </w:r>
      <w:r>
        <w:rPr>
          <w:spacing w:val="-9"/>
          <w:sz w:val="24"/>
        </w:rPr>
        <w:t> </w:t>
      </w:r>
      <w:r>
        <w:rPr>
          <w:sz w:val="24"/>
        </w:rPr>
        <w:t>primaria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secundaria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-8"/>
          <w:sz w:val="24"/>
        </w:rPr>
        <w:t> </w:t>
      </w:r>
      <w:r>
        <w:rPr>
          <w:sz w:val="24"/>
        </w:rPr>
        <w:t>ingreso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antígenos.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122" w:after="0"/>
        <w:ind w:left="975" w:right="0" w:hanging="358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diferencias</w:t>
      </w:r>
      <w:r>
        <w:rPr>
          <w:spacing w:val="-7"/>
          <w:sz w:val="24"/>
        </w:rPr>
        <w:t> </w:t>
      </w:r>
      <w:r>
        <w:rPr>
          <w:sz w:val="24"/>
        </w:rPr>
        <w:t>entre</w:t>
      </w:r>
      <w:r>
        <w:rPr>
          <w:spacing w:val="-5"/>
          <w:sz w:val="24"/>
        </w:rPr>
        <w:t> </w:t>
      </w:r>
      <w:r>
        <w:rPr>
          <w:sz w:val="24"/>
        </w:rPr>
        <w:t>inmunidad</w:t>
      </w:r>
      <w:r>
        <w:rPr>
          <w:spacing w:val="-6"/>
          <w:sz w:val="24"/>
        </w:rPr>
        <w:t> </w:t>
      </w:r>
      <w:r>
        <w:rPr>
          <w:sz w:val="24"/>
        </w:rPr>
        <w:t>pasiva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activa.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ejemplos.</w:t>
      </w:r>
    </w:p>
    <w:p>
      <w:pPr>
        <w:pStyle w:val="BodyText"/>
        <w:spacing w:before="242"/>
        <w:ind w:left="0" w:firstLine="0"/>
      </w:pPr>
    </w:p>
    <w:p>
      <w:pPr>
        <w:pStyle w:val="Heading1"/>
        <w:ind w:left="660"/>
      </w:pPr>
      <w:r>
        <w:rPr/>
        <w:t>BIBLIOGRAFÍA</w:t>
      </w:r>
      <w:r>
        <w:rPr>
          <w:spacing w:val="-10"/>
        </w:rPr>
        <w:t> </w:t>
      </w:r>
      <w:r>
        <w:rPr>
          <w:spacing w:val="-2"/>
        </w:rPr>
        <w:t>RECOMENDADA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120" w:after="0"/>
        <w:ind w:left="977" w:right="0" w:hanging="360"/>
        <w:jc w:val="left"/>
        <w:rPr>
          <w:sz w:val="24"/>
        </w:rPr>
      </w:pPr>
      <w:r>
        <w:rPr>
          <w:sz w:val="24"/>
        </w:rPr>
        <w:t>Teóricos</w:t>
      </w:r>
      <w:r>
        <w:rPr>
          <w:spacing w:val="-8"/>
          <w:sz w:val="24"/>
        </w:rPr>
        <w:t> </w:t>
      </w:r>
      <w:r>
        <w:rPr>
          <w:sz w:val="24"/>
        </w:rPr>
        <w:t>alojados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entorno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educativo.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21" w:after="0"/>
        <w:ind w:left="977" w:right="0" w:hanging="360"/>
        <w:jc w:val="left"/>
        <w:rPr>
          <w:sz w:val="24"/>
        </w:rPr>
      </w:pPr>
      <w:r>
        <w:rPr>
          <w:sz w:val="24"/>
        </w:rPr>
        <w:t>Inmunología</w:t>
      </w:r>
      <w:r>
        <w:rPr>
          <w:spacing w:val="-4"/>
          <w:sz w:val="24"/>
        </w:rPr>
        <w:t> </w:t>
      </w:r>
      <w:r>
        <w:rPr>
          <w:sz w:val="24"/>
        </w:rPr>
        <w:t>celular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molecular.</w:t>
      </w:r>
      <w:r>
        <w:rPr>
          <w:spacing w:val="-6"/>
          <w:sz w:val="24"/>
        </w:rPr>
        <w:t> </w:t>
      </w:r>
      <w:r>
        <w:rPr>
          <w:sz w:val="24"/>
        </w:rPr>
        <w:t>Abul</w:t>
      </w:r>
      <w:r>
        <w:rPr>
          <w:spacing w:val="-7"/>
          <w:sz w:val="24"/>
        </w:rPr>
        <w:t> </w:t>
      </w:r>
      <w:r>
        <w:rPr>
          <w:sz w:val="24"/>
        </w:rPr>
        <w:t>K.</w:t>
      </w:r>
      <w:r>
        <w:rPr>
          <w:spacing w:val="-6"/>
          <w:sz w:val="24"/>
        </w:rPr>
        <w:t> </w:t>
      </w:r>
      <w:r>
        <w:rPr>
          <w:sz w:val="24"/>
        </w:rPr>
        <w:t>Abbas,</w:t>
      </w:r>
      <w:r>
        <w:rPr>
          <w:spacing w:val="-7"/>
          <w:sz w:val="24"/>
        </w:rPr>
        <w:t> </w:t>
      </w:r>
      <w:r>
        <w:rPr>
          <w:sz w:val="24"/>
        </w:rPr>
        <w:t>Andrew</w:t>
      </w:r>
      <w:r>
        <w:rPr>
          <w:spacing w:val="-7"/>
          <w:sz w:val="24"/>
        </w:rPr>
        <w:t> </w:t>
      </w:r>
      <w:r>
        <w:rPr>
          <w:sz w:val="24"/>
        </w:rPr>
        <w:t>H.</w:t>
      </w:r>
      <w:r>
        <w:rPr>
          <w:spacing w:val="-6"/>
          <w:sz w:val="24"/>
        </w:rPr>
        <w:t> </w:t>
      </w:r>
      <w:r>
        <w:rPr>
          <w:sz w:val="24"/>
        </w:rPr>
        <w:t>Lichtman,</w:t>
      </w:r>
      <w:r>
        <w:rPr>
          <w:spacing w:val="-5"/>
          <w:sz w:val="24"/>
        </w:rPr>
        <w:t> </w:t>
      </w:r>
      <w:r>
        <w:rPr>
          <w:sz w:val="24"/>
        </w:rPr>
        <w:t>Shiv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Pillai.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22" w:after="0"/>
        <w:ind w:left="977" w:right="0" w:hanging="360"/>
        <w:jc w:val="left"/>
        <w:rPr>
          <w:sz w:val="24"/>
        </w:rPr>
      </w:pPr>
      <w:r>
        <w:rPr>
          <w:sz w:val="24"/>
        </w:rPr>
        <w:t>Introducción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Inmunología</w:t>
      </w:r>
      <w:r>
        <w:rPr>
          <w:spacing w:val="-4"/>
          <w:sz w:val="24"/>
        </w:rPr>
        <w:t> </w:t>
      </w:r>
      <w:r>
        <w:rPr>
          <w:sz w:val="24"/>
        </w:rPr>
        <w:t>Humana.</w:t>
      </w:r>
      <w:r>
        <w:rPr>
          <w:spacing w:val="-4"/>
          <w:sz w:val="24"/>
        </w:rPr>
        <w:t> </w:t>
      </w:r>
      <w:r>
        <w:rPr>
          <w:sz w:val="24"/>
        </w:rPr>
        <w:t>L.</w:t>
      </w:r>
      <w:r>
        <w:rPr>
          <w:spacing w:val="-6"/>
          <w:sz w:val="24"/>
        </w:rPr>
        <w:t> </w:t>
      </w:r>
      <w:r>
        <w:rPr>
          <w:sz w:val="24"/>
        </w:rPr>
        <w:t>Fainboim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J.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Geffner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22" w:after="0"/>
        <w:ind w:left="977" w:right="0" w:hanging="360"/>
        <w:jc w:val="left"/>
        <w:rPr>
          <w:sz w:val="24"/>
        </w:rPr>
      </w:pPr>
      <w:r>
        <w:rPr>
          <w:sz w:val="24"/>
        </w:rPr>
        <w:t>Ross.</w:t>
      </w:r>
      <w:r>
        <w:rPr>
          <w:spacing w:val="-12"/>
          <w:sz w:val="24"/>
        </w:rPr>
        <w:t> </w:t>
      </w:r>
      <w:r>
        <w:rPr>
          <w:sz w:val="24"/>
        </w:rPr>
        <w:t>Histología:</w:t>
      </w:r>
      <w:r>
        <w:rPr>
          <w:spacing w:val="-12"/>
          <w:sz w:val="24"/>
        </w:rPr>
        <w:t> </w:t>
      </w:r>
      <w:r>
        <w:rPr>
          <w:sz w:val="24"/>
        </w:rPr>
        <w:t>Texto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Atlas.</w:t>
      </w:r>
    </w:p>
    <w:sectPr>
      <w:type w:val="continuous"/>
      <w:pgSz w:w="11930" w:h="16860"/>
      <w:pgMar w:top="400" w:bottom="280" w:left="708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77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7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11"/>
      <w:ind w:left="977" w:hanging="360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05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8" w:hanging="1155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977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Valverde</dc:creator>
  <dcterms:created xsi:type="dcterms:W3CDTF">2025-07-26T17:07:05Z</dcterms:created>
  <dcterms:modified xsi:type="dcterms:W3CDTF">2025-07-26T17:07:05Z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2025-07-26T00:00:00Z</vt:filetime>
  </property>
  <property fmtid="{D5CDD505-2E9C-101B-9397-08002B2CF9AE}" pid="5" name="Producer">
    <vt:lpwstr>Microsoft® Word para Microsoft 365</vt:lpwstr>
  </property>
</Properties>
</file>