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${codigo</w:t>
      </w:r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522C4251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${marca</w:t>
      </w:r>
      <w:r w:rsidRPr="00B44098">
        <w:rPr>
          <w:rFonts w:ascii="Tahoma" w:hAnsi="Tahoma" w:cs="Tahoma"/>
          <w:b/>
          <w:sz w:val="20"/>
          <w:szCs w:val="20"/>
        </w:rPr>
        <w:t>}</w:t>
      </w:r>
      <w:bookmarkStart w:id="0" w:name="_GoBack"/>
      <w:bookmarkEnd w:id="0"/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B44098">
        <w:rPr>
          <w:rFonts w:ascii="Tahoma" w:hAnsi="Tahoma" w:cs="Tahoma"/>
          <w:b/>
          <w:sz w:val="20"/>
          <w:szCs w:val="20"/>
        </w:rPr>
        <w:t>${nit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17C926EF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${nombre_proyecto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</w:t>
      </w:r>
      <w:r w:rsidR="00407B3C">
        <w:rPr>
          <w:b/>
        </w:rPr>
        <w:t xml:space="preserve"> </w:t>
      </w:r>
      <w:r w:rsidR="00510B5D" w:rsidRPr="005F47C8">
        <w:rPr>
          <w:b/>
        </w:rPr>
        <w:t xml:space="preserve"> </w:t>
      </w:r>
      <w:r w:rsidR="007C244D">
        <w:rPr>
          <w:b/>
        </w:rPr>
        <w:t>${</w:t>
      </w:r>
      <w:r w:rsidR="00BF2B24">
        <w:rPr>
          <w:rFonts w:ascii="Tahoma" w:hAnsi="Tahoma" w:cs="Tahoma"/>
          <w:b/>
          <w:sz w:val="20"/>
          <w:szCs w:val="20"/>
        </w:rPr>
        <w:t>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6C929AC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1D65D3" w:rsidRPr="00FE6347">
        <w:rPr>
          <w:rFonts w:ascii="Tahoma" w:hAnsi="Tahoma" w:cs="Tahoma"/>
          <w:b/>
          <w:sz w:val="20"/>
          <w:szCs w:val="20"/>
        </w:rPr>
        <w:t>${letras}</w:t>
      </w:r>
      <w:r w:rsidR="00970748" w:rsidRPr="00FE634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FE6347">
        <w:rPr>
          <w:b/>
          <w:szCs w:val="24"/>
        </w:rPr>
        <w:t>M/CTE INCLUIDO IVA (</w:t>
      </w:r>
      <w:r w:rsidR="00706045">
        <w:rPr>
          <w:b/>
          <w:szCs w:val="24"/>
        </w:rPr>
        <w:t xml:space="preserve">$ </w:t>
      </w:r>
      <w:r w:rsidR="00970748" w:rsidRPr="00FE6347">
        <w:rPr>
          <w:b/>
          <w:szCs w:val="24"/>
        </w:rPr>
        <w:t>$</w:t>
      </w:r>
      <w:r w:rsidR="001D65D3" w:rsidRPr="00FE6347">
        <w:rPr>
          <w:b/>
          <w:szCs w:val="24"/>
        </w:rPr>
        <w:t>{valor_total_contrato}</w:t>
      </w:r>
      <w:r w:rsidR="00970748" w:rsidRPr="00FE6347">
        <w:rPr>
          <w:b/>
          <w:szCs w:val="24"/>
        </w:rPr>
        <w:t>).</w:t>
      </w:r>
      <w:r w:rsidR="00970748" w:rsidRPr="00BC263F">
        <w:rPr>
          <w:b/>
          <w:szCs w:val="24"/>
        </w:rPr>
        <w:t xml:space="preserve"> </w:t>
      </w:r>
    </w:p>
    <w:p w14:paraId="6BCBF230" w14:textId="75F1F6BF" w:rsidR="00F16593" w:rsidRDefault="00F16593" w:rsidP="00C9774A">
      <w:pPr>
        <w:spacing w:after="0" w:line="240" w:lineRule="auto"/>
        <w:jc w:val="both"/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${nombre_proyecto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58989D4C" w14:textId="77777777" w:rsidR="00AF057E" w:rsidRPr="00AF057E" w:rsidRDefault="00AF057E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14:paraId="254CAE26" w14:textId="1A69014A" w:rsidR="00AF057E" w:rsidRPr="00051608" w:rsidRDefault="002D67FA" w:rsidP="00AF05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${tabla</w:t>
      </w:r>
      <w:r w:rsidR="00AF057E" w:rsidRPr="00B44098">
        <w:rPr>
          <w:rFonts w:ascii="Tahoma" w:hAnsi="Tahoma" w:cs="Tahoma"/>
          <w:b/>
          <w:sz w:val="20"/>
          <w:szCs w:val="20"/>
        </w:rPr>
        <w:t>}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0A546EE2" w14:textId="55052002" w:rsidR="00F555AB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Certicol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>eclaración de 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 xml:space="preserve">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obstante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</w:t>
      </w:r>
      <w:r w:rsidR="006005EB">
        <w:rPr>
          <w:rFonts w:ascii="Tahoma" w:hAnsi="Tahoma" w:cs="Tahoma"/>
          <w:b/>
          <w:sz w:val="20"/>
          <w:szCs w:val="20"/>
        </w:rPr>
        <w:lastRenderedPageBreak/>
        <w:t>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>l CONTRATISTA acusara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FE6347" w:rsidRPr="00FE6347">
        <w:rPr>
          <w:rFonts w:ascii="Tahoma" w:hAnsi="Tahoma" w:cs="Tahoma"/>
          <w:b/>
          <w:sz w:val="20"/>
          <w:szCs w:val="20"/>
        </w:rPr>
        <w:t xml:space="preserve">${letras} </w:t>
      </w:r>
      <w:r w:rsidR="00FE6347" w:rsidRPr="00FE6347">
        <w:rPr>
          <w:b/>
          <w:szCs w:val="24"/>
        </w:rPr>
        <w:t>M/CTE INCLUIDO IVA (</w:t>
      </w:r>
      <w:r w:rsidR="00400D23">
        <w:rPr>
          <w:b/>
          <w:szCs w:val="24"/>
        </w:rPr>
        <w:t xml:space="preserve">$ </w:t>
      </w:r>
      <w:r w:rsidR="00FE6347" w:rsidRPr="00FE6347">
        <w:rPr>
          <w:b/>
          <w:szCs w:val="24"/>
        </w:rPr>
        <w:t>${valor_total_contrato}).</w:t>
      </w:r>
      <w:r w:rsidR="00FE6347" w:rsidRPr="00BC263F">
        <w:rPr>
          <w:b/>
          <w:szCs w:val="24"/>
        </w:rPr>
        <w:t xml:space="preserve"> 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r w:rsidR="00467B95" w:rsidRPr="00051608">
        <w:rPr>
          <w:rFonts w:ascii="Tahoma" w:hAnsi="Tahoma" w:cs="Tahoma"/>
          <w:sz w:val="20"/>
          <w:szCs w:val="20"/>
        </w:rPr>
        <w:t>entregará</w:t>
      </w:r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>La vigencia de la prestación del servicio de inspección de instalaciones eléctricas iniciara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</w:t>
      </w:r>
      <w:r w:rsidR="00D02AFB" w:rsidRPr="00051608">
        <w:rPr>
          <w:rFonts w:ascii="Tahoma" w:hAnsi="Tahoma" w:cs="Tahoma"/>
          <w:b/>
          <w:sz w:val="20"/>
          <w:szCs w:val="20"/>
        </w:rPr>
        <w:lastRenderedPageBreak/>
        <w:t>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r w:rsidR="00D02AFB" w:rsidRPr="00051608">
        <w:rPr>
          <w:rFonts w:ascii="Tahoma" w:hAnsi="Tahoma" w:cs="Tahoma"/>
          <w:sz w:val="20"/>
          <w:szCs w:val="20"/>
        </w:rPr>
        <w:t xml:space="preserve">las modificación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>El presente contrato se perfeccionara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31 días</w:t>
      </w:r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B2E8D1" w14:textId="1DF98695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08ACBA67" w14:textId="3DD030BB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2EE60323" w14:textId="0C692836" w:rsidR="003B648C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1491"/>
        <w:gridCol w:w="4580"/>
      </w:tblGrid>
      <w:tr w:rsidR="00C95CBD" w14:paraId="2045943B" w14:textId="77777777" w:rsidTr="00C95CBD">
        <w:trPr>
          <w:trHeight w:val="1354"/>
        </w:trPr>
        <w:tc>
          <w:tcPr>
            <w:tcW w:w="3891" w:type="dxa"/>
            <w:shd w:val="clear" w:color="auto" w:fill="auto"/>
          </w:tcPr>
          <w:p w14:paraId="2C81C572" w14:textId="61E049E2" w:rsidR="00C95CBD" w:rsidRPr="00970748" w:rsidRDefault="00AC14E2" w:rsidP="00297334">
            <w:pPr>
              <w:pStyle w:val="Sinespaciado"/>
              <w:rPr>
                <w:b/>
              </w:rPr>
            </w:pPr>
            <w:r w:rsidRPr="00D055EB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747F5597" wp14:editId="0D505FCC">
                  <wp:simplePos x="0" y="0"/>
                  <wp:positionH relativeFrom="margin">
                    <wp:posOffset>-64712</wp:posOffset>
                  </wp:positionH>
                  <wp:positionV relativeFrom="paragraph">
                    <wp:posOffset>149860</wp:posOffset>
                  </wp:positionV>
                  <wp:extent cx="1581150" cy="680745"/>
                  <wp:effectExtent l="0" t="0" r="0" b="508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6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91" w:type="dxa"/>
          </w:tcPr>
          <w:p w14:paraId="098071A5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1F948882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297334" w14:paraId="3C67F50E" w14:textId="77777777" w:rsidTr="00C95CBD">
        <w:tc>
          <w:tcPr>
            <w:tcW w:w="3891" w:type="dxa"/>
            <w:shd w:val="clear" w:color="auto" w:fill="auto"/>
          </w:tcPr>
          <w:p w14:paraId="3CDD23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JUAN MANUEL LEON</w:t>
            </w:r>
          </w:p>
          <w:p w14:paraId="31E20AB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C.C 1.061.687.912 Popayán</w:t>
            </w:r>
          </w:p>
          <w:p w14:paraId="4682E98F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Representante Legal</w:t>
            </w:r>
          </w:p>
          <w:p w14:paraId="6BBA55E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Certificaciones de Colombia Certicol S.A.S</w:t>
            </w:r>
          </w:p>
          <w:p w14:paraId="23E961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NIT: 900.481.877-1</w:t>
            </w:r>
          </w:p>
          <w:p w14:paraId="611B83F9" w14:textId="779D7C33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970748">
              <w:rPr>
                <w:b/>
              </w:rPr>
              <w:t>CONTRATISTA</w:t>
            </w:r>
          </w:p>
        </w:tc>
        <w:tc>
          <w:tcPr>
            <w:tcW w:w="1491" w:type="dxa"/>
          </w:tcPr>
          <w:p w14:paraId="5ECE673A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5F204BE6" w14:textId="71B8EFA4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${nombres}</w:t>
            </w:r>
          </w:p>
          <w:p w14:paraId="2FFF529C" w14:textId="77777777" w:rsidR="00BF0D7B" w:rsidRPr="00CA33EB" w:rsidRDefault="00BF0D7B" w:rsidP="00BF0D7B">
            <w:pPr>
              <w:pStyle w:val="Sinespaciad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${marca</w:t>
            </w:r>
            <w:r w:rsidRPr="00B44098">
              <w:rPr>
                <w:rFonts w:ascii="Tahoma" w:hAnsi="Tahoma" w:cs="Tahoma"/>
                <w:b/>
                <w:sz w:val="20"/>
                <w:szCs w:val="20"/>
              </w:rPr>
              <w:t>}</w:t>
            </w:r>
            <w:r w:rsidRPr="00534A17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.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${nit</w:t>
            </w:r>
            <w:r w:rsidRPr="00B44098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1B371B4D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467B95">
              <w:rPr>
                <w:rFonts w:ascii="Tahoma" w:hAnsi="Tahoma" w:cs="Tahoma"/>
                <w:b/>
                <w:sz w:val="20"/>
                <w:szCs w:val="20"/>
              </w:rPr>
              <w:t>representa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13EB335E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${empresa}</w:t>
            </w:r>
          </w:p>
          <w:p w14:paraId="395F6FF9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${nit_empresa}</w:t>
            </w:r>
          </w:p>
          <w:p w14:paraId="77A2D23A" w14:textId="2B9CCC89" w:rsidR="00297334" w:rsidRP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 w:rsidRPr="00970748">
              <w:rPr>
                <w:b/>
              </w:rPr>
              <w:t>CONTRATANTE</w:t>
            </w:r>
          </w:p>
        </w:tc>
      </w:tr>
    </w:tbl>
    <w:p w14:paraId="39384FA6" w14:textId="77777777" w:rsidR="00297334" w:rsidRPr="00613750" w:rsidRDefault="00297334" w:rsidP="00297334">
      <w:pPr>
        <w:rPr>
          <w:rFonts w:ascii="Tahoma" w:hAnsi="Tahoma" w:cs="Tahoma"/>
          <w:b/>
          <w:sz w:val="20"/>
          <w:szCs w:val="20"/>
          <w:u w:val="single"/>
        </w:rPr>
      </w:pPr>
    </w:p>
    <w:sectPr w:rsidR="00297334" w:rsidRPr="00613750" w:rsidSect="004B2F69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134D0" w14:textId="77777777" w:rsidR="00D709FA" w:rsidRDefault="00D709FA" w:rsidP="00F41FDB">
      <w:pPr>
        <w:spacing w:after="0" w:line="240" w:lineRule="auto"/>
      </w:pPr>
      <w:r>
        <w:separator/>
      </w:r>
    </w:p>
  </w:endnote>
  <w:endnote w:type="continuationSeparator" w:id="0">
    <w:p w14:paraId="1DCDBA95" w14:textId="77777777" w:rsidR="00D709FA" w:rsidRDefault="00D709FA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051D1B23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DF347A">
              <w:rPr>
                <w:b/>
                <w:bCs/>
                <w:noProof/>
              </w:rPr>
              <w:t>1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DF347A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8FF00" w14:textId="77777777" w:rsidR="00D709FA" w:rsidRDefault="00D709FA" w:rsidP="00F41FDB">
      <w:pPr>
        <w:spacing w:after="0" w:line="240" w:lineRule="auto"/>
      </w:pPr>
      <w:r>
        <w:separator/>
      </w:r>
    </w:p>
  </w:footnote>
  <w:footnote w:type="continuationSeparator" w:id="0">
    <w:p w14:paraId="4ECF7521" w14:textId="77777777" w:rsidR="00D709FA" w:rsidRDefault="00D709FA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D709FA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D709FA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D709FA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23D3D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D65D3"/>
    <w:rsid w:val="001E25C3"/>
    <w:rsid w:val="001E2CF2"/>
    <w:rsid w:val="001E4886"/>
    <w:rsid w:val="001E624B"/>
    <w:rsid w:val="001E732C"/>
    <w:rsid w:val="001F2533"/>
    <w:rsid w:val="001F626E"/>
    <w:rsid w:val="001F66CB"/>
    <w:rsid w:val="001F79B6"/>
    <w:rsid w:val="00200C42"/>
    <w:rsid w:val="00201189"/>
    <w:rsid w:val="0020376E"/>
    <w:rsid w:val="00203948"/>
    <w:rsid w:val="00205167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97334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D67F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3DE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C6CF7"/>
    <w:rsid w:val="003D4021"/>
    <w:rsid w:val="003D7216"/>
    <w:rsid w:val="003E1C9A"/>
    <w:rsid w:val="003E53DC"/>
    <w:rsid w:val="003E6C3D"/>
    <w:rsid w:val="003F16A2"/>
    <w:rsid w:val="003F511A"/>
    <w:rsid w:val="003F7BD0"/>
    <w:rsid w:val="00400D23"/>
    <w:rsid w:val="004040C8"/>
    <w:rsid w:val="00404FE1"/>
    <w:rsid w:val="0040520D"/>
    <w:rsid w:val="00405A73"/>
    <w:rsid w:val="00407B3C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67B95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0A5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B46FB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29EE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06045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4926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C4A24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0261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4B02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0AAB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96D59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14E2"/>
    <w:rsid w:val="00AC4380"/>
    <w:rsid w:val="00AC6BA9"/>
    <w:rsid w:val="00AD1919"/>
    <w:rsid w:val="00AD4DE9"/>
    <w:rsid w:val="00AD7D0A"/>
    <w:rsid w:val="00AF057E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509C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0D7B"/>
    <w:rsid w:val="00BF1AAC"/>
    <w:rsid w:val="00BF2B24"/>
    <w:rsid w:val="00BF73E7"/>
    <w:rsid w:val="00C05ED3"/>
    <w:rsid w:val="00C0629F"/>
    <w:rsid w:val="00C06C07"/>
    <w:rsid w:val="00C07982"/>
    <w:rsid w:val="00C10F04"/>
    <w:rsid w:val="00C16CD0"/>
    <w:rsid w:val="00C20CAE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5CBD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709FA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347A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1816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1E6B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477AF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E6347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BC54D-C896-4E64-A522-46BA620CF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1719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Ingeniero4</cp:lastModifiedBy>
  <cp:revision>60</cp:revision>
  <cp:lastPrinted>2017-07-31T20:01:00Z</cp:lastPrinted>
  <dcterms:created xsi:type="dcterms:W3CDTF">2017-08-02T16:13:00Z</dcterms:created>
  <dcterms:modified xsi:type="dcterms:W3CDTF">2017-12-01T18:10:00Z</dcterms:modified>
</cp:coreProperties>
</file>