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140"/>
              <w:bottom w:type="dxa" w:w="100"/>
              <w:right w:type="dxa" w:w="140"/>
            </w:tcMar>
          </w:tcPr>
          <w:p>
            <w:pPr>
              <w:spacing w:after="60" w:before="120"/>
              <w:jc w:val="left"/>
            </w:pPr>
            <w:r>
              <w:rPr>
                <w:rFonts w:ascii="Arial" w:cs="Arial" w:eastAsia="Arial" w:hAnsi="Arial"/>
                <w:b/>
                <w:bCs/>
                <w:color w:val="4F8EF7"/>
                <w:sz w:val="18"/>
                <w:szCs w:val="18"/>
              </w:rPr>
              <w:t xml:space="preserve">INVESTOR RECORD ANALYSIS</w:t>
            </w:r>
          </w:p>
          <w:p>
            <w:pPr>
              <w:spacing w:after="80" w:before="0"/>
              <w:jc w:val="left"/>
            </w:pPr>
            <w:r>
              <w:rPr>
                <w:rFonts w:ascii="Arial" w:cs="Arial" w:eastAsia="Arial" w:hAnsi="Arial"/>
                <w:b/>
                <w:bCs/>
                <w:color w:val="FFFFFF"/>
                <w:sz w:val="32"/>
                <w:szCs w:val="32"/>
              </w:rPr>
              <w:t xml:space="preserve">HealthTech Capital — Scraper QA &amp; LLM Agent Workflow Report</w:t>
            </w:r>
          </w:p>
          <w:p>
            <w:pPr>
              <w:spacing w:after="120" w:before="0"/>
            </w:pPr>
            <w:r>
              <w:rPr>
                <w:rFonts w:ascii="Arial" w:cs="Arial" w:eastAsia="Arial" w:hAnsi="Arial"/>
                <w:color w:val="C5D9F7"/>
                <w:sz w:val="19"/>
                <w:szCs w:val="19"/>
              </w:rPr>
              <w:t xml:space="preserve">health-erecords · Investor Outreach Pipeline · June 2026</w:t>
            </w:r>
          </w:p>
        </w:tc>
      </w:tr>
    </w:tbl>
    <w:p>
      <w:pPr>
        <w:spacing w:after="100" w:before="60"/>
        <w:jc w:val="left"/>
      </w:pPr>
      <w:r>
        <w:rPr>
          <w:rFonts w:ascii="Arial" w:cs="Arial" w:eastAsia="Arial" w:hAnsi="Arial"/>
          <w:b w:val="false"/>
          <w:bCs w:val="false"/>
          <w:i w:val="false"/>
          <w:iCs w:val="false"/>
          <w:color w:val="222222"/>
          <w:sz w:val="20"/>
          <w:szCs w:val="20"/>
        </w:rPr>
        <w:t xml:space="preserve"/>
      </w:r>
    </w:p>
    <w:p>
      <w:pPr>
        <w:spacing w:after="100" w:before="60"/>
        <w:jc w:val="left"/>
      </w:pPr>
      <w:r>
        <w:rPr>
          <w:rFonts w:ascii="Arial" w:cs="Arial" w:eastAsia="Arial" w:hAnsi="Arial"/>
          <w:b w:val="false"/>
          <w:bCs w:val="false"/>
          <w:i w:val="false"/>
          <w:iCs w:val="false"/>
          <w:color w:val="6B7280"/>
          <w:sz w:val="20"/>
          <w:szCs w:val="20"/>
        </w:rPr>
        <w:t xml:space="preserve">This report audits a scraped investor record returned for HealthTech Capital and provides a structured set of findings, data quality scores, and a step-by-step LLM agent remediation workflow for revisiting and correcting this record class at scale.</w:t>
      </w:r>
    </w:p>
    <w:p>
      <w:pPr>
        <w:pBdr>
          <w:bottom w:val="single" w:color="C5D9F7" w:sz="2" w:space="1"/>
        </w:pBdr>
        <w:spacing w:after="160" w:before="160"/>
      </w:pPr>
    </w:p>
    <w:p>
      <w:pPr>
        <w:pStyle w:val="Heading2"/>
        <w:pBdr>
          <w:bottom w:val="single" w:color="4F8EF7" w:sz="4" w:space="4"/>
        </w:pBdr>
        <w:spacing w:after="100" w:before="280"/>
      </w:pPr>
      <w:r>
        <w:rPr>
          <w:rFonts w:ascii="Arial" w:cs="Arial" w:eastAsia="Arial" w:hAnsi="Arial"/>
          <w:b/>
          <w:bCs/>
          <w:color w:val="1A1A2E"/>
          <w:sz w:val="26"/>
          <w:szCs w:val="26"/>
        </w:rPr>
        <w:t xml:space="preserve">1. Record Identity — What Was Actually Scraped</w:t>
      </w:r>
    </w:p>
    <w:tbl>
      <w:tblPr>
        <w:tblW w:type="dxa" w:w="9360"/>
        <w:tblBorders>
          <w:top w:val="single" w:color="EF4444" w:sz="1"/>
          <w:left w:val="single" w:color="EF4444" w:sz="1"/>
          <w:bottom w:val="single" w:color="EF4444" w:sz="1"/>
          <w:right w:val="single" w:color="EF4444"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F4444" w:val="clear"/>
            <w:tcMar>
              <w:top w:type="dxa" w:w="100"/>
              <w:left w:type="dxa" w:w="140"/>
              <w:bottom w:type="dxa" w:w="100"/>
              <w:right w:type="dxa" w:w="140"/>
            </w:tcMar>
          </w:tcPr>
          <w:p/>
        </w:tc>
        <w:tc>
          <w:tcPr>
            <w:tcW w:type="dxa" w:w="9160"/>
            <w:tcBorders>
              <w:top w:val="none" w:color="FFFFFF" w:sz="0"/>
              <w:left w:val="none" w:color="FFFFFF" w:sz="0"/>
              <w:bottom w:val="none" w:color="FFFFFF" w:sz="0"/>
              <w:right w:val="none" w:color="FFFFFF" w:sz="0"/>
            </w:tcBorders>
            <w:shd w:fill="EAF1FF" w:val="clear"/>
            <w:tcMar>
              <w:top w:type="dxa" w:w="100"/>
              <w:left w:type="dxa" w:w="140"/>
              <w:bottom w:type="dxa" w:w="100"/>
              <w:right w:type="dxa" w:w="140"/>
            </w:tcMar>
          </w:tcPr>
          <w:p>
            <w:pPr>
              <w:spacing w:after="40" w:before="60"/>
            </w:pPr>
            <w:r>
              <w:rPr>
                <w:rFonts w:ascii="Arial" w:cs="Arial" w:eastAsia="Arial" w:hAnsi="Arial"/>
                <w:b/>
                <w:bCs/>
                <w:color w:val="EF4444"/>
                <w:sz w:val="20"/>
                <w:szCs w:val="20"/>
              </w:rPr>
              <w:t xml:space="preserve">Critical Misidentification</w:t>
            </w:r>
          </w:p>
          <w:p>
            <w:pPr>
              <w:spacing w:after="80" w:before="0"/>
            </w:pPr>
            <w:r>
              <w:rPr>
                <w:rFonts w:ascii="Arial" w:cs="Arial" w:eastAsia="Arial" w:hAnsi="Arial"/>
                <w:color w:val="333333"/>
                <w:sz w:val="19"/>
                <w:szCs w:val="19"/>
              </w:rPr>
              <w:t xml:space="preserve">The investorName field contains 'OMADA HEALTH IPO' — this is not the investor. Omada Health is a portfolio company that recently went public. The scraper appears to have captured a prominent headline or news item from healthtechcapital.com and promoted it to the primary entity name field. The actual investor entity is HealthTech Capital.</w:t>
            </w:r>
          </w:p>
        </w:tc>
      </w:tr>
    </w:tbl>
    <w:p>
      <w:pPr>
        <w:spacing w:after="100" w:before="60"/>
        <w:jc w:val="left"/>
      </w:pPr>
      <w:r>
        <w:rPr>
          <w:rFonts w:ascii="Arial" w:cs="Arial" w:eastAsia="Arial" w:hAnsi="Arial"/>
          <w:b w:val="false"/>
          <w:bCs w:val="false"/>
          <w:i w:val="false"/>
          <w:iCs w:val="false"/>
          <w:color w:val="222222"/>
          <w:sz w:val="20"/>
          <w:szCs w:val="20"/>
        </w:rPr>
        <w:t xml:space="preserve"/>
      </w:r>
    </w:p>
    <w:p>
      <w:pPr>
        <w:spacing w:after="100" w:before="60"/>
        <w:jc w:val="left"/>
      </w:pPr>
      <w:r>
        <w:rPr>
          <w:rFonts w:ascii="Arial" w:cs="Arial" w:eastAsia="Arial" w:hAnsi="Arial"/>
          <w:b/>
          <w:bCs/>
          <w:i w:val="false"/>
          <w:iCs w:val="false"/>
          <w:color w:val="222222"/>
          <w:sz w:val="20"/>
          <w:szCs w:val="20"/>
        </w:rPr>
        <w:t xml:space="preserve">Correct entity resolution:</w:t>
      </w:r>
    </w:p>
    <w:p>
      <w:pPr>
        <w:pStyle w:val="ListParagraph"/>
        <w:numPr>
          <w:ilvl w:val="0"/>
          <w:numId w:val="2"/>
        </w:numPr>
        <w:spacing w:after="60" w:before="40"/>
      </w:pPr>
      <w:r>
        <w:rPr>
          <w:rFonts w:ascii="Arial" w:cs="Arial" w:eastAsia="Arial" w:hAnsi="Arial"/>
          <w:b w:val="false"/>
          <w:bCs w:val="false"/>
          <w:color w:val="222222"/>
          <w:sz w:val="20"/>
          <w:szCs w:val="20"/>
        </w:rPr>
        <w:t xml:space="preserve">Investor: HealthTech Capital</w:t>
      </w:r>
    </w:p>
    <w:p>
      <w:pPr>
        <w:pStyle w:val="ListParagraph"/>
        <w:numPr>
          <w:ilvl w:val="0"/>
          <w:numId w:val="2"/>
        </w:numPr>
        <w:spacing w:after="60" w:before="40"/>
      </w:pPr>
      <w:r>
        <w:rPr>
          <w:rFonts w:ascii="Arial" w:cs="Arial" w:eastAsia="Arial" w:hAnsi="Arial"/>
          <w:b w:val="false"/>
          <w:bCs w:val="false"/>
          <w:color w:val="222222"/>
          <w:sz w:val="20"/>
          <w:szCs w:val="20"/>
        </w:rPr>
        <w:t xml:space="preserve">Website: healthtechcapital.com</w:t>
      </w:r>
    </w:p>
    <w:p>
      <w:pPr>
        <w:pStyle w:val="ListParagraph"/>
        <w:numPr>
          <w:ilvl w:val="0"/>
          <w:numId w:val="2"/>
        </w:numPr>
        <w:spacing w:after="60" w:before="40"/>
      </w:pPr>
      <w:r>
        <w:rPr>
          <w:rFonts w:ascii="Arial" w:cs="Arial" w:eastAsia="Arial" w:hAnsi="Arial"/>
          <w:b w:val="false"/>
          <w:bCs w:val="false"/>
          <w:color w:val="222222"/>
          <w:sz w:val="20"/>
          <w:szCs w:val="20"/>
        </w:rPr>
        <w:t xml:space="preserve">Structure: Angel group / early-stage syndicate (Selection Committee model)</w:t>
      </w:r>
    </w:p>
    <w:p>
      <w:pPr>
        <w:pStyle w:val="ListParagraph"/>
        <w:numPr>
          <w:ilvl w:val="0"/>
          <w:numId w:val="2"/>
        </w:numPr>
        <w:spacing w:after="60" w:before="40"/>
      </w:pPr>
      <w:r>
        <w:rPr>
          <w:rFonts w:ascii="Arial" w:cs="Arial" w:eastAsia="Arial" w:hAnsi="Arial"/>
          <w:b w:val="false"/>
          <w:bCs w:val="false"/>
          <w:color w:val="222222"/>
          <w:sz w:val="20"/>
          <w:szCs w:val="20"/>
        </w:rPr>
        <w:t xml:space="preserve">Notable exit in record: Omada Health (OMDA) — IPO June 2025, $1.1B valuation, $150M raised</w:t>
      </w:r>
    </w:p>
    <w:p>
      <w:pPr>
        <w:spacing w:after="100" w:before="60"/>
        <w:jc w:val="left"/>
      </w:pPr>
      <w:r>
        <w:rPr>
          <w:rFonts w:ascii="Arial" w:cs="Arial" w:eastAsia="Arial" w:hAnsi="Arial"/>
          <w:b w:val="false"/>
          <w:bCs w:val="false"/>
          <w:i w:val="false"/>
          <w:iCs w:val="false"/>
          <w:color w:val="222222"/>
          <w:sz w:val="20"/>
          <w:szCs w:val="20"/>
        </w:rPr>
        <w:t xml:space="preserve"/>
      </w:r>
    </w:p>
    <w:p>
      <w:pPr>
        <w:spacing w:after="100" w:before="60"/>
        <w:jc w:val="left"/>
      </w:pPr>
      <w:r>
        <w:rPr>
          <w:rFonts w:ascii="Arial" w:cs="Arial" w:eastAsia="Arial" w:hAnsi="Arial"/>
          <w:b w:val="false"/>
          <w:bCs w:val="false"/>
          <w:i w:val="false"/>
          <w:iCs w:val="false"/>
          <w:color w:val="EF4444"/>
          <w:sz w:val="20"/>
          <w:szCs w:val="20"/>
        </w:rPr>
        <w:t xml:space="preserve">This error would cause every downstream process — CRM entry, mail merge, personalization — to be corrupted. It is the highest-priority fix in this record.</w:t>
      </w:r>
    </w:p>
    <w:p>
      <w:pPr>
        <w:pBdr>
          <w:bottom w:val="single" w:color="C5D9F7" w:sz="2" w:space="1"/>
        </w:pBdr>
        <w:spacing w:after="160" w:before="160"/>
      </w:pPr>
    </w:p>
    <w:p>
      <w:pPr>
        <w:pStyle w:val="Heading2"/>
        <w:pBdr>
          <w:bottom w:val="single" w:color="4F8EF7" w:sz="4" w:space="4"/>
        </w:pBdr>
        <w:spacing w:after="100" w:before="280"/>
      </w:pPr>
      <w:r>
        <w:rPr>
          <w:rFonts w:ascii="Arial" w:cs="Arial" w:eastAsia="Arial" w:hAnsi="Arial"/>
          <w:b/>
          <w:bCs/>
          <w:color w:val="1A1A2E"/>
          <w:sz w:val="26"/>
          <w:szCs w:val="26"/>
        </w:rPr>
        <w:t xml:space="preserve">2. Field-by-Field Data Quality Audit</w:t>
      </w:r>
    </w:p>
    <w:p>
      <w:pPr>
        <w:spacing w:after="10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3200"/>
        <w:gridCol w:w="1400"/>
        <w:gridCol w:w="4760"/>
      </w:tblGrid>
      <w:tr>
        <w:trPr>
          <w:tblHeader/>
        </w:trPr>
        <w:tc>
          <w:tcPr>
            <w:tcW w:type="dxa" w:w="3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7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r>
              <w:rPr>
                <w:rFonts w:ascii="Arial" w:cs="Arial" w:eastAsia="Arial" w:hAnsi="Arial"/>
                <w:b/>
                <w:bCs/>
                <w:color w:val="FFFFFF"/>
                <w:sz w:val="20"/>
                <w:szCs w:val="20"/>
              </w:rPr>
              <w:t xml:space="preserve">Issue / Recommendation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22222"/>
                <w:sz w:val="19"/>
                <w:szCs w:val="19"/>
              </w:rPr>
              <w:t xml:space="preserve">investorName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EF4444"/>
                <w:sz w:val="19"/>
                <w:szCs w:val="19"/>
              </w:rPr>
              <w:t xml:space="preserve">❌ Error</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Contains 'OMADA HEALTH IPO' — should be 'HealthTech Capital'. Scraper captured a news/portfolio headline as the entity name.</w:t>
            </w:r>
          </w:p>
        </w:tc>
      </w:tr>
      <w:tr>
        <w:tc>
          <w:tcPr>
            <w:tcW w:type="dxa" w:w="32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color w:val="222222"/>
                <w:sz w:val="19"/>
                <w:szCs w:val="19"/>
              </w:rPr>
              <w:t xml:space="preserve">website</w:t>
            </w:r>
          </w:p>
        </w:tc>
        <w:tc>
          <w:tcPr>
            <w:tcW w:type="dxa" w:w="14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b/>
                <w:bCs/>
                <w:color w:val="10B981"/>
                <w:sz w:val="19"/>
                <w:szCs w:val="19"/>
              </w:rPr>
              <w:t xml:space="preserve">✅ OK</w:t>
            </w:r>
          </w:p>
        </w:tc>
        <w:tc>
          <w:tcPr>
            <w:tcW w:type="dxa" w:w="476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color w:val="333333"/>
                <w:sz w:val="19"/>
                <w:szCs w:val="19"/>
              </w:rPr>
              <w:t xml:space="preserve">healthtechcapital.com is correct.</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22222"/>
                <w:sz w:val="19"/>
                <w:szCs w:val="19"/>
              </w:rPr>
              <w:t xml:space="preserve">focusNiches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0B981"/>
                <w:sz w:val="19"/>
                <w:szCs w:val="19"/>
              </w:rPr>
              <w:t xml:space="preserve">✅ OK</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HealthTech, AI/ML, Developer Tools, Consumer Tech — consistent with portfolio evidence.</w:t>
            </w:r>
          </w:p>
        </w:tc>
      </w:tr>
      <w:tr>
        <w:tc>
          <w:tcPr>
            <w:tcW w:type="dxa" w:w="32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color w:val="222222"/>
                <w:sz w:val="19"/>
                <w:szCs w:val="19"/>
              </w:rPr>
              <w:t xml:space="preserve">relevanceScore</w:t>
            </w:r>
          </w:p>
        </w:tc>
        <w:tc>
          <w:tcPr>
            <w:tcW w:type="dxa" w:w="14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b/>
                <w:bCs/>
                <w:color w:val="F59E0B"/>
                <w:sz w:val="19"/>
                <w:szCs w:val="19"/>
              </w:rPr>
              <w:t xml:space="preserve">⚠️ Warn</w:t>
            </w:r>
          </w:p>
        </w:tc>
        <w:tc>
          <w:tcPr>
            <w:tcW w:type="dxa" w:w="476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color w:val="333333"/>
                <w:sz w:val="19"/>
                <w:szCs w:val="19"/>
              </w:rPr>
              <w:t xml:space="preserve">Score of 10/10 may be inflated. Validate against actual thesis fit before outreach prioritization.</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22222"/>
                <w:sz w:val="19"/>
                <w:szCs w:val="19"/>
              </w:rPr>
              <w:t xml:space="preserve">contactEmails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EF4444"/>
                <w:sz w:val="19"/>
                <w:szCs w:val="19"/>
              </w:rPr>
              <w:t xml:space="preserve">❌ Error</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Empty array. No direct outreach path. Critical gap for a fundraising workflow.</w:t>
            </w:r>
          </w:p>
        </w:tc>
      </w:tr>
      <w:tr>
        <w:tc>
          <w:tcPr>
            <w:tcW w:type="dxa" w:w="32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color w:val="222222"/>
                <w:sz w:val="19"/>
                <w:szCs w:val="19"/>
              </w:rPr>
              <w:t xml:space="preserve">phoneNumbers</w:t>
            </w:r>
          </w:p>
        </w:tc>
        <w:tc>
          <w:tcPr>
            <w:tcW w:type="dxa" w:w="14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b/>
                <w:bCs/>
                <w:color w:val="EF4444"/>
                <w:sz w:val="19"/>
                <w:szCs w:val="19"/>
              </w:rPr>
              <w:t xml:space="preserve">❌ Error</w:t>
            </w:r>
          </w:p>
        </w:tc>
        <w:tc>
          <w:tcPr>
            <w:tcW w:type="dxa" w:w="476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color w:val="333333"/>
                <w:sz w:val="19"/>
                <w:szCs w:val="19"/>
              </w:rPr>
              <w:t xml:space="preserve">Empty. Expected for this investor type but still a gap.</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22222"/>
                <w:sz w:val="19"/>
                <w:szCs w:val="19"/>
              </w:rPr>
              <w:t xml:space="preserve">socialLinks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F59E0B"/>
                <w:sz w:val="19"/>
                <w:szCs w:val="19"/>
              </w:rPr>
              <w:t xml:space="preserve">⚠️ Warn</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Mix of valid LinkedIn profiles, Facebook, Twitter, AND portfolio company sites (wavelydx.com, sinapticatx.com, wellnessfx.com). Portfolio URLs should be separated from contact social links.</w:t>
            </w:r>
          </w:p>
        </w:tc>
      </w:tr>
      <w:tr>
        <w:tc>
          <w:tcPr>
            <w:tcW w:type="dxa" w:w="32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color w:val="222222"/>
                <w:sz w:val="19"/>
                <w:szCs w:val="19"/>
              </w:rPr>
              <w:t xml:space="preserve">teamMembers</w:t>
            </w:r>
          </w:p>
        </w:tc>
        <w:tc>
          <w:tcPr>
            <w:tcW w:type="dxa" w:w="14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b/>
                <w:bCs/>
                <w:color w:val="F59E0B"/>
                <w:sz w:val="19"/>
                <w:szCs w:val="19"/>
              </w:rPr>
              <w:t xml:space="preserve">⚠️ Warn</w:t>
            </w:r>
          </w:p>
        </w:tc>
        <w:tc>
          <w:tcPr>
            <w:tcW w:type="dxa" w:w="476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color w:val="333333"/>
                <w:sz w:val="19"/>
                <w:szCs w:val="19"/>
              </w:rPr>
              <w:t xml:space="preserve">'Selection Committee' is a placeholder, not a person. Ben Lenail, Leon Tsirkel, Carl Bouthillette, Melina Gardeazabal are real. Needs role tagging.</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22222"/>
                <w:sz w:val="19"/>
                <w:szCs w:val="19"/>
              </w:rPr>
              <w:t xml:space="preserve">portfolioCompanies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0B981"/>
                <w:sz w:val="19"/>
                <w:szCs w:val="19"/>
              </w:rPr>
              <w:t xml:space="preserve">✅ OK</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20 companies listed. 'App' entry is suspect — likely a scraping artifact. Omadahealth confirmed IPO exit.</w:t>
            </w:r>
          </w:p>
        </w:tc>
      </w:tr>
      <w:tr>
        <w:tc>
          <w:tcPr>
            <w:tcW w:type="dxa" w:w="32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color w:val="222222"/>
                <w:sz w:val="19"/>
                <w:szCs w:val="19"/>
              </w:rPr>
              <w:t xml:space="preserve">personalizedSubjectLine</w:t>
            </w:r>
          </w:p>
        </w:tc>
        <w:tc>
          <w:tcPr>
            <w:tcW w:type="dxa" w:w="14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b/>
                <w:bCs/>
                <w:color w:val="10B981"/>
                <w:sz w:val="19"/>
                <w:szCs w:val="19"/>
              </w:rPr>
              <w:t xml:space="preserve">✅ OK</w:t>
            </w:r>
          </w:p>
        </w:tc>
        <w:tc>
          <w:tcPr>
            <w:tcW w:type="dxa" w:w="476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color w:val="333333"/>
                <w:sz w:val="19"/>
                <w:szCs w:val="19"/>
              </w:rPr>
              <w:t xml:space="preserve">Functional and specific. References portfolio company correctly.</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222222"/>
                <w:sz w:val="19"/>
                <w:szCs w:val="19"/>
              </w:rPr>
              <w:t xml:space="preserve">personalizedPitchEmail</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F59E0B"/>
                <w:sz w:val="19"/>
                <w:szCs w:val="19"/>
              </w:rPr>
              <w:t xml:space="preserve">⚠️ Warn</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Opening line is generic filler. Tuesday-specific CTA is too prescriptive for a template. Core value prop is solid.</w:t>
            </w:r>
          </w:p>
        </w:tc>
      </w:tr>
      <w:tr>
        <w:tc>
          <w:tcPr>
            <w:tcW w:type="dxa" w:w="32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color w:val="222222"/>
                <w:sz w:val="19"/>
                <w:szCs w:val="19"/>
              </w:rPr>
              <w:t xml:space="preserve">personalizedProposal</w:t>
            </w:r>
          </w:p>
        </w:tc>
        <w:tc>
          <w:tcPr>
            <w:tcW w:type="dxa" w:w="14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b/>
                <w:bCs/>
                <w:color w:val="10B981"/>
                <w:sz w:val="19"/>
                <w:szCs w:val="19"/>
              </w:rPr>
              <w:t xml:space="preserve">✅ OK</w:t>
            </w:r>
          </w:p>
        </w:tc>
        <w:tc>
          <w:tcPr>
            <w:tcW w:type="dxa" w:w="476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color w:val="333333"/>
                <w:sz w:val="19"/>
                <w:szCs w:val="19"/>
              </w:rPr>
              <w:t xml:space="preserve">Concise, accurate, well-targeted to investor thesis.</w:t>
            </w:r>
          </w:p>
        </w:tc>
      </w:tr>
    </w:tbl>
    <w:p>
      <w:pPr>
        <w:pBdr>
          <w:bottom w:val="single" w:color="C5D9F7" w:sz="2" w:space="1"/>
        </w:pBdr>
        <w:spacing w:after="160" w:before="160"/>
      </w:pPr>
    </w:p>
    <w:p>
      <w:pPr>
        <w:pStyle w:val="Heading2"/>
        <w:pBdr>
          <w:bottom w:val="single" w:color="4F8EF7" w:sz="4" w:space="4"/>
        </w:pBdr>
        <w:spacing w:after="100" w:before="280"/>
      </w:pPr>
      <w:r>
        <w:rPr>
          <w:rFonts w:ascii="Arial" w:cs="Arial" w:eastAsia="Arial" w:hAnsi="Arial"/>
          <w:b/>
          <w:bCs/>
          <w:color w:val="1A1A2E"/>
          <w:sz w:val="26"/>
          <w:szCs w:val="26"/>
        </w:rPr>
        <w:t xml:space="preserve">3. Social Links — Taxonomy Problem</w:t>
      </w:r>
    </w:p>
    <w:p>
      <w:pPr>
        <w:spacing w:after="100" w:before="60"/>
        <w:jc w:val="left"/>
      </w:pPr>
      <w:r>
        <w:rPr>
          <w:rFonts w:ascii="Arial" w:cs="Arial" w:eastAsia="Arial" w:hAnsi="Arial"/>
          <w:b w:val="false"/>
          <w:bCs w:val="false"/>
          <w:i w:val="false"/>
          <w:iCs w:val="false"/>
          <w:color w:val="222222"/>
          <w:sz w:val="20"/>
          <w:szCs w:val="20"/>
        </w:rPr>
        <w:t xml:space="preserve">The socialLinks array conflates three distinct data types that should be stored separately:</w:t>
      </w:r>
    </w:p>
    <w:p>
      <w:pPr>
        <w:spacing w:after="10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2400"/>
        <w:gridCol w:w="2800"/>
        <w:gridCol w:w="4160"/>
      </w:tblGrid>
      <w:tr>
        <w:trPr>
          <w:tblHeader/>
        </w:trPr>
        <w:tc>
          <w:tcPr>
            <w:tcW w:type="dxa" w:w="240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Type</w:t>
            </w:r>
          </w:p>
        </w:tc>
        <w:tc>
          <w:tcPr>
            <w:tcW w:type="dxa" w:w="280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Examples in Record</w:t>
            </w:r>
          </w:p>
        </w:tc>
        <w:tc>
          <w:tcPr>
            <w:tcW w:type="dxa" w:w="4160"/>
            <w:tcBorders>
              <w:top w:val="single" w:color="D1D5DB" w:sz="1"/>
              <w:left w:val="single" w:color="D1D5DB" w:sz="1"/>
              <w:bottom w:val="single" w:color="D1D5DB" w:sz="1"/>
              <w:right w:val="single" w:color="D1D5DB"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Correct Field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sz w:val="19"/>
                <w:szCs w:val="19"/>
              </w:rPr>
              <w:t xml:space="preserve">Team member LinkedIn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sz w:val="19"/>
                <w:szCs w:val="19"/>
              </w:rPr>
              <w:t xml:space="preserve">linkedin.com/in/jeffrey-minkovitz-md/ (×12)</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4F8EF7"/>
                <w:sz w:val="19"/>
                <w:szCs w:val="19"/>
              </w:rPr>
              <w:t xml:space="preserve">teamMembers[n].linkedinUrl</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sz w:val="19"/>
                <w:szCs w:val="19"/>
              </w:rPr>
              <w:t xml:space="preserve">Firm social accounts</w:t>
            </w:r>
          </w:p>
        </w:tc>
        <w:tc>
          <w:tcPr>
            <w:tcW w:type="dxa" w:w="280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sz w:val="19"/>
                <w:szCs w:val="19"/>
              </w:rPr>
              <w:t xml:space="preserve">x.com/HealthTechCap, linkedin.com/company/1533571, facebook.com/221892537834738</w:t>
            </w:r>
          </w:p>
        </w:tc>
        <w:tc>
          <w:tcPr>
            <w:tcW w:type="dxa" w:w="4160"/>
            <w:tcBorders>
              <w:top w:val="single" w:color="D1D5DB" w:sz="1"/>
              <w:left w:val="single" w:color="D1D5DB" w:sz="1"/>
              <w:bottom w:val="single" w:color="D1D5DB" w:sz="1"/>
              <w:right w:val="single" w:color="D1D5DB" w:sz="1"/>
            </w:tcBorders>
            <w:shd w:fill="F8FAFF" w:val="clear"/>
            <w:tcMar>
              <w:top w:type="dxa" w:w="100"/>
              <w:left w:type="dxa" w:w="140"/>
              <w:bottom w:type="dxa" w:w="100"/>
              <w:right w:type="dxa" w:w="140"/>
            </w:tcMar>
          </w:tcPr>
          <w:p>
            <w:r>
              <w:rPr>
                <w:rFonts w:ascii="Arial" w:cs="Arial" w:eastAsia="Arial" w:hAnsi="Arial"/>
                <w:color w:val="4F8EF7"/>
                <w:sz w:val="19"/>
                <w:szCs w:val="19"/>
              </w:rPr>
              <w:t xml:space="preserve">firmSocialAccounts[]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sz w:val="19"/>
                <w:szCs w:val="19"/>
              </w:rPr>
              <w:t xml:space="preserve">Portfolio company sites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sz w:val="19"/>
                <w:szCs w:val="19"/>
              </w:rPr>
              <w:t xml:space="preserve">wavelydx.com, sinapticatx.com, wellnessfx.com</w:t>
            </w:r>
          </w:p>
        </w:tc>
        <w:tc>
          <w:tcPr>
            <w:tcW w:type="dxa" w:w="4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4F8EF7"/>
                <w:sz w:val="19"/>
                <w:szCs w:val="19"/>
              </w:rPr>
              <w:t xml:space="preserve">portfolioCompanies[n].website</w:t>
            </w:r>
          </w:p>
        </w:tc>
      </w:tr>
    </w:tbl>
    <w:p>
      <w:pPr>
        <w:pBdr>
          <w:bottom w:val="single" w:color="C5D9F7" w:sz="2" w:space="1"/>
        </w:pBdr>
        <w:spacing w:after="160" w:before="160"/>
      </w:pPr>
    </w:p>
    <w:p>
      <w:pPr>
        <w:pStyle w:val="Heading2"/>
        <w:pBdr>
          <w:bottom w:val="single" w:color="4F8EF7" w:sz="4" w:space="4"/>
        </w:pBdr>
        <w:spacing w:after="100" w:before="280"/>
      </w:pPr>
      <w:r>
        <w:rPr>
          <w:rFonts w:ascii="Arial" w:cs="Arial" w:eastAsia="Arial" w:hAnsi="Arial"/>
          <w:b/>
          <w:bCs/>
          <w:color w:val="1A1A2E"/>
          <w:sz w:val="26"/>
          <w:szCs w:val="26"/>
        </w:rPr>
        <w:t xml:space="preserve">4. Pitch Email — Specific Fixes</w:t>
      </w:r>
    </w:p>
    <w:p>
      <w:pPr>
        <w:spacing w:after="100" w:before="60"/>
        <w:jc w:val="left"/>
      </w:pPr>
      <w:r>
        <w:rPr>
          <w:rFonts w:ascii="Arial" w:cs="Arial" w:eastAsia="Arial" w:hAnsi="Arial"/>
          <w:b w:val="false"/>
          <w:bCs w:val="false"/>
          <w:i w:val="false"/>
          <w:iCs w:val="false"/>
          <w:color w:val="222222"/>
          <w:sz w:val="20"/>
          <w:szCs w:val="20"/>
        </w:rPr>
        <w:t xml:space="preserve">The generated pitch email is functional but has two correctable weaknesses:</w:t>
      </w:r>
    </w:p>
    <w:p>
      <w:pPr>
        <w:spacing w:after="10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F59E0B" w:sz="1"/>
          <w:left w:val="single" w:color="F59E0B" w:sz="1"/>
          <w:bottom w:val="single" w:color="F59E0B" w:sz="1"/>
          <w:right w:val="single" w:color="F59E0B"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9E0B" w:val="clear"/>
            <w:tcMar>
              <w:top w:type="dxa" w:w="100"/>
              <w:left w:type="dxa" w:w="140"/>
              <w:bottom w:type="dxa" w:w="100"/>
              <w:right w:type="dxa" w:w="140"/>
            </w:tcMar>
          </w:tcPr>
          <w:p/>
        </w:tc>
        <w:tc>
          <w:tcPr>
            <w:tcW w:type="dxa" w:w="9160"/>
            <w:tcBorders>
              <w:top w:val="none" w:color="FFFFFF" w:sz="0"/>
              <w:left w:val="none" w:color="FFFFFF" w:sz="0"/>
              <w:bottom w:val="none" w:color="FFFFFF" w:sz="0"/>
              <w:right w:val="none" w:color="FFFFFF" w:sz="0"/>
            </w:tcBorders>
            <w:shd w:fill="FFF7ED" w:val="clear"/>
            <w:tcMar>
              <w:top w:type="dxa" w:w="100"/>
              <w:left w:type="dxa" w:w="140"/>
              <w:bottom w:type="dxa" w:w="100"/>
              <w:right w:type="dxa" w:w="140"/>
            </w:tcMar>
          </w:tcPr>
          <w:p>
            <w:pPr>
              <w:spacing w:after="40" w:before="60"/>
            </w:pPr>
            <w:r>
              <w:rPr>
                <w:rFonts w:ascii="Arial" w:cs="Arial" w:eastAsia="Arial" w:hAnsi="Arial"/>
                <w:b/>
                <w:bCs/>
                <w:color w:val="F59E0B"/>
                <w:sz w:val="20"/>
                <w:szCs w:val="20"/>
              </w:rPr>
              <w:t xml:space="preserve">Fix 1 — Remove Generic Opener</w:t>
            </w:r>
          </w:p>
          <w:p>
            <w:pPr>
              <w:spacing w:after="80" w:before="0"/>
            </w:pPr>
            <w:r>
              <w:rPr>
                <w:rFonts w:ascii="Arial" w:cs="Arial" w:eastAsia="Arial" w:hAnsi="Arial"/>
                <w:color w:val="333333"/>
                <w:sz w:val="19"/>
                <w:szCs w:val="19"/>
              </w:rPr>
              <w:t xml:space="preserve">Replace 'Knowing HealthTech Capital's commitment to pioneering digital health...' with a direct hook referencing their Omada exit as validation of the market segment you operate in.</w:t>
            </w:r>
          </w:p>
        </w:tc>
      </w:tr>
    </w:tbl>
    <w:p>
      <w:pPr>
        <w:spacing w:after="10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F59E0B" w:sz="1"/>
          <w:left w:val="single" w:color="F59E0B" w:sz="1"/>
          <w:bottom w:val="single" w:color="F59E0B" w:sz="1"/>
          <w:right w:val="single" w:color="F59E0B"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F59E0B" w:val="clear"/>
            <w:tcMar>
              <w:top w:type="dxa" w:w="100"/>
              <w:left w:type="dxa" w:w="140"/>
              <w:bottom w:type="dxa" w:w="100"/>
              <w:right w:type="dxa" w:w="140"/>
            </w:tcMar>
          </w:tcPr>
          <w:p/>
        </w:tc>
        <w:tc>
          <w:tcPr>
            <w:tcW w:type="dxa" w:w="9160"/>
            <w:tcBorders>
              <w:top w:val="none" w:color="FFFFFF" w:sz="0"/>
              <w:left w:val="none" w:color="FFFFFF" w:sz="0"/>
              <w:bottom w:val="none" w:color="FFFFFF" w:sz="0"/>
              <w:right w:val="none" w:color="FFFFFF" w:sz="0"/>
            </w:tcBorders>
            <w:shd w:fill="FFF7ED" w:val="clear"/>
            <w:tcMar>
              <w:top w:type="dxa" w:w="100"/>
              <w:left w:type="dxa" w:w="140"/>
              <w:bottom w:type="dxa" w:w="100"/>
              <w:right w:type="dxa" w:w="140"/>
            </w:tcMar>
          </w:tcPr>
          <w:p>
            <w:pPr>
              <w:spacing w:after="40" w:before="60"/>
            </w:pPr>
            <w:r>
              <w:rPr>
                <w:rFonts w:ascii="Arial" w:cs="Arial" w:eastAsia="Arial" w:hAnsi="Arial"/>
                <w:b/>
                <w:bCs/>
                <w:color w:val="F59E0B"/>
                <w:sz w:val="20"/>
                <w:szCs w:val="20"/>
              </w:rPr>
              <w:t xml:space="preserve">Fix 2 — Generalize the CTA</w:t>
            </w:r>
          </w:p>
          <w:p>
            <w:pPr>
              <w:spacing w:after="80" w:before="0"/>
            </w:pPr>
            <w:r>
              <w:rPr>
                <w:rFonts w:ascii="Arial" w:cs="Arial" w:eastAsia="Arial" w:hAnsi="Arial"/>
                <w:color w:val="333333"/>
                <w:sz w:val="19"/>
                <w:szCs w:val="19"/>
              </w:rPr>
              <w:t xml:space="preserve">Replace 'next Tuesday' with an open-ended CTA like 'this week or next' or a Calendly-style link. Hard-coded weekday references break at scale and feel templated.</w:t>
            </w:r>
          </w:p>
        </w:tc>
      </w:tr>
    </w:tbl>
    <w:p>
      <w:pPr>
        <w:spacing w:after="100" w:before="60"/>
        <w:jc w:val="left"/>
      </w:pPr>
      <w:r>
        <w:rPr>
          <w:rFonts w:ascii="Arial" w:cs="Arial" w:eastAsia="Arial" w:hAnsi="Arial"/>
          <w:b w:val="false"/>
          <w:bCs w:val="false"/>
          <w:i w:val="false"/>
          <w:iCs w:val="false"/>
          <w:color w:val="222222"/>
          <w:sz w:val="20"/>
          <w:szCs w:val="20"/>
        </w:rPr>
        <w:t xml:space="preserve"/>
      </w:r>
    </w:p>
    <w:p>
      <w:pPr>
        <w:spacing w:after="100" w:before="60"/>
        <w:jc w:val="left"/>
      </w:pPr>
      <w:r>
        <w:rPr>
          <w:rFonts w:ascii="Arial" w:cs="Arial" w:eastAsia="Arial" w:hAnsi="Arial"/>
          <w:b/>
          <w:bCs/>
          <w:i w:val="false"/>
          <w:iCs w:val="false"/>
          <w:color w:val="1A1A2E"/>
          <w:sz w:val="20"/>
          <w:szCs w:val="20"/>
        </w:rPr>
        <w:t xml:space="preserve">Suggested revised opener:</w:t>
      </w:r>
    </w:p>
    <w:p>
      <w:pPr>
        <w:spacing w:after="100" w:before="60"/>
        <w:jc w:val="left"/>
      </w:pPr>
      <w:r>
        <w:rPr>
          <w:rFonts w:ascii="Arial" w:cs="Arial" w:eastAsia="Arial" w:hAnsi="Arial"/>
          <w:b w:val="false"/>
          <w:bCs w:val="false"/>
          <w:i/>
          <w:iCs/>
          <w:color w:val="444444"/>
          <w:sz w:val="20"/>
          <w:szCs w:val="20"/>
        </w:rPr>
        <w:t xml:space="preserve">'Your exit with Omada proves the market appetite for clinical efficiency tools at scale. health-erecords is targeting the same demand curve from the private practice side — HIPAA-compliant EHR automation that saves physicians 10+ hours weekly on intake, charting, and billing.'</w:t>
      </w:r>
    </w:p>
    <w:p>
      <w:pPr>
        <w:pBdr>
          <w:bottom w:val="single" w:color="C5D9F7" w:sz="2" w:space="1"/>
        </w:pBdr>
        <w:spacing w:after="160" w:before="160"/>
      </w:pPr>
    </w:p>
    <w:p>
      <w:pPr>
        <w:pStyle w:val="Heading2"/>
        <w:pBdr>
          <w:bottom w:val="single" w:color="4F8EF7" w:sz="4" w:space="4"/>
        </w:pBdr>
        <w:spacing w:after="100" w:before="280"/>
      </w:pPr>
      <w:r>
        <w:rPr>
          <w:rFonts w:ascii="Arial" w:cs="Arial" w:eastAsia="Arial" w:hAnsi="Arial"/>
          <w:b/>
          <w:bCs/>
          <w:color w:val="1A1A2E"/>
          <w:sz w:val="26"/>
          <w:szCs w:val="26"/>
        </w:rPr>
        <w:t xml:space="preserve">5. LLM Agent Remediation Workflow</w:t>
      </w:r>
    </w:p>
    <w:p>
      <w:pPr>
        <w:spacing w:after="100" w:before="60"/>
        <w:jc w:val="left"/>
      </w:pPr>
      <w:r>
        <w:rPr>
          <w:rFonts w:ascii="Arial" w:cs="Arial" w:eastAsia="Arial" w:hAnsi="Arial"/>
          <w:b w:val="false"/>
          <w:bCs w:val="false"/>
          <w:i w:val="false"/>
          <w:iCs w:val="false"/>
          <w:color w:val="222222"/>
          <w:sz w:val="20"/>
          <w:szCs w:val="20"/>
        </w:rPr>
        <w:t xml:space="preserve">The following pipeline should be executed by an LLM agent when revisiting any investor record of this type. Steps are ordered by dependency — early steps gate later ones.</w:t>
      </w:r>
    </w:p>
    <w:p>
      <w:pPr>
        <w:spacing w:after="10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D1D5DB" w:sz="1"/>
          <w:left w:val="single" w:color="D1D5DB" w:sz="1"/>
          <w:bottom w:val="single" w:color="D1D5DB" w:sz="1"/>
          <w:right w:val="single" w:color="D1D5DB" w:sz="1"/>
          <w:insideH w:val="single" w:color="auto" w:sz="4"/>
          <w:insideV w:val="single" w:color="auto" w:sz="4"/>
        </w:tblBorders>
      </w:tblPr>
      <w:tblGrid>
        <w:gridCol w:w="600"/>
        <w:gridCol w:w="2800"/>
        <w:gridCol w:w="5960"/>
      </w:tblGrid>
      <w:tr>
        <w:trPr>
          <w:tblHeader/>
        </w:trPr>
        <w:tc>
          <w:tcPr>
            <w:tcW w:type="dxa" w:w="600"/>
            <w:tcBorders>
              <w:top w:val="single" w:color="D1D5DB" w:sz="1"/>
              <w:left w:val="single" w:color="D1D5DB" w:sz="1"/>
              <w:bottom w:val="single" w:color="D1D5DB" w:sz="1"/>
              <w:right w:val="single" w:color="D1D5DB" w:sz="1"/>
            </w:tcBorders>
            <w:shd w:fill="4F8EF7"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800"/>
            <w:tcBorders>
              <w:top w:val="single" w:color="D1D5DB" w:sz="1"/>
              <w:left w:val="single" w:color="D1D5DB" w:sz="1"/>
              <w:bottom w:val="single" w:color="D1D5DB" w:sz="1"/>
              <w:right w:val="single" w:color="D1D5DB" w:sz="1"/>
            </w:tcBorders>
            <w:shd w:fill="4F8EF7"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5960"/>
            <w:tcBorders>
              <w:top w:val="single" w:color="D1D5DB" w:sz="1"/>
              <w:left w:val="single" w:color="D1D5DB" w:sz="1"/>
              <w:bottom w:val="single" w:color="D1D5DB" w:sz="1"/>
              <w:right w:val="single" w:color="D1D5DB" w:sz="1"/>
            </w:tcBorders>
            <w:shd w:fill="4F8EF7" w:val="clear"/>
            <w:tcMar>
              <w:top w:type="dxa" w:w="100"/>
              <w:left w:type="dxa" w:w="140"/>
              <w:bottom w:type="dxa" w:w="100"/>
              <w:right w:type="dxa" w:w="140"/>
            </w:tcMar>
          </w:tcPr>
          <w:p>
            <w:r>
              <w:rPr>
                <w:rFonts w:ascii="Arial" w:cs="Arial" w:eastAsia="Arial" w:hAnsi="Arial"/>
                <w:b/>
                <w:bCs/>
                <w:color w:val="FFFFFF"/>
                <w:sz w:val="20"/>
                <w:szCs w:val="20"/>
              </w:rPr>
              <w:t xml:space="preserve">Agent Instruction</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4F8EF7"/>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Entity Name Verification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Given investorName and website, verify: does the investorName match the entity at the website? If mismatch detected (e.g. portfolio company, news headline, product name), extract the correct firm name from the page title, About section, or domain WHOIS. Flag original value as scraper_artifact and set corrected_name.</w:t>
            </w:r>
          </w:p>
        </w:tc>
      </w:tr>
      <w:tr>
        <w:tc>
          <w:tcPr>
            <w:tcW w:type="dxa" w:w="60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b/>
                <w:bCs/>
                <w:color w:val="4F8EF7"/>
                <w:sz w:val="20"/>
                <w:szCs w:val="20"/>
              </w:rPr>
              <w:t xml:space="preserve">2</w:t>
            </w:r>
          </w:p>
        </w:tc>
        <w:tc>
          <w:tcPr>
            <w:tcW w:type="dxa" w:w="280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b/>
                <w:bCs/>
                <w:color w:val="1A1A2E"/>
                <w:sz w:val="19"/>
                <w:szCs w:val="19"/>
              </w:rPr>
              <w:t xml:space="preserve">Investor Type Classification</w:t>
            </w:r>
          </w:p>
        </w:tc>
        <w:tc>
          <w:tcPr>
            <w:tcW w:type="dxa" w:w="596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color w:val="333333"/>
                <w:sz w:val="19"/>
                <w:szCs w:val="19"/>
              </w:rPr>
              <w:t xml:space="preserve">Classify the entity as: VC Fund / Angel Group / Syndicate / Family Office / Corporate VC / Accelerator. Use team structure signals (Selection Committee = angel group), AUM mentions, and portfolio stage distribution. Store as investorType and stagePreference[].</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4F8EF7"/>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Contact Extraction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Re-scrape or search for contact emails. Try: (a) /contact page on website, (b) Crunchbase profile, (c) LinkedIn company page, (d) team member LinkedIn profiles with email inference (firstname@domain.com pattern). Flag confidence level per email found.</w:t>
            </w:r>
          </w:p>
        </w:tc>
      </w:tr>
      <w:tr>
        <w:tc>
          <w:tcPr>
            <w:tcW w:type="dxa" w:w="60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b/>
                <w:bCs/>
                <w:color w:val="4F8EF7"/>
                <w:sz w:val="20"/>
                <w:szCs w:val="20"/>
              </w:rPr>
              <w:t xml:space="preserve">4</w:t>
            </w:r>
          </w:p>
        </w:tc>
        <w:tc>
          <w:tcPr>
            <w:tcW w:type="dxa" w:w="280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b/>
                <w:bCs/>
                <w:color w:val="1A1A2E"/>
                <w:sz w:val="19"/>
                <w:szCs w:val="19"/>
              </w:rPr>
              <w:t xml:space="preserve">Social Link Taxonomy</w:t>
            </w:r>
          </w:p>
        </w:tc>
        <w:tc>
          <w:tcPr>
            <w:tcW w:type="dxa" w:w="596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color w:val="333333"/>
                <w:sz w:val="19"/>
                <w:szCs w:val="19"/>
              </w:rPr>
              <w:t xml:space="preserve">Iterate socialLinks[]. Classify each URL as: team_linkedin / firm_linkedin / firm_twitter / firm_facebook / portfolio_site / other. Move portfolio_site entries to portfolioCompanies[n].website. Move team_linkedin entries to teamMembers[n].linkedinUrl.</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4F8EF7"/>
                <w:sz w:val="20"/>
                <w:szCs w:val="20"/>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Team Member Role Tagging</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For each name in teamMembers[], infer or look up their role from LinkedIn. Tag with role: (Partner / Analyst / Selection Committee / Advisor / GP / LP). Flag 'Selection Committee' as a group placeholder, not a person.</w:t>
            </w:r>
          </w:p>
        </w:tc>
      </w:tr>
      <w:tr>
        <w:tc>
          <w:tcPr>
            <w:tcW w:type="dxa" w:w="60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b/>
                <w:bCs/>
                <w:color w:val="4F8EF7"/>
                <w:sz w:val="20"/>
                <w:szCs w:val="20"/>
              </w:rPr>
              <w:t xml:space="preserve">6</w:t>
            </w:r>
          </w:p>
        </w:tc>
        <w:tc>
          <w:tcPr>
            <w:tcW w:type="dxa" w:w="280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b/>
                <w:bCs/>
                <w:color w:val="1A1A2E"/>
                <w:sz w:val="19"/>
                <w:szCs w:val="19"/>
              </w:rPr>
              <w:t xml:space="preserve">Portfolio Deduplication</w:t>
            </w:r>
          </w:p>
        </w:tc>
        <w:tc>
          <w:tcPr>
            <w:tcW w:type="dxa" w:w="596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color w:val="333333"/>
                <w:sz w:val="19"/>
                <w:szCs w:val="19"/>
              </w:rPr>
              <w:t xml:space="preserve">Scan portfolioCompanies[] for: (a) generic entries like 'App', (b) duplicates, (c) entries that are actually the investor firm itself. Remove or flag each. Enrich remaining entries with stage, sector, and exit status (public/acquired/active).</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4F8EF7"/>
                <w:sz w:val="20"/>
                <w:szCs w:val="20"/>
              </w:rPr>
              <w:t xml:space="preserve">7</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Relevance Score Validation</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Re-score using a rubric: sector match (0-3) + stage match (0-2) + portfolio overlap signal (0-2) + team expertise fit (0-3) = max 10. If scraper score differs by &gt;2, override and log the delta.</w:t>
            </w:r>
          </w:p>
        </w:tc>
      </w:tr>
      <w:tr>
        <w:tc>
          <w:tcPr>
            <w:tcW w:type="dxa" w:w="60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b/>
                <w:bCs/>
                <w:color w:val="4F8EF7"/>
                <w:sz w:val="20"/>
                <w:szCs w:val="20"/>
              </w:rPr>
              <w:t xml:space="preserve">8</w:t>
            </w:r>
          </w:p>
        </w:tc>
        <w:tc>
          <w:tcPr>
            <w:tcW w:type="dxa" w:w="280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b/>
                <w:bCs/>
                <w:color w:val="1A1A2E"/>
                <w:sz w:val="19"/>
                <w:szCs w:val="19"/>
              </w:rPr>
              <w:t xml:space="preserve">Pitch Personalization Refresh</w:t>
            </w:r>
          </w:p>
        </w:tc>
        <w:tc>
          <w:tcPr>
            <w:tcW w:type="dxa" w:w="596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color w:val="333333"/>
                <w:sz w:val="19"/>
                <w:szCs w:val="19"/>
              </w:rPr>
              <w:t xml:space="preserve">Regenerate personalizedPitchEmail using: corrected investorName, verified team contact name (not 'Selection Committee'), one specific portfolio company as the thesis anchor, and a non-date-specific CTA. Validate output does not contain placeholder tokens.</w:t>
            </w:r>
          </w:p>
        </w:tc>
      </w:tr>
      <w:tr>
        <w:tc>
          <w:tcPr>
            <w:tcW w:type="dxa" w:w="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4F8EF7"/>
                <w:sz w:val="20"/>
                <w:szCs w:val="20"/>
              </w:rPr>
              <w:t xml:space="preserve">9</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bCs/>
                <w:color w:val="1A1A2E"/>
                <w:sz w:val="19"/>
                <w:szCs w:val="19"/>
              </w:rPr>
              <w:t xml:space="preserve">Record Confidence Scoring</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333333"/>
                <w:sz w:val="19"/>
                <w:szCs w:val="19"/>
              </w:rPr>
              <w:t xml:space="preserve">Assign overall record confidence: HIGH (all critical fields verified), MEDIUM (name + website verified, contacts missing), LOW (name mismatch or no verification possible). Only HIGH and MEDIUM records proceed to outreach queue.</w:t>
            </w:r>
          </w:p>
        </w:tc>
      </w:tr>
      <w:tr>
        <w:tc>
          <w:tcPr>
            <w:tcW w:type="dxa" w:w="60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b/>
                <w:bCs/>
                <w:color w:val="4F8EF7"/>
                <w:sz w:val="20"/>
                <w:szCs w:val="20"/>
              </w:rPr>
              <w:t xml:space="preserve">10</w:t>
            </w:r>
          </w:p>
        </w:tc>
        <w:tc>
          <w:tcPr>
            <w:tcW w:type="dxa" w:w="280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b/>
                <w:bCs/>
                <w:color w:val="1A1A2E"/>
                <w:sz w:val="19"/>
                <w:szCs w:val="19"/>
              </w:rPr>
              <w:t xml:space="preserve">Audit Log Append</w:t>
            </w:r>
          </w:p>
        </w:tc>
        <w:tc>
          <w:tcPr>
            <w:tcW w:type="dxa" w:w="5960"/>
            <w:tcBorders>
              <w:top w:val="single" w:color="D1D5DB" w:sz="1"/>
              <w:left w:val="single" w:color="D1D5DB" w:sz="1"/>
              <w:bottom w:val="single" w:color="D1D5DB" w:sz="1"/>
              <w:right w:val="single" w:color="D1D5DB" w:sz="1"/>
            </w:tcBorders>
            <w:shd w:fill="F0F6FF" w:val="clear"/>
            <w:tcMar>
              <w:top w:type="dxa" w:w="100"/>
              <w:left w:type="dxa" w:w="140"/>
              <w:bottom w:type="dxa" w:w="100"/>
              <w:right w:type="dxa" w:w="140"/>
            </w:tcMar>
          </w:tcPr>
          <w:p>
            <w:r>
              <w:rPr>
                <w:rFonts w:ascii="Arial" w:cs="Arial" w:eastAsia="Arial" w:hAnsi="Arial"/>
                <w:color w:val="333333"/>
                <w:sz w:val="19"/>
                <w:szCs w:val="19"/>
              </w:rPr>
              <w:t xml:space="preserve">Write a structured audit log entry: { timestamp, original_investorName, corrected_investorName, fields_fixed[], fields_missing[], confidence_level, next_action }. Store alongside the record for human review.</w:t>
            </w:r>
          </w:p>
        </w:tc>
      </w:tr>
    </w:tbl>
    <w:p>
      <w:pPr>
        <w:pBdr>
          <w:bottom w:val="single" w:color="C5D9F7" w:sz="2" w:space="1"/>
        </w:pBdr>
        <w:spacing w:after="160" w:before="160"/>
      </w:pPr>
    </w:p>
    <w:p>
      <w:pPr>
        <w:pStyle w:val="Heading2"/>
        <w:pBdr>
          <w:bottom w:val="single" w:color="4F8EF7" w:sz="4" w:space="4"/>
        </w:pBdr>
        <w:spacing w:after="100" w:before="280"/>
      </w:pPr>
      <w:r>
        <w:rPr>
          <w:rFonts w:ascii="Arial" w:cs="Arial" w:eastAsia="Arial" w:hAnsi="Arial"/>
          <w:b/>
          <w:bCs/>
          <w:color w:val="1A1A2E"/>
          <w:sz w:val="26"/>
          <w:szCs w:val="26"/>
        </w:rPr>
        <w:t xml:space="preserve">6. Schema Recommendation</w:t>
      </w:r>
    </w:p>
    <w:p>
      <w:pPr>
        <w:spacing w:after="100" w:before="60"/>
        <w:jc w:val="left"/>
      </w:pPr>
      <w:r>
        <w:rPr>
          <w:rFonts w:ascii="Arial" w:cs="Arial" w:eastAsia="Arial" w:hAnsi="Arial"/>
          <w:b w:val="false"/>
          <w:bCs w:val="false"/>
          <w:i w:val="false"/>
          <w:iCs w:val="false"/>
          <w:color w:val="222222"/>
          <w:sz w:val="20"/>
          <w:szCs w:val="20"/>
        </w:rPr>
        <w:t xml:space="preserve">The current flat JSON schema conflates multiple concerns. The recommended schema separates them:</w:t>
      </w:r>
    </w:p>
    <w:p>
      <w:pPr>
        <w:spacing w:after="10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4F8EF7" w:sz="1"/>
          <w:left w:val="single" w:color="4F8EF7" w:sz="1"/>
          <w:bottom w:val="single" w:color="4F8EF7" w:sz="1"/>
          <w:right w:val="single" w:color="4F8EF7"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4F8EF7" w:val="clear"/>
            <w:tcMar>
              <w:top w:type="dxa" w:w="100"/>
              <w:left w:type="dxa" w:w="140"/>
              <w:bottom w:type="dxa" w:w="100"/>
              <w:right w:type="dxa" w:w="140"/>
            </w:tcMar>
          </w:tcPr>
          <w:p/>
        </w:tc>
        <w:tc>
          <w:tcPr>
            <w:tcW w:type="dxa" w:w="9160"/>
            <w:tcBorders>
              <w:top w:val="none" w:color="FFFFFF" w:sz="0"/>
              <w:left w:val="none" w:color="FFFFFF" w:sz="0"/>
              <w:bottom w:val="none" w:color="FFFFFF" w:sz="0"/>
              <w:right w:val="none" w:color="FFFFFF" w:sz="0"/>
            </w:tcBorders>
            <w:shd w:fill="EAF1FF" w:val="clear"/>
            <w:tcMar>
              <w:top w:type="dxa" w:w="100"/>
              <w:left w:type="dxa" w:w="140"/>
              <w:bottom w:type="dxa" w:w="100"/>
              <w:right w:type="dxa" w:w="140"/>
            </w:tcMar>
          </w:tcPr>
          <w:p>
            <w:pPr>
              <w:spacing w:after="40" w:before="60"/>
            </w:pPr>
            <w:r>
              <w:rPr>
                <w:rFonts w:ascii="Arial" w:cs="Arial" w:eastAsia="Arial" w:hAnsi="Arial"/>
                <w:b/>
                <w:bCs/>
                <w:color w:val="4F8EF7"/>
                <w:sz w:val="20"/>
                <w:szCs w:val="20"/>
              </w:rPr>
              <w:t xml:space="preserve">Proposed Schema Changes</w:t>
            </w:r>
          </w:p>
          <w:p>
            <w:pPr>
              <w:spacing w:after="80" w:before="0"/>
            </w:pPr>
            <w:r>
              <w:rPr>
                <w:rFonts w:ascii="Arial" w:cs="Arial" w:eastAsia="Arial" w:hAnsi="Arial"/>
                <w:color w:val="333333"/>
                <w:sz w:val="19"/>
                <w:szCs w:val="19"/>
              </w:rPr>
              <w:t xml:space="preserve">Split socialLinks[] into: teamMembers[].linkedinUrl, firmSocials{twitter, linkedin, facebook}, and portfolioCompanies[].website. Add investorType, stagePreference[], contactEmails[]{email, confidence, source}, recordConfidence, and auditLog[] to the root object. Add role and verifiedAt to each teamMember entry.</w:t>
            </w:r>
          </w:p>
        </w:tc>
      </w:tr>
    </w:tbl>
    <w:p>
      <w:pPr>
        <w:pBdr>
          <w:bottom w:val="single" w:color="C5D9F7" w:sz="2" w:space="1"/>
        </w:pBdr>
        <w:spacing w:after="160" w:before="160"/>
      </w:pPr>
    </w:p>
    <w:p>
      <w:pPr>
        <w:pStyle w:val="Heading2"/>
        <w:pBdr>
          <w:bottom w:val="single" w:color="4F8EF7" w:sz="4" w:space="4"/>
        </w:pBdr>
        <w:spacing w:after="100" w:before="280"/>
      </w:pPr>
      <w:r>
        <w:rPr>
          <w:rFonts w:ascii="Arial" w:cs="Arial" w:eastAsia="Arial" w:hAnsi="Arial"/>
          <w:b/>
          <w:bCs/>
          <w:color w:val="1A1A2E"/>
          <w:sz w:val="26"/>
          <w:szCs w:val="26"/>
        </w:rPr>
        <w:t xml:space="preserve">7. Outreach Path for This Record</w:t>
      </w:r>
    </w:p>
    <w:p>
      <w:pPr>
        <w:spacing w:after="100" w:before="60"/>
        <w:jc w:val="left"/>
      </w:pPr>
      <w:r>
        <w:rPr>
          <w:rFonts w:ascii="Arial" w:cs="Arial" w:eastAsia="Arial" w:hAnsi="Arial"/>
          <w:b w:val="false"/>
          <w:bCs w:val="false"/>
          <w:i w:val="false"/>
          <w:iCs w:val="false"/>
          <w:color w:val="222222"/>
          <w:sz w:val="20"/>
          <w:szCs w:val="20"/>
        </w:rPr>
        <w:t xml:space="preserve">Since contactEmails is empty, the recommended outreach sequence for HealthTech Capital specifically is:</w:t>
      </w:r>
    </w:p>
    <w:p>
      <w:pPr>
        <w:spacing w:after="100" w:before="60"/>
        <w:jc w:val="left"/>
      </w:pPr>
      <w:r>
        <w:rPr>
          <w:rFonts w:ascii="Arial" w:cs="Arial" w:eastAsia="Arial" w:hAnsi="Arial"/>
          <w:b w:val="false"/>
          <w:bCs w:val="false"/>
          <w:i w:val="false"/>
          <w:iCs w:val="false"/>
          <w:color w:val="222222"/>
          <w:sz w:val="20"/>
          <w:szCs w:val="20"/>
        </w:rPr>
        <w:t xml:space="preserve"/>
      </w:r>
    </w:p>
    <w:p>
      <w:pPr>
        <w:pStyle w:val="ListParagraph"/>
        <w:numPr>
          <w:ilvl w:val="0"/>
          <w:numId w:val="2"/>
        </w:numPr>
        <w:spacing w:after="60" w:before="40"/>
      </w:pPr>
      <w:r>
        <w:rPr>
          <w:rFonts w:ascii="Arial" w:cs="Arial" w:eastAsia="Arial" w:hAnsi="Arial"/>
          <w:b w:val="false"/>
          <w:bCs w:val="false"/>
          <w:color w:val="222222"/>
          <w:sz w:val="20"/>
          <w:szCs w:val="20"/>
        </w:rPr>
        <w:t xml:space="preserve">Primary: LinkedIn DM to Ben Lenail or Carl Bouthillette — most visible team members based on profile activity.</w:t>
      </w:r>
    </w:p>
    <w:p>
      <w:pPr>
        <w:pStyle w:val="ListParagraph"/>
        <w:numPr>
          <w:ilvl w:val="0"/>
          <w:numId w:val="2"/>
        </w:numPr>
        <w:spacing w:after="60" w:before="40"/>
      </w:pPr>
      <w:r>
        <w:rPr>
          <w:rFonts w:ascii="Arial" w:cs="Arial" w:eastAsia="Arial" w:hAnsi="Arial"/>
          <w:b w:val="false"/>
          <w:bCs w:val="false"/>
          <w:color w:val="222222"/>
          <w:sz w:val="20"/>
          <w:szCs w:val="20"/>
        </w:rPr>
        <w:t xml:space="preserve">Secondary: Check healthtechcapital.com for an application form or intake process — angel groups commonly use structured intake over cold email.</w:t>
      </w:r>
    </w:p>
    <w:p>
      <w:pPr>
        <w:pStyle w:val="ListParagraph"/>
        <w:numPr>
          <w:ilvl w:val="0"/>
          <w:numId w:val="2"/>
        </w:numPr>
        <w:spacing w:after="60" w:before="40"/>
      </w:pPr>
      <w:r>
        <w:rPr>
          <w:rFonts w:ascii="Arial" w:cs="Arial" w:eastAsia="Arial" w:hAnsi="Arial"/>
          <w:b w:val="false"/>
          <w:bCs w:val="false"/>
          <w:color w:val="222222"/>
          <w:sz w:val="20"/>
          <w:szCs w:val="20"/>
        </w:rPr>
        <w:t xml:space="preserve">Tertiary: X/Twitter @HealthTechCap — lower friction for initial visibility, especially around HealthTech news hooks.</w:t>
      </w:r>
    </w:p>
    <w:p>
      <w:pPr>
        <w:pStyle w:val="ListParagraph"/>
        <w:numPr>
          <w:ilvl w:val="0"/>
          <w:numId w:val="2"/>
        </w:numPr>
        <w:spacing w:after="60" w:before="40"/>
      </w:pPr>
      <w:r>
        <w:rPr>
          <w:rFonts w:ascii="Arial" w:cs="Arial" w:eastAsia="Arial" w:hAnsi="Arial"/>
          <w:b w:val="false"/>
          <w:bCs w:val="false"/>
          <w:color w:val="222222"/>
          <w:sz w:val="20"/>
          <w:szCs w:val="20"/>
        </w:rPr>
        <w:t xml:space="preserve">Do not send to 'Selection Committee' — it is a group placeholder with no deliverable address.</w:t>
      </w:r>
    </w:p>
    <w:p>
      <w:pPr>
        <w:spacing w:after="100" w:before="60"/>
        <w:jc w:val="left"/>
      </w:pPr>
      <w:r>
        <w:rPr>
          <w:rFonts w:ascii="Arial" w:cs="Arial" w:eastAsia="Arial" w:hAnsi="Arial"/>
          <w:b w:val="false"/>
          <w:bCs w:val="false"/>
          <w:i w:val="false"/>
          <w:iCs w:val="false"/>
          <w:color w:val="222222"/>
          <w:sz w:val="20"/>
          <w:szCs w:val="20"/>
        </w:rPr>
        <w:t xml:space="preserve"/>
      </w:r>
    </w:p>
    <w:tbl>
      <w:tblPr>
        <w:tblW w:type="dxa" w:w="9360"/>
        <w:tblBorders>
          <w:top w:val="single" w:color="10B981" w:sz="1"/>
          <w:left w:val="single" w:color="10B981" w:sz="1"/>
          <w:bottom w:val="single" w:color="10B981" w:sz="1"/>
          <w:right w:val="single" w:color="10B981" w:sz="1"/>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0B981" w:val="clear"/>
            <w:tcMar>
              <w:top w:type="dxa" w:w="100"/>
              <w:left w:type="dxa" w:w="140"/>
              <w:bottom w:type="dxa" w:w="100"/>
              <w:right w:type="dxa" w:w="140"/>
            </w:tcMar>
          </w:tcPr>
          <w:p/>
        </w:tc>
        <w:tc>
          <w:tcPr>
            <w:tcW w:type="dxa" w:w="9160"/>
            <w:tcBorders>
              <w:top w:val="none" w:color="FFFFFF" w:sz="0"/>
              <w:left w:val="none" w:color="FFFFFF" w:sz="0"/>
              <w:bottom w:val="none" w:color="FFFFFF" w:sz="0"/>
              <w:right w:val="none" w:color="FFFFFF" w:sz="0"/>
            </w:tcBorders>
            <w:shd w:fill="EAF1FF" w:val="clear"/>
            <w:tcMar>
              <w:top w:type="dxa" w:w="100"/>
              <w:left w:type="dxa" w:w="140"/>
              <w:bottom w:type="dxa" w:w="100"/>
              <w:right w:type="dxa" w:w="140"/>
            </w:tcMar>
          </w:tcPr>
          <w:p>
            <w:pPr>
              <w:spacing w:after="40" w:before="60"/>
            </w:pPr>
            <w:r>
              <w:rPr>
                <w:rFonts w:ascii="Arial" w:cs="Arial" w:eastAsia="Arial" w:hAnsi="Arial"/>
                <w:b/>
                <w:bCs/>
                <w:color w:val="10B981"/>
                <w:sz w:val="20"/>
                <w:szCs w:val="20"/>
              </w:rPr>
              <w:t xml:space="preserve">Timing Note</w:t>
            </w:r>
          </w:p>
          <w:p>
            <w:pPr>
              <w:spacing w:after="80" w:before="0"/>
            </w:pPr>
            <w:r>
              <w:rPr>
                <w:rFonts w:ascii="Arial" w:cs="Arial" w:eastAsia="Arial" w:hAnsi="Arial"/>
                <w:color w:val="333333"/>
                <w:sz w:val="19"/>
                <w:szCs w:val="19"/>
              </w:rPr>
              <w:t xml:space="preserve">Omada Health went public in June 2025 and is now trading at ~$17-23 (OMDA on Nasdaq). Referencing this as a live, successful exit in your pitch is timely and concrete — it validates their thesis and your market simultaneously.</w:t>
            </w:r>
          </w:p>
        </w:tc>
      </w:tr>
    </w:tbl>
    <w:p>
      <w:pPr>
        <w:pBdr>
          <w:bottom w:val="single" w:color="C5D9F7" w:sz="2" w:space="1"/>
        </w:pBdr>
        <w:spacing w:after="160" w:before="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00"/>
              <w:left w:type="dxa" w:w="140"/>
              <w:bottom w:type="dxa" w:w="100"/>
              <w:right w:type="dxa" w:w="140"/>
            </w:tcMar>
          </w:tcPr>
          <w:p>
            <w:pPr>
              <w:spacing w:after="40" w:before="80"/>
            </w:pPr>
            <w:r>
              <w:rPr>
                <w:rFonts w:ascii="Arial" w:cs="Arial" w:eastAsia="Arial" w:hAnsi="Arial"/>
                <w:b/>
                <w:bCs/>
                <w:color w:val="FFFFFF"/>
                <w:sz w:val="22"/>
                <w:szCs w:val="22"/>
              </w:rPr>
              <w:t xml:space="preserve">Summary</w:t>
            </w:r>
          </w:p>
          <w:p>
            <w:pPr>
              <w:spacing w:after="60" w:before="0"/>
            </w:pPr>
            <w:r>
              <w:rPr>
                <w:rFonts w:ascii="Arial" w:cs="Arial" w:eastAsia="Arial" w:hAnsi="Arial"/>
                <w:color w:val="C5D9F7"/>
                <w:sz w:val="18"/>
                <w:szCs w:val="18"/>
              </w:rPr>
              <w:t xml:space="preserve">1 critical error (entity name) · 3 warnings · 0 contact emails · 10-step agent remediation pipeline defined</w:t>
            </w:r>
          </w:p>
          <w:p>
            <w:pPr>
              <w:spacing w:after="80" w:before="0"/>
            </w:pPr>
            <w:r>
              <w:rPr>
                <w:rFonts w:ascii="Arial" w:cs="Arial" w:eastAsia="Arial" w:hAnsi="Arial"/>
                <w:color w:val="C5D9F7"/>
                <w:sz w:val="18"/>
                <w:szCs w:val="18"/>
              </w:rPr>
              <w:t xml:space="preserve">Record confidence: MEDIUM — proceed to manual outreach via LinkedIn only after name correction.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4F8EF7"/>
      </w:r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F8EF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2026-06-19T22:12:51.929Z</dcterms:created>
  <dcterms:modified xsi:type="dcterms:W3CDTF">2026-06-19T22:12:51.929Z</dcterms:modified>
</cp:coreProperties>
</file>

<file path=docProps/custom.xml><?xml version="1.0" encoding="utf-8"?>
<Properties xmlns="http://schemas.openxmlformats.org/officeDocument/2006/custom-properties" xmlns:vt="http://schemas.openxmlformats.org/officeDocument/2006/docPropsVTypes"/>
</file>