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E00" w14:textId="77777777" w:rsidR="006E0518" w:rsidRDefault="00000000">
      <w:pPr>
        <w:spacing w:line="480" w:lineRule="auto"/>
        <w:jc w:val="center"/>
      </w:pPr>
      <w:r>
        <w:rPr>
          <w:b/>
          <w:bCs/>
        </w:rPr>
        <w:t>GDPR Compliance and Database Security: The McDonald's Poland Data Breach</w:t>
      </w:r>
    </w:p>
    <w:p w14:paraId="7007501C" w14:textId="77777777" w:rsidR="006E0518" w:rsidRDefault="00000000">
      <w:pPr>
        <w:spacing w:line="480" w:lineRule="auto"/>
        <w:ind w:firstLine="720"/>
      </w:pPr>
      <w:r>
        <w:t>Data privacy regulations exist because organizations routinely collect, store, and transmit more personal information than they can reliably protect. This paper applies the General Data Protection Regulation (GDPR) to a 2025 enforcement action against McDonald's Polska, in which a misconfigured server exposed a copy of an employee scheduling database containing national identification numbers, passport numbers, and work records to the public internet (European Data Protection Board [EDPB], 2025). The incident illustrates how a database design failure, rather than a sophisticated external attack, can constitute a serious regulatory violation, and it offers concrete lessons for securing database-application integration.</w:t>
      </w:r>
    </w:p>
    <w:p w14:paraId="6399321D" w14:textId="77777777" w:rsidR="006E0518" w:rsidRDefault="00000000">
      <w:pPr>
        <w:pStyle w:val="Heading1"/>
        <w:spacing w:line="480" w:lineRule="auto"/>
        <w:jc w:val="center"/>
      </w:pPr>
      <w:r>
        <w:t>GDPR Requirements: Storage, Access, and Transmission</w:t>
      </w:r>
    </w:p>
    <w:p w14:paraId="07246AC4" w14:textId="7F1FF803" w:rsidR="006E0518" w:rsidRDefault="00F00DE7">
      <w:pPr>
        <w:spacing w:line="480" w:lineRule="auto"/>
        <w:ind w:firstLine="720"/>
      </w:pPr>
      <w:r>
        <w:t>GDPR</w:t>
      </w:r>
      <w:r w:rsidR="00000000">
        <w:t xml:space="preserve"> applies to any organization that processes the personal data of individuals in the European Union, regardless of where the organization itself is based, and Article 5 sets out the foundational principles that govern how that data may be stored, accessed, and transmitted (European Union [EU], 2016).</w:t>
      </w:r>
    </w:p>
    <w:p w14:paraId="1B2087B8" w14:textId="5EDFDDC5" w:rsidR="006E0518" w:rsidRDefault="00000000">
      <w:pPr>
        <w:spacing w:line="480" w:lineRule="auto"/>
        <w:ind w:firstLine="720"/>
      </w:pPr>
      <w:r>
        <w:t xml:space="preserve">Storage. Article 5(1)(c) requires data minimization, meaning organizations may only collect and retain personal data that is adequate, relevant, and necessary for a specific, stated purpose (EU, 2016). Article 5(1)(e) adds a storage limitation principle: personal data must not be kept longer than necessary for that purpose, and outdated or unnecessary identifiers should be deleted or replaced with less sensitive alternatives. Together, these provisions mean a database schema is not just a technical artifact; the fields it stores and the length of time it retains them </w:t>
      </w:r>
      <w:r w:rsidR="00F00DE7">
        <w:t>are</w:t>
      </w:r>
      <w:r>
        <w:t xml:space="preserve"> subject to legal scrutiny.</w:t>
      </w:r>
    </w:p>
    <w:p w14:paraId="4A035F42" w14:textId="6C1DBD37" w:rsidR="006E0518" w:rsidRDefault="00000000">
      <w:pPr>
        <w:spacing w:line="480" w:lineRule="auto"/>
        <w:ind w:firstLine="720"/>
      </w:pPr>
      <w:r>
        <w:t xml:space="preserve">Access. Article 32(1) requires "appropriate technical and </w:t>
      </w:r>
      <w:r w:rsidR="00F00DE7">
        <w:t>organizational</w:t>
      </w:r>
      <w:r>
        <w:t xml:space="preserve"> measures" to protect the confidentiality of personal data, explicitly naming pseudonymization and encryption </w:t>
      </w:r>
      <w:r>
        <w:lastRenderedPageBreak/>
        <w:t>as examples, and Article 32(4) further requires that any person acting under the authority of the controller or processor who has access to personal data only process it on documented instruction (EU, 2016). In practice, this means access to a database containing personal data must be restricted to specific roles, logged, and limited to what each role actually needs, rather than left open to broad internal or public access.</w:t>
      </w:r>
    </w:p>
    <w:p w14:paraId="7E6A3067" w14:textId="77777777" w:rsidR="006E0518" w:rsidRDefault="00000000">
      <w:pPr>
        <w:spacing w:line="480" w:lineRule="auto"/>
        <w:ind w:firstLine="720"/>
      </w:pPr>
      <w:r>
        <w:t>Transmission. Article 32 also requires that data remain protected as it moves between systems, including encryption in transit, and Article 28 extends these obligations to any third-party processor that receives personal data on a controller's behalf, requiring a binding data processing agreement that specifies security obligations before any transmission occurs (EU, 2016). When a processor engages its own sub-processor, Article 28(2) and 28(4) require the original controller's authorization and an equivalent contractual obligation, so that personal data is never transmitted further down a vendor chain without the same safeguards following it.</w:t>
      </w:r>
    </w:p>
    <w:p w14:paraId="4ACFDFEB" w14:textId="77777777" w:rsidR="006E0518" w:rsidRDefault="00000000">
      <w:pPr>
        <w:pStyle w:val="Heading1"/>
        <w:spacing w:line="480" w:lineRule="auto"/>
        <w:jc w:val="center"/>
      </w:pPr>
      <w:r>
        <w:t>Compliance Needs in Database Design</w:t>
      </w:r>
    </w:p>
    <w:p w14:paraId="23CE27FE" w14:textId="77777777" w:rsidR="006E0518" w:rsidRDefault="00000000">
      <w:pPr>
        <w:spacing w:line="480" w:lineRule="auto"/>
        <w:ind w:firstLine="720"/>
      </w:pPr>
      <w:r>
        <w:t>Translating these legal requirements into an actual database design comes down to three technical pillars: encryption, authentication, and authorization.</w:t>
      </w:r>
    </w:p>
    <w:p w14:paraId="36E10B26" w14:textId="77777777" w:rsidR="006E0518" w:rsidRDefault="00000000">
      <w:pPr>
        <w:spacing w:line="480" w:lineRule="auto"/>
        <w:ind w:firstLine="720"/>
      </w:pPr>
      <w:r>
        <w:t>Encryption. Article 32(1)(a) names encryption and pseudonymization as the first example of an appropriate security measure (EU, 2016). For a database, sensitive fields should be encrypted at rest so a copied or exfiltrated database file is unreadable without the corresponding key, and all connections between an application and its database should use transport-layer encryption. Pseudonymization, such as replacing a national identification number with an internal employee ID inside application logic, further reduces the impact of a future exposure.</w:t>
      </w:r>
    </w:p>
    <w:p w14:paraId="72757C68" w14:textId="77777777" w:rsidR="006E0518" w:rsidRDefault="00000000">
      <w:pPr>
        <w:spacing w:line="480" w:lineRule="auto"/>
        <w:ind w:firstLine="720"/>
      </w:pPr>
      <w:r>
        <w:t xml:space="preserve">Authentication. A database's authentication layer determines who is allowed to connect at all. Strong authentication means unique credentials per service account or user, no shared or </w:t>
      </w:r>
      <w:r>
        <w:lastRenderedPageBreak/>
        <w:t>default credentials, and multi-factor authentication for administrative access, paired with logging of every attempt so unusual patterns can be detected. A database is not GDPR-compliant simply because the data inside it is sensitive; it must be paired with controls that verify identity before any query is permitted to run.</w:t>
      </w:r>
    </w:p>
    <w:p w14:paraId="20328630" w14:textId="77777777" w:rsidR="006E0518" w:rsidRDefault="00000000">
      <w:pPr>
        <w:spacing w:line="480" w:lineRule="auto"/>
        <w:ind w:firstLine="720"/>
      </w:pPr>
      <w:r>
        <w:t>Authorization. Where authentication asks who is connecting, authorization asks what that connection may do once inside. Role-based access control applied at the database level, not only in the application's interface, ensures that even if front-end logic is bypassed, the database itself will not return more data than a role is permitted to see. This is data minimization enforced technically rather than only on paper: a support agent who needs shift schedules does not need a query path that also returns passport numbers.</w:t>
      </w:r>
    </w:p>
    <w:p w14:paraId="4D52A233" w14:textId="77777777" w:rsidR="006E0518" w:rsidRDefault="00000000">
      <w:pPr>
        <w:pStyle w:val="Heading1"/>
        <w:spacing w:line="480" w:lineRule="auto"/>
        <w:jc w:val="center"/>
      </w:pPr>
      <w:r>
        <w:t>The McDonald's Poland Data Breach</w:t>
      </w:r>
    </w:p>
    <w:p w14:paraId="7625524B" w14:textId="77777777" w:rsidR="006E0518" w:rsidRDefault="00000000">
      <w:pPr>
        <w:spacing w:line="480" w:lineRule="auto"/>
        <w:ind w:firstLine="720"/>
      </w:pPr>
      <w:r>
        <w:t>In July 2025, Poland's data protection authority (UODO) fined McDonald's Polska approximately €4.02 million and its processor, 24/7 Communication, an additional €43,680, after an outsourced employee scheduling system's server was incorrectly configured in a way that made a copy of its underlying database publicly accessible online (EDPB, 2025). The exposed data included employee names, national identification (PESEL) numbers, passport numbers, restaurant location codes, job titles, shift schedules, and leave records (</w:t>
      </w:r>
      <w:proofErr w:type="spellStart"/>
      <w:r>
        <w:t>VinciWorks</w:t>
      </w:r>
      <w:proofErr w:type="spellEnd"/>
      <w:r>
        <w:t xml:space="preserve">, 2025). Neither company had performed a risk analysis before deployment, 24/7 Communication had engaged its own sub-processor without authorization or a contract until after the breach, McDonald's notified former employees only through press releases rather than directly, and neither organization's Data Protection Officer had been consulted (EDPB, 2025; </w:t>
      </w:r>
      <w:proofErr w:type="spellStart"/>
      <w:r>
        <w:t>Cybernews</w:t>
      </w:r>
      <w:proofErr w:type="spellEnd"/>
      <w:r>
        <w:t>, 2025).</w:t>
      </w:r>
    </w:p>
    <w:p w14:paraId="10D30A4D" w14:textId="77777777" w:rsidR="006E0518" w:rsidRDefault="00000000">
      <w:pPr>
        <w:pStyle w:val="Heading1"/>
        <w:spacing w:line="480" w:lineRule="auto"/>
        <w:jc w:val="center"/>
      </w:pPr>
      <w:r>
        <w:t>How the Incident Represented a Compliance Failure</w:t>
      </w:r>
    </w:p>
    <w:p w14:paraId="0B3ED39D" w14:textId="77777777" w:rsidR="006E0518" w:rsidRDefault="00000000">
      <w:pPr>
        <w:spacing w:line="480" w:lineRule="auto"/>
        <w:ind w:firstLine="720"/>
      </w:pPr>
      <w:r>
        <w:lastRenderedPageBreak/>
        <w:t>The UODO's decision identifies several distinct GDPR violations, each tracing back to a different requirement discussed above (EDPB, 2025). The breach itself was a direct failure of Article 32, which requires technical and organizational measures appropriate to the risk of processing; a publicly accessible directory exposing a live database copy is exactly the outcome Article 32 is designed to prevent, and the absence of any prior risk analysis meant neither company had a documented basis for believing its safeguards were adequate. The use of PESEL and passport numbers as the system's primary identifiers, when an internal employee number would have served the same scheduling function, violated the data minimization principle in Article 5(1)(c); these identifiers were only replaced with internal IDs after the breach, the clearest evidence that the original design collected more sensitive data than necessary.</w:t>
      </w:r>
    </w:p>
    <w:p w14:paraId="0448E4E3" w14:textId="77777777" w:rsidR="006E0518" w:rsidRDefault="00000000">
      <w:pPr>
        <w:spacing w:line="480" w:lineRule="auto"/>
        <w:ind w:firstLine="720"/>
      </w:pPr>
      <w:r>
        <w:t>The relationship between McDonald's and its processor violated Article 28: McDonald's did not adequately verify that 24/7 Communication had the technical capacity to secure the data before entrusting it to them, and 24/7 Communication's unauthorized use of a sub-processor violated Article 28(2) and 28(4) directly. The breach notification to former employees through press releases did not satisfy Article 34's requirement to directly inform individuals when a breach poses a high risk to their rights, and the failure to consult either organization's Data Protection Officer at any stage violated Article 38(1), connecting a governance failure directly to the technical one that caused the breach.</w:t>
      </w:r>
    </w:p>
    <w:p w14:paraId="7B818A70" w14:textId="77777777" w:rsidR="006E0518" w:rsidRDefault="00000000">
      <w:pPr>
        <w:pStyle w:val="Heading1"/>
        <w:spacing w:line="480" w:lineRule="auto"/>
        <w:jc w:val="center"/>
      </w:pPr>
      <w:r>
        <w:t>Recommended Security Techniques and Justification</w:t>
      </w:r>
    </w:p>
    <w:p w14:paraId="33A8F0CF" w14:textId="77777777" w:rsidR="006E0518" w:rsidRDefault="00000000">
      <w:pPr>
        <w:spacing w:line="480" w:lineRule="auto"/>
        <w:ind w:firstLine="720"/>
      </w:pPr>
      <w:r>
        <w:t>Securing the integration between a database and the applications that depend on it requires controls at several layers, each mapping to a specific gap this incident exposed, and each chosen because it would have changed the outcome of this specific case rather than serving as generic advice.</w:t>
      </w:r>
    </w:p>
    <w:p w14:paraId="732B146E" w14:textId="77777777" w:rsidR="006E0518" w:rsidRDefault="00000000">
      <w:pPr>
        <w:spacing w:line="480" w:lineRule="auto"/>
        <w:ind w:firstLine="720"/>
      </w:pPr>
      <w:r>
        <w:lastRenderedPageBreak/>
        <w:t>Database servers should never be directly reachable from the public internet, and automated configuration scanning should run on a recurring schedule rather than only at initial deployment; either control would have directly prevented the exposure that triggered the breach, since the misconfiguration alone would no longer have been sufficient to make the data reachable, and recurring scanning closes the gap that let the exposure persist undetected for nearly three years.</w:t>
      </w:r>
    </w:p>
    <w:p w14:paraId="56BBBAFE" w14:textId="77777777" w:rsidR="006E0518" w:rsidRDefault="00000000">
      <w:pPr>
        <w:spacing w:line="480" w:lineRule="auto"/>
        <w:ind w:firstLine="720"/>
      </w:pPr>
      <w:r>
        <w:t>Sensitive fields such as national identification and passport numbers should be encrypted at the database level rather than relying on network placement alone, and all application-to-database connections should use TLS; this does not prevent every possible misconfiguration, but it changes the consequence of one occurring, since exposing a database copy would no longer mean exposing usable identifiers. Following Article 25's data protection by design principle, a system like this scheduling tool should use a non-reversible internal identifier from the outset rather than a national ID, removing the most sensitive data from the system's attack surface entirely, since a scheduling system has no functional need for a passport number in the first place.</w:t>
      </w:r>
    </w:p>
    <w:p w14:paraId="7B018600" w14:textId="77777777" w:rsidR="006E0518" w:rsidRDefault="00000000">
      <w:pPr>
        <w:spacing w:line="480" w:lineRule="auto"/>
        <w:ind w:firstLine="720"/>
      </w:pPr>
      <w:r>
        <w:t xml:space="preserve">Before any processor receives access to personal data, the controller should require evidence of its technical safeguards and a data processing agreement that explicitly prohibits further sub-processing without prior written authorization; had McDonald's done so, the additional, unauthorized party in the data's chain of custody identified in the UODO's decision would not have existed. Finally, a Data Protection Officer should review any new system that processes personal data before it is deployed, rather than being consulted only after an incident occurs; this targets the root cause the regulator itself identified, since a qualified reviewer asking basic questions about necessity, retention, and access controls before a system goes live is </w:t>
      </w:r>
      <w:r>
        <w:lastRenderedPageBreak/>
        <w:t>precisely the kind of check that would have caught the use of PESEL numbers as identifiers and the missing sub-processing agreement before either became a regulatory finding.</w:t>
      </w:r>
    </w:p>
    <w:p w14:paraId="047EA524" w14:textId="77777777" w:rsidR="006E0518" w:rsidRDefault="00000000">
      <w:pPr>
        <w:pStyle w:val="Heading1"/>
        <w:spacing w:line="480" w:lineRule="auto"/>
        <w:jc w:val="center"/>
      </w:pPr>
      <w:r>
        <w:t>References</w:t>
      </w:r>
    </w:p>
    <w:p w14:paraId="0992025D" w14:textId="77777777" w:rsidR="006E0518" w:rsidRDefault="00000000">
      <w:pPr>
        <w:spacing w:line="480" w:lineRule="auto"/>
        <w:ind w:left="720" w:hanging="720"/>
      </w:pPr>
      <w:proofErr w:type="spellStart"/>
      <w:r>
        <w:t>Cybernews</w:t>
      </w:r>
      <w:proofErr w:type="spellEnd"/>
      <w:r>
        <w:t>. (2025, July 23). DPA fines McDonald's Poland €4M over data breach. https://cybernews.com/tech/dpa-fines-mcdonalds-poland-eur4m-data-breach/</w:t>
      </w:r>
    </w:p>
    <w:p w14:paraId="41716AAC" w14:textId="77777777" w:rsidR="006E0518" w:rsidRDefault="00000000">
      <w:pPr>
        <w:spacing w:line="480" w:lineRule="auto"/>
        <w:ind w:left="720" w:hanging="720"/>
      </w:pPr>
      <w:r>
        <w:t xml:space="preserve">European Data Protection Board. (2025, July 21). Polish SA: Administrative fine of EUR 4,022,773 for McDonald's Polska sp. z </w:t>
      </w:r>
      <w:proofErr w:type="spellStart"/>
      <w:r>
        <w:t>o.o.</w:t>
      </w:r>
      <w:proofErr w:type="spellEnd"/>
      <w:r>
        <w:t xml:space="preserve"> and EUR 43,680 for 24/7 Communication Sp. z </w:t>
      </w:r>
      <w:proofErr w:type="spellStart"/>
      <w:r>
        <w:t>o.o.</w:t>
      </w:r>
      <w:proofErr w:type="spellEnd"/>
      <w:r>
        <w:t xml:space="preserve"> for negligence in risk analysis and safeguards. https://www.edpb.europa.eu/news/national-news/2025/polish-sa-administrative-fine-eur-4-022-773-mcdonalds-polska-sp-z-oo-and_en</w:t>
      </w:r>
    </w:p>
    <w:p w14:paraId="37162DDD" w14:textId="77777777" w:rsidR="006E0518" w:rsidRDefault="00000000">
      <w:pPr>
        <w:spacing w:line="480" w:lineRule="auto"/>
        <w:ind w:left="720" w:hanging="720"/>
      </w:pPr>
      <w:r>
        <w:t>European Union. (2016). General Data Protection Regulation (GDPR), Regulation (EU) 2016/679. https://eur-lex.europa.eu/eli/reg/2016/679/oj</w:t>
      </w:r>
    </w:p>
    <w:p w14:paraId="68EA47E8" w14:textId="77777777" w:rsidR="006E0518" w:rsidRDefault="00000000">
      <w:pPr>
        <w:spacing w:line="480" w:lineRule="auto"/>
        <w:ind w:left="720" w:hanging="720"/>
      </w:pPr>
      <w:proofErr w:type="spellStart"/>
      <w:r>
        <w:t>VinciWorks</w:t>
      </w:r>
      <w:proofErr w:type="spellEnd"/>
      <w:r>
        <w:t>. (2025, July 31). Lessons from a GDPR fine: McDonald's Poland and the high cost of processor oversight failures. https://vinciworks.com/blog/lessons-from-a-gdpr-fine-mcdonalds-poland-and-the-high-cost-of-processor-oversight-failures/</w:t>
      </w:r>
    </w:p>
    <w:sectPr w:rsidR="006E05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F40DE"/>
    <w:multiLevelType w:val="hybridMultilevel"/>
    <w:tmpl w:val="DA8A7C24"/>
    <w:lvl w:ilvl="0" w:tplc="053E7722">
      <w:start w:val="1"/>
      <w:numFmt w:val="bullet"/>
      <w:lvlText w:val="●"/>
      <w:lvlJc w:val="left"/>
      <w:pPr>
        <w:ind w:left="720" w:hanging="360"/>
      </w:pPr>
    </w:lvl>
    <w:lvl w:ilvl="1" w:tplc="C5B42A48">
      <w:start w:val="1"/>
      <w:numFmt w:val="bullet"/>
      <w:lvlText w:val="○"/>
      <w:lvlJc w:val="left"/>
      <w:pPr>
        <w:ind w:left="1440" w:hanging="360"/>
      </w:pPr>
    </w:lvl>
    <w:lvl w:ilvl="2" w:tplc="516031B8">
      <w:start w:val="1"/>
      <w:numFmt w:val="bullet"/>
      <w:lvlText w:val="■"/>
      <w:lvlJc w:val="left"/>
      <w:pPr>
        <w:ind w:left="2160" w:hanging="360"/>
      </w:pPr>
    </w:lvl>
    <w:lvl w:ilvl="3" w:tplc="B8B0A64E">
      <w:start w:val="1"/>
      <w:numFmt w:val="bullet"/>
      <w:lvlText w:val="●"/>
      <w:lvlJc w:val="left"/>
      <w:pPr>
        <w:ind w:left="2880" w:hanging="360"/>
      </w:pPr>
    </w:lvl>
    <w:lvl w:ilvl="4" w:tplc="92184346">
      <w:start w:val="1"/>
      <w:numFmt w:val="bullet"/>
      <w:lvlText w:val="○"/>
      <w:lvlJc w:val="left"/>
      <w:pPr>
        <w:ind w:left="3600" w:hanging="360"/>
      </w:pPr>
    </w:lvl>
    <w:lvl w:ilvl="5" w:tplc="5FC8DAA2">
      <w:start w:val="1"/>
      <w:numFmt w:val="bullet"/>
      <w:lvlText w:val="■"/>
      <w:lvlJc w:val="left"/>
      <w:pPr>
        <w:ind w:left="4320" w:hanging="360"/>
      </w:pPr>
    </w:lvl>
    <w:lvl w:ilvl="6" w:tplc="229885A6">
      <w:start w:val="1"/>
      <w:numFmt w:val="bullet"/>
      <w:lvlText w:val="●"/>
      <w:lvlJc w:val="left"/>
      <w:pPr>
        <w:ind w:left="5040" w:hanging="360"/>
      </w:pPr>
    </w:lvl>
    <w:lvl w:ilvl="7" w:tplc="B5285294">
      <w:start w:val="1"/>
      <w:numFmt w:val="bullet"/>
      <w:lvlText w:val="●"/>
      <w:lvlJc w:val="left"/>
      <w:pPr>
        <w:ind w:left="5760" w:hanging="360"/>
      </w:pPr>
    </w:lvl>
    <w:lvl w:ilvl="8" w:tplc="576AEE0E">
      <w:start w:val="1"/>
      <w:numFmt w:val="bullet"/>
      <w:lvlText w:val="●"/>
      <w:lvlJc w:val="left"/>
      <w:pPr>
        <w:ind w:left="6480" w:hanging="360"/>
      </w:pPr>
    </w:lvl>
  </w:abstractNum>
  <w:abstractNum w:abstractNumId="1" w15:restartNumberingAfterBreak="0">
    <w:nsid w:val="5E0B0745"/>
    <w:multiLevelType w:val="hybridMultilevel"/>
    <w:tmpl w:val="0A3AC410"/>
    <w:lvl w:ilvl="0" w:tplc="2084B100">
      <w:start w:val="1"/>
      <w:numFmt w:val="bullet"/>
      <w:lvlText w:val="•"/>
      <w:lvlJc w:val="left"/>
      <w:pPr>
        <w:ind w:left="720" w:hanging="360"/>
      </w:pPr>
    </w:lvl>
    <w:lvl w:ilvl="1" w:tplc="BA2CD9B2">
      <w:numFmt w:val="decimal"/>
      <w:lvlText w:val=""/>
      <w:lvlJc w:val="left"/>
    </w:lvl>
    <w:lvl w:ilvl="2" w:tplc="3B0A3D08">
      <w:numFmt w:val="decimal"/>
      <w:lvlText w:val=""/>
      <w:lvlJc w:val="left"/>
    </w:lvl>
    <w:lvl w:ilvl="3" w:tplc="A872B460">
      <w:numFmt w:val="decimal"/>
      <w:lvlText w:val=""/>
      <w:lvlJc w:val="left"/>
    </w:lvl>
    <w:lvl w:ilvl="4" w:tplc="49B88736">
      <w:numFmt w:val="decimal"/>
      <w:lvlText w:val=""/>
      <w:lvlJc w:val="left"/>
    </w:lvl>
    <w:lvl w:ilvl="5" w:tplc="B86CA9D4">
      <w:numFmt w:val="decimal"/>
      <w:lvlText w:val=""/>
      <w:lvlJc w:val="left"/>
    </w:lvl>
    <w:lvl w:ilvl="6" w:tplc="A1ACEBFA">
      <w:numFmt w:val="decimal"/>
      <w:lvlText w:val=""/>
      <w:lvlJc w:val="left"/>
    </w:lvl>
    <w:lvl w:ilvl="7" w:tplc="5F60529A">
      <w:numFmt w:val="decimal"/>
      <w:lvlText w:val=""/>
      <w:lvlJc w:val="left"/>
    </w:lvl>
    <w:lvl w:ilvl="8" w:tplc="5B3477C6">
      <w:numFmt w:val="decimal"/>
      <w:lvlText w:val=""/>
      <w:lvlJc w:val="left"/>
    </w:lvl>
  </w:abstractNum>
  <w:num w:numId="1" w16cid:durableId="1456487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518"/>
    <w:rsid w:val="0047775C"/>
    <w:rsid w:val="006361B7"/>
    <w:rsid w:val="006E0518"/>
    <w:rsid w:val="00AB2267"/>
    <w:rsid w:val="00D56E27"/>
    <w:rsid w:val="00F0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2AF2E"/>
  <w15:docId w15:val="{5A7190BD-7A29-4B33-94E3-2C350869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rPr>
  </w:style>
  <w:style w:type="paragraph" w:styleId="Heading2">
    <w:name w:val="heading 2"/>
    <w:uiPriority w:val="9"/>
    <w:semiHidden/>
    <w:unhideWhenUsed/>
    <w:qFormat/>
    <w:pPr>
      <w:spacing w:before="2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1325</TotalTime>
  <Pages>6</Pages>
  <Words>1615</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9</cp:revision>
  <dcterms:created xsi:type="dcterms:W3CDTF">2026-06-24T20:48:00Z</dcterms:created>
  <dcterms:modified xsi:type="dcterms:W3CDTF">2026-06-25T18:55:00Z</dcterms:modified>
</cp:coreProperties>
</file>