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Security Architecture,</w:t>
      </w:r>
    </w:p>
    <w:p>
      <w:pPr>
        <w:pStyle w:val="BodyText"/>
      </w:pPr>
      <w:r>
        <w:t>Compliance, Google Cloud Platform, Automation, Cloud Security, Microsoft Azure, Risk Management, Stakeholder Engagement,</w:t>
      </w:r>
    </w:p>
    <w:p>
      <w:pPr>
        <w:pStyle w:val="BodyText"/>
      </w:pPr>
      <w:r>
        <w:t>Incident Response, Regulatory Compliance, Hybrid Infrastructures, Zero Trust, DevSecOps, Leadership, Cloud Migrations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