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data consistency,</w:t>
      </w:r>
    </w:p>
    <w:p>
      <w:pPr>
        <w:pStyle w:val="BodyText"/>
      </w:pPr>
      <w:r>
        <w:t>system scope, database changes, ETL processes, SQL databases, SOA services, unit tests, COTS products, PL/SQL, technical</w:t>
      </w:r>
    </w:p>
    <w:p>
      <w:pPr>
        <w:pStyle w:val="BodyText"/>
      </w:pPr>
      <w:r>
        <w:t>lead, microservices, peer code reviews, offshore energy, regulatory oversight, stakeholders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