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recruiting experience, CS fundamentals,</w:t>
      </w:r>
    </w:p>
    <w:p>
      <w:pPr>
        <w:pStyle w:val="BodyText"/>
      </w:pPr>
      <w:r>
        <w:t>startups, software engineer, San Francisco, web technologies, enterprise companies, production-level software, Series A,</w:t>
      </w:r>
    </w:p>
    <w:p>
      <w:pPr>
        <w:pStyle w:val="BodyText"/>
      </w:pPr>
      <w:r>
        <w:t>real-world impact, complex AI agents, AI, lifesaving therapies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