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Computer Vision, Scala, cutting-edge AI,</w:t>
      </w:r>
    </w:p>
    <w:p>
      <w:pPr>
        <w:pStyle w:val="BodyText"/>
      </w:pPr>
      <w:r>
        <w:t>generative AI, large language models, frontend initiatives, semiconductor industry, Frontend Engineer, React, high-</w:t>
      </w:r>
    </w:p>
    <w:p>
      <w:pPr>
        <w:pStyle w:val="BodyText"/>
      </w:pPr>
      <w:r>
        <w:t>quality user experiences, product-driven development, browser extensions, user interfaces, full-stack applications, AI-</w:t>
      </w:r>
    </w:p>
    <w:p>
      <w:pPr>
        <w:pStyle w:val="BodyText"/>
      </w:pPr>
      <w:r>
        <w:t>powered tools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