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high-frequency</w:t>
      </w:r>
    </w:p>
    <w:p>
      <w:pPr>
        <w:pStyle w:val="BodyText"/>
      </w:pPr>
      <w:r>
        <w:t>trading, Bachelor's in Computer Science, ultra-low latency, high-performance infrastructure, C++, Rust, distributed</w:t>
      </w:r>
    </w:p>
    <w:p>
      <w:pPr>
        <w:pStyle w:val="BodyText"/>
      </w:pPr>
      <w:r>
        <w:t>systems, STEM field, trading experience, hybrid work, software engineer, performance optimization, exchange</w:t>
      </w:r>
    </w:p>
    <w:p>
      <w:pPr>
        <w:pStyle w:val="BodyText"/>
      </w:pPr>
      <w:r>
        <w:t>connectivity, non-compete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