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real-time revenue opportunities, voice communication,</w:t>
      </w:r>
    </w:p>
    <w:p>
      <w:pPr>
        <w:pStyle w:val="BodyText"/>
      </w:pPr>
      <w:r>
        <w:t>modern web technologies, user experience, AWS infrastructure, autonomous AI agents, software engineering, retail sales,</w:t>
      </w:r>
    </w:p>
    <w:p>
      <w:pPr>
        <w:pStyle w:val="BodyText"/>
      </w:pPr>
      <w:r>
        <w:t>scaling infrastructure, in-person NYC, high-growth startup, equity, agentic systems, reasoning systems, data ingestion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