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systems</w:t>
      </w:r>
    </w:p>
    <w:p>
      <w:pPr>
        <w:pStyle w:val="BodyText"/>
      </w:pPr>
      <w:r>
        <w:t>engineering, ML applications, cross-disciplinary collaboration, AI Systems, GPU Performance, AI infrastructure,</w:t>
      </w:r>
    </w:p>
    <w:p>
      <w:pPr>
        <w:pStyle w:val="BodyText"/>
      </w:pPr>
      <w:r>
        <w:t>enterprise AI, inference, scalability, Senior Software Engineer, orchestration, GPU programming, performance</w:t>
      </w:r>
    </w:p>
    <w:p>
      <w:pPr>
        <w:pStyle w:val="BodyText"/>
      </w:pPr>
      <w:r>
        <w:t>optimization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