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BigQuery, Staff Engineer, API development, Data</w:t>
      </w:r>
    </w:p>
    <w:p>
      <w:pPr>
        <w:pStyle w:val="BodyText"/>
      </w:pPr>
      <w:r>
        <w:t>architecture, Cloud platforms, Financial metrics, Portfolio reporting, REST API, Agile methodology, Private equity,</w:t>
      </w:r>
    </w:p>
    <w:p>
      <w:pPr>
        <w:pStyle w:val="BodyText"/>
      </w:pPr>
      <w:r>
        <w:t>Venture capital, Scalable data pipelines, Generative AI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