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High-impact, In-person,</w:t>
      </w:r>
    </w:p>
    <w:p>
      <w:pPr>
        <w:pStyle w:val="BodyText"/>
      </w:pPr>
      <w:r>
        <w:t>Underserved Communities, NYC, Design, User Experience, Collaborative Culture, Greenfield Build, Venture-backed Startup,</w:t>
      </w:r>
    </w:p>
    <w:p>
      <w:pPr>
        <w:pStyle w:val="BodyText"/>
      </w:pPr>
      <w:r>
        <w:t>Product-minded, Engineering, Consumer Health, Mission-driven, Full-stack Engineer, Ownership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