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biocompatibility, regulatory</w:t>
      </w:r>
    </w:p>
    <w:p>
      <w:pPr>
        <w:pStyle w:val="BodyText"/>
      </w:pPr>
      <w:r>
        <w:t>requirements, R&amp;D plans, polymer modification, Blood Glucose Monitoring, organic synthesis, cross-functional</w:t>
      </w:r>
    </w:p>
    <w:p>
      <w:pPr>
        <w:pStyle w:val="BodyText"/>
      </w:pPr>
      <w:r>
        <w:t>cooperation, VP CGM Sensor Development, team leadership, laboratory management, ISO 13485, quality management,</w:t>
      </w:r>
    </w:p>
    <w:p>
      <w:pPr>
        <w:pStyle w:val="BodyText"/>
      </w:pPr>
      <w:r>
        <w:t>electronic intermediates, polymer outer membranes, Nanjing China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