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cross-functional</w:t>
      </w:r>
    </w:p>
    <w:p>
      <w:pPr>
        <w:pStyle w:val="BodyText"/>
      </w:pPr>
      <w:r>
        <w:t>collaboration, fault-resilient, Golang, multi-regional environments, cloud infrastructure, React, AI solutions, incident</w:t>
      </w:r>
    </w:p>
    <w:p>
      <w:pPr>
        <w:pStyle w:val="BodyText"/>
      </w:pPr>
      <w:r>
        <w:t>management, auto-scaling mechanisms, backend-oriented, Full Stack Engineer, scalable infrastructure, system resilience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