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41A" w:rsidRDefault="00756B11" w:rsidP="0029641A">
      <w:pPr>
        <w:pStyle w:val="Title"/>
      </w:pPr>
      <w:r>
        <w:t xml:space="preserve">Financial </w:t>
      </w:r>
      <w:r w:rsidR="00466244">
        <w:t>Statement</w:t>
      </w:r>
      <w:r>
        <w:t xml:space="preserve"> Review</w:t>
      </w:r>
    </w:p>
    <w:p w:rsidR="0029641A" w:rsidRPr="00736798" w:rsidRDefault="0029641A" w:rsidP="0029641A">
      <w:pPr>
        <w:rPr>
          <w:sz w:val="20"/>
        </w:rPr>
      </w:pPr>
      <w:r w:rsidRPr="00736798">
        <w:rPr>
          <w:sz w:val="20"/>
        </w:rPr>
        <w:t>Case Number</w:t>
      </w:r>
      <w:r w:rsidR="00D3637F" w:rsidRPr="00736798">
        <w:rPr>
          <w:sz w:val="20"/>
        </w:rPr>
        <w:t>:</w:t>
      </w:r>
      <w:r w:rsidRPr="00736798">
        <w:rPr>
          <w:sz w:val="20"/>
        </w:rPr>
        <w:t xml:space="preserve"> </w:t>
      </w:r>
      <w:r w:rsidR="00740E80" w:rsidRPr="00736798">
        <w:rPr>
          <w:sz w:val="20"/>
        </w:rPr>
        <w:fldChar w:fldCharType="begin"/>
      </w:r>
      <w:r w:rsidR="00740E80" w:rsidRPr="00736798">
        <w:rPr>
          <w:sz w:val="20"/>
        </w:rPr>
        <w:instrText xml:space="preserve"> MERGEFIELD  case_number  \* MERGEFORMAT </w:instrText>
      </w:r>
      <w:r w:rsidR="00740E80" w:rsidRPr="00736798">
        <w:rPr>
          <w:sz w:val="20"/>
        </w:rPr>
        <w:fldChar w:fldCharType="separate"/>
      </w:r>
      <w:r w:rsidR="001A0619">
        <w:rPr>
          <w:noProof/>
          <w:sz w:val="20"/>
        </w:rPr>
        <w:t>«case_number»</w:t>
      </w:r>
      <w:r w:rsidR="00740E80" w:rsidRPr="00736798">
        <w:rPr>
          <w:noProof/>
          <w:sz w:val="20"/>
        </w:rPr>
        <w:fldChar w:fldCharType="end"/>
      </w:r>
    </w:p>
    <w:p w:rsidR="00D3637F" w:rsidRPr="00736798" w:rsidRDefault="00D3637F" w:rsidP="0029641A">
      <w:pPr>
        <w:rPr>
          <w:sz w:val="20"/>
        </w:rPr>
      </w:pPr>
      <w:r w:rsidRPr="00736798">
        <w:rPr>
          <w:sz w:val="20"/>
        </w:rPr>
        <w:t xml:space="preserve">Condominium: </w:t>
      </w:r>
      <w:r w:rsidR="00740E80" w:rsidRPr="00736798">
        <w:rPr>
          <w:sz w:val="20"/>
        </w:rPr>
        <w:fldChar w:fldCharType="begin"/>
      </w:r>
      <w:r w:rsidR="00740E80" w:rsidRPr="00736798">
        <w:rPr>
          <w:sz w:val="20"/>
        </w:rPr>
        <w:instrText xml:space="preserve"> MERGEFIELD  condo_name  \* MERGEFORMAT </w:instrText>
      </w:r>
      <w:r w:rsidR="00740E80" w:rsidRPr="00736798">
        <w:rPr>
          <w:sz w:val="20"/>
        </w:rPr>
        <w:fldChar w:fldCharType="separate"/>
      </w:r>
      <w:r w:rsidR="001A0619">
        <w:rPr>
          <w:noProof/>
          <w:sz w:val="20"/>
        </w:rPr>
        <w:t>«condo_name»</w:t>
      </w:r>
      <w:r w:rsidR="00740E80" w:rsidRPr="00736798">
        <w:rPr>
          <w:noProof/>
          <w:sz w:val="20"/>
        </w:rPr>
        <w:fldChar w:fldCharType="end"/>
      </w:r>
    </w:p>
    <w:p w:rsidR="00D3637F" w:rsidRPr="00736798" w:rsidRDefault="00D3637F" w:rsidP="0029641A">
      <w:pPr>
        <w:rPr>
          <w:sz w:val="20"/>
        </w:rPr>
      </w:pPr>
      <w:r w:rsidRPr="00736798">
        <w:rPr>
          <w:sz w:val="20"/>
        </w:rPr>
        <w:t>Review completed by: Danny Brown</w:t>
      </w:r>
      <w:r w:rsidR="00F67959" w:rsidRPr="00736798">
        <w:rPr>
          <w:sz w:val="20"/>
        </w:rPr>
        <w:t>, Financial Examiner/Analyst II</w:t>
      </w:r>
    </w:p>
    <w:p w:rsidR="00CE0698" w:rsidRPr="00736798" w:rsidRDefault="00CE0698" w:rsidP="0029641A">
      <w:pPr>
        <w:rPr>
          <w:sz w:val="20"/>
        </w:rPr>
      </w:pPr>
      <w:r w:rsidRPr="00736798">
        <w:rPr>
          <w:sz w:val="20"/>
        </w:rPr>
        <w:t xml:space="preserve">Date review completed: </w:t>
      </w:r>
      <w:r w:rsidR="00740E80" w:rsidRPr="00736798">
        <w:rPr>
          <w:sz w:val="20"/>
        </w:rPr>
        <w:fldChar w:fldCharType="begin"/>
      </w:r>
      <w:r w:rsidR="00740E80" w:rsidRPr="00736798">
        <w:rPr>
          <w:sz w:val="20"/>
        </w:rPr>
        <w:instrText xml:space="preserve"> MERGEFIELD  review_date  \* MERGEFORMAT </w:instrText>
      </w:r>
      <w:r w:rsidR="00740E80" w:rsidRPr="00736798">
        <w:rPr>
          <w:sz w:val="20"/>
        </w:rPr>
        <w:fldChar w:fldCharType="separate"/>
      </w:r>
      <w:r w:rsidR="001A0619">
        <w:rPr>
          <w:noProof/>
          <w:sz w:val="20"/>
        </w:rPr>
        <w:t>«review_date»</w:t>
      </w:r>
      <w:r w:rsidR="00740E80" w:rsidRPr="00736798">
        <w:rPr>
          <w:noProof/>
          <w:sz w:val="20"/>
        </w:rPr>
        <w:fldChar w:fldCharType="end"/>
      </w:r>
    </w:p>
    <w:p w:rsidR="00D940E6" w:rsidRPr="00C11381" w:rsidRDefault="00D940E6" w:rsidP="00D940E6">
      <w:pPr>
        <w:pStyle w:val="Heading2"/>
        <w:rPr>
          <w:szCs w:val="25"/>
        </w:rPr>
      </w:pPr>
      <w:r w:rsidRPr="00C11381">
        <w:rPr>
          <w:szCs w:val="25"/>
        </w:rPr>
        <w:t>Association</w:t>
      </w:r>
      <w:r w:rsidR="00EC0B90" w:rsidRPr="00C11381">
        <w:rPr>
          <w:szCs w:val="25"/>
        </w:rPr>
        <w:t xml:space="preserve"> is Reporting at Appropriate Level</w:t>
      </w:r>
    </w:p>
    <w:p w:rsidR="00BD6639" w:rsidRPr="00B62590" w:rsidRDefault="000314C5" w:rsidP="00442226">
      <w:pPr>
        <w:rPr>
          <w:sz w:val="20"/>
        </w:rPr>
      </w:pPr>
      <w:r w:rsidRPr="00B62590">
        <w:rPr>
          <w:sz w:val="20"/>
        </w:rPr>
        <w:t xml:space="preserve">Based </w:t>
      </w:r>
      <w:r w:rsidR="001338A2" w:rsidRPr="00B62590">
        <w:rPr>
          <w:sz w:val="20"/>
        </w:rPr>
        <w:t>on Florida Statute 718.111(13</w:t>
      </w:r>
      <w:proofErr w:type="gramStart"/>
      <w:r w:rsidR="001338A2" w:rsidRPr="00B62590">
        <w:rPr>
          <w:sz w:val="20"/>
        </w:rPr>
        <w:t>)(</w:t>
      </w:r>
      <w:proofErr w:type="gramEnd"/>
      <w:r w:rsidR="001338A2" w:rsidRPr="00B62590">
        <w:rPr>
          <w:sz w:val="20"/>
        </w:rPr>
        <w:t>a</w:t>
      </w:r>
      <w:r w:rsidRPr="00B62590">
        <w:rPr>
          <w:sz w:val="20"/>
        </w:rPr>
        <w:t>) and the association’s annual revenues</w:t>
      </w:r>
      <w:r w:rsidR="00E05DE2" w:rsidRPr="00B62590">
        <w:rPr>
          <w:sz w:val="20"/>
        </w:rPr>
        <w:t xml:space="preserve"> as indicated by its financial statement</w:t>
      </w:r>
      <w:r w:rsidRPr="00B62590">
        <w:rPr>
          <w:sz w:val="20"/>
        </w:rPr>
        <w:t>, the association is required to prepare a</w:t>
      </w:r>
      <w:r w:rsidR="008F5007" w:rsidRPr="00B62590">
        <w:rPr>
          <w:sz w:val="20"/>
        </w:rPr>
        <w:t>(n)</w:t>
      </w:r>
      <w:r w:rsidRPr="00B62590">
        <w:rPr>
          <w:sz w:val="20"/>
        </w:rPr>
        <w:t xml:space="preserve"> </w:t>
      </w:r>
      <w:r w:rsidR="00F479DE" w:rsidRPr="00B62590">
        <w:rPr>
          <w:sz w:val="20"/>
        </w:rPr>
        <w:fldChar w:fldCharType="begin"/>
      </w:r>
      <w:r w:rsidR="00F479DE" w:rsidRPr="00B62590">
        <w:rPr>
          <w:sz w:val="20"/>
        </w:rPr>
        <w:instrText xml:space="preserve"> MERGEFIELD  reporting_level  \* MERGEFORMAT </w:instrText>
      </w:r>
      <w:r w:rsidR="00F479DE" w:rsidRPr="00B62590">
        <w:rPr>
          <w:sz w:val="20"/>
        </w:rPr>
        <w:fldChar w:fldCharType="separate"/>
      </w:r>
      <w:r w:rsidR="001A0619">
        <w:rPr>
          <w:noProof/>
          <w:sz w:val="20"/>
        </w:rPr>
        <w:t>«reporting_level»</w:t>
      </w:r>
      <w:r w:rsidR="00F479DE" w:rsidRPr="00B62590">
        <w:rPr>
          <w:sz w:val="20"/>
        </w:rPr>
        <w:fldChar w:fldCharType="end"/>
      </w:r>
      <w:r w:rsidR="00FE19AE" w:rsidRPr="00B62590">
        <w:rPr>
          <w:sz w:val="20"/>
        </w:rPr>
        <w:t>.</w:t>
      </w:r>
    </w:p>
    <w:tbl>
      <w:tblPr>
        <w:tblStyle w:val="TableGrid"/>
        <w:tblW w:w="0" w:type="auto"/>
        <w:tblLook w:val="04A0" w:firstRow="1" w:lastRow="0" w:firstColumn="1" w:lastColumn="0" w:noHBand="0" w:noVBand="1"/>
      </w:tblPr>
      <w:tblGrid>
        <w:gridCol w:w="6858"/>
        <w:gridCol w:w="2718"/>
      </w:tblGrid>
      <w:tr w:rsidR="00BD6639" w:rsidRPr="00B62590" w:rsidTr="00C0008F">
        <w:tc>
          <w:tcPr>
            <w:tcW w:w="6858" w:type="dxa"/>
          </w:tcPr>
          <w:p w:rsidR="00BD6639" w:rsidRPr="00B62590" w:rsidRDefault="00BD6639" w:rsidP="00BD6639">
            <w:pPr>
              <w:rPr>
                <w:sz w:val="20"/>
              </w:rPr>
            </w:pPr>
            <w:r w:rsidRPr="00B62590">
              <w:rPr>
                <w:sz w:val="20"/>
              </w:rPr>
              <w:t xml:space="preserve">The association prepared a report of the appropriate level. </w:t>
            </w:r>
          </w:p>
        </w:tc>
        <w:tc>
          <w:tcPr>
            <w:tcW w:w="2718" w:type="dxa"/>
          </w:tcPr>
          <w:p w:rsidR="00BD6639" w:rsidRPr="00B62590" w:rsidRDefault="005D5A4F" w:rsidP="00BD6639">
            <w:pPr>
              <w:jc w:val="center"/>
              <w:rPr>
                <w:sz w:val="20"/>
              </w:rPr>
            </w:pPr>
            <w:r w:rsidRPr="00B62590">
              <w:rPr>
                <w:sz w:val="20"/>
              </w:rPr>
              <w:fldChar w:fldCharType="begin"/>
            </w:r>
            <w:r w:rsidRPr="00B62590">
              <w:rPr>
                <w:sz w:val="20"/>
              </w:rPr>
              <w:instrText xml:space="preserve"> MERGEFIELD  correct_level  \* MERGEFORMAT </w:instrText>
            </w:r>
            <w:r w:rsidRPr="00B62590">
              <w:rPr>
                <w:sz w:val="20"/>
              </w:rPr>
              <w:fldChar w:fldCharType="separate"/>
            </w:r>
            <w:r w:rsidR="001A0619">
              <w:rPr>
                <w:noProof/>
                <w:sz w:val="20"/>
              </w:rPr>
              <w:t>«correct_level»</w:t>
            </w:r>
            <w:r w:rsidRPr="00B62590">
              <w:rPr>
                <w:noProof/>
                <w:sz w:val="20"/>
              </w:rPr>
              <w:fldChar w:fldCharType="end"/>
            </w:r>
          </w:p>
        </w:tc>
      </w:tr>
    </w:tbl>
    <w:p w:rsidR="00B62590" w:rsidRDefault="00B62590" w:rsidP="00B62590">
      <w:pPr>
        <w:pStyle w:val="Heading2"/>
        <w:rPr>
          <w:rFonts w:eastAsia="Calibri"/>
        </w:rPr>
      </w:pPr>
      <w:r>
        <w:rPr>
          <w:rFonts w:eastAsia="Calibri"/>
        </w:rPr>
        <w:t>Financial Statement Prepared by Independent Certified Public Accountant</w:t>
      </w:r>
    </w:p>
    <w:tbl>
      <w:tblPr>
        <w:tblStyle w:val="TableGrid"/>
        <w:tblW w:w="0" w:type="auto"/>
        <w:tblLook w:val="04A0" w:firstRow="1" w:lastRow="0" w:firstColumn="1" w:lastColumn="0" w:noHBand="0" w:noVBand="1"/>
      </w:tblPr>
      <w:tblGrid>
        <w:gridCol w:w="6858"/>
        <w:gridCol w:w="2718"/>
      </w:tblGrid>
      <w:tr w:rsidR="00B62590" w:rsidTr="00C0008F">
        <w:tc>
          <w:tcPr>
            <w:tcW w:w="6858" w:type="dxa"/>
          </w:tcPr>
          <w:p w:rsidR="00B62590" w:rsidRPr="00736798" w:rsidRDefault="00B62590" w:rsidP="00B62590">
            <w:pPr>
              <w:rPr>
                <w:sz w:val="20"/>
              </w:rPr>
            </w:pPr>
            <w:r w:rsidRPr="00736798">
              <w:rPr>
                <w:sz w:val="20"/>
              </w:rPr>
              <w:t>Required by Florida Administrative Rule 61B-22.006(1); not applicable for compiled financial statements.</w:t>
            </w:r>
          </w:p>
        </w:tc>
        <w:tc>
          <w:tcPr>
            <w:tcW w:w="2718" w:type="dxa"/>
          </w:tcPr>
          <w:p w:rsidR="00B62590" w:rsidRPr="00736798" w:rsidRDefault="00B62590" w:rsidP="00B62590">
            <w:pPr>
              <w:rPr>
                <w:sz w:val="20"/>
              </w:rPr>
            </w:pPr>
          </w:p>
          <w:p w:rsidR="00B62590" w:rsidRPr="00736798" w:rsidRDefault="00B62590" w:rsidP="00B62590">
            <w:pPr>
              <w:jc w:val="center"/>
              <w:rPr>
                <w:sz w:val="20"/>
              </w:rPr>
            </w:pPr>
            <w:r w:rsidRPr="00736798">
              <w:rPr>
                <w:sz w:val="20"/>
              </w:rPr>
              <w:fldChar w:fldCharType="begin"/>
            </w:r>
            <w:r w:rsidRPr="00736798">
              <w:rPr>
                <w:sz w:val="20"/>
              </w:rPr>
              <w:instrText xml:space="preserve"> MERGEFIELD  accountant_prep  \* MERGEFORMAT </w:instrText>
            </w:r>
            <w:r w:rsidRPr="00736798">
              <w:rPr>
                <w:sz w:val="20"/>
              </w:rPr>
              <w:fldChar w:fldCharType="separate"/>
            </w:r>
            <w:r w:rsidR="001A0619">
              <w:rPr>
                <w:noProof/>
                <w:sz w:val="20"/>
              </w:rPr>
              <w:t>«accountant_prep»</w:t>
            </w:r>
            <w:r w:rsidRPr="00736798">
              <w:rPr>
                <w:sz w:val="20"/>
              </w:rPr>
              <w:fldChar w:fldCharType="end"/>
            </w:r>
          </w:p>
        </w:tc>
      </w:tr>
    </w:tbl>
    <w:p w:rsidR="007170A7" w:rsidRPr="00C11381" w:rsidRDefault="00C0788C" w:rsidP="004D0048">
      <w:pPr>
        <w:pStyle w:val="Heading2"/>
        <w:rPr>
          <w:szCs w:val="25"/>
        </w:rPr>
      </w:pPr>
      <w:r w:rsidRPr="00C11381">
        <w:rPr>
          <w:szCs w:val="25"/>
        </w:rPr>
        <w:t>Components</w:t>
      </w:r>
      <w:r w:rsidR="007170A7" w:rsidRPr="00C11381">
        <w:rPr>
          <w:szCs w:val="25"/>
        </w:rPr>
        <w:t xml:space="preserve"> </w:t>
      </w:r>
      <w:r w:rsidRPr="00C11381">
        <w:rPr>
          <w:szCs w:val="25"/>
        </w:rPr>
        <w:t xml:space="preserve">required by </w:t>
      </w:r>
      <w:r w:rsidR="007170A7" w:rsidRPr="00C11381">
        <w:rPr>
          <w:szCs w:val="25"/>
        </w:rPr>
        <w:t xml:space="preserve">Florida </w:t>
      </w:r>
      <w:r w:rsidR="002D75E7" w:rsidRPr="00C11381">
        <w:rPr>
          <w:szCs w:val="25"/>
        </w:rPr>
        <w:t>Administrative Rule</w:t>
      </w:r>
      <w:r w:rsidR="007170A7" w:rsidRPr="00C11381">
        <w:rPr>
          <w:szCs w:val="25"/>
        </w:rPr>
        <w:t xml:space="preserve"> </w:t>
      </w:r>
      <w:r w:rsidR="002D75E7" w:rsidRPr="00C11381">
        <w:rPr>
          <w:szCs w:val="25"/>
        </w:rPr>
        <w:t>61B-22.006</w:t>
      </w:r>
      <w:r w:rsidRPr="00C11381">
        <w:rPr>
          <w:szCs w:val="25"/>
        </w:rPr>
        <w:t>(2)</w:t>
      </w:r>
    </w:p>
    <w:tbl>
      <w:tblPr>
        <w:tblStyle w:val="TableGrid"/>
        <w:tblW w:w="0" w:type="auto"/>
        <w:tblLook w:val="04A0" w:firstRow="1" w:lastRow="0" w:firstColumn="1" w:lastColumn="0" w:noHBand="0" w:noVBand="1"/>
      </w:tblPr>
      <w:tblGrid>
        <w:gridCol w:w="6858"/>
        <w:gridCol w:w="2718"/>
      </w:tblGrid>
      <w:tr w:rsidR="00D45288" w:rsidTr="0061238C">
        <w:tc>
          <w:tcPr>
            <w:tcW w:w="6858" w:type="dxa"/>
          </w:tcPr>
          <w:p w:rsidR="00D45288" w:rsidRPr="00736798" w:rsidRDefault="00BA57E7" w:rsidP="004453A4">
            <w:pPr>
              <w:rPr>
                <w:sz w:val="20"/>
              </w:rPr>
            </w:pPr>
            <w:r w:rsidRPr="00736798">
              <w:rPr>
                <w:sz w:val="20"/>
              </w:rPr>
              <w:t xml:space="preserve">(a) </w:t>
            </w:r>
            <w:r w:rsidR="00AC140E" w:rsidRPr="00736798">
              <w:rPr>
                <w:sz w:val="20"/>
              </w:rPr>
              <w:t>Accountant’s or auditor’s report (not a</w:t>
            </w:r>
            <w:r w:rsidRPr="00736798">
              <w:rPr>
                <w:sz w:val="20"/>
              </w:rPr>
              <w:t xml:space="preserve">pplicable to compiled </w:t>
            </w:r>
            <w:r w:rsidR="004453A4">
              <w:rPr>
                <w:sz w:val="20"/>
              </w:rPr>
              <w:t>statements</w:t>
            </w:r>
            <w:r w:rsidR="00786035">
              <w:rPr>
                <w:sz w:val="20"/>
              </w:rPr>
              <w:t>)</w:t>
            </w:r>
          </w:p>
        </w:tc>
        <w:bookmarkStart w:id="0" w:name="_GoBack"/>
        <w:bookmarkEnd w:id="0"/>
        <w:tc>
          <w:tcPr>
            <w:tcW w:w="2718" w:type="dxa"/>
          </w:tcPr>
          <w:p w:rsidR="00E3273C" w:rsidRPr="00736798" w:rsidRDefault="00B62590" w:rsidP="00E3273C">
            <w:pPr>
              <w:jc w:val="center"/>
              <w:rPr>
                <w:sz w:val="20"/>
              </w:rPr>
            </w:pPr>
            <w:r w:rsidRPr="00736798">
              <w:rPr>
                <w:sz w:val="20"/>
              </w:rPr>
              <w:fldChar w:fldCharType="begin"/>
            </w:r>
            <w:r w:rsidRPr="00736798">
              <w:rPr>
                <w:sz w:val="20"/>
              </w:rPr>
              <w:instrText xml:space="preserve"> MERGEFIELD  accountant_report  \* MERGEFORMAT </w:instrText>
            </w:r>
            <w:r w:rsidRPr="00736798">
              <w:rPr>
                <w:sz w:val="20"/>
              </w:rPr>
              <w:fldChar w:fldCharType="separate"/>
            </w:r>
            <w:r w:rsidR="001A0619">
              <w:rPr>
                <w:noProof/>
                <w:sz w:val="20"/>
              </w:rPr>
              <w:t>«accountant_report»</w:t>
            </w:r>
            <w:r w:rsidRPr="00736798">
              <w:rPr>
                <w:sz w:val="20"/>
              </w:rPr>
              <w:fldChar w:fldCharType="end"/>
            </w:r>
          </w:p>
        </w:tc>
      </w:tr>
      <w:tr w:rsidR="00D45288" w:rsidTr="0061238C">
        <w:tc>
          <w:tcPr>
            <w:tcW w:w="6858" w:type="dxa"/>
          </w:tcPr>
          <w:p w:rsidR="00D45288" w:rsidRPr="00736798" w:rsidRDefault="00BA57E7" w:rsidP="0029641A">
            <w:pPr>
              <w:rPr>
                <w:sz w:val="20"/>
              </w:rPr>
            </w:pPr>
            <w:r w:rsidRPr="00736798">
              <w:rPr>
                <w:sz w:val="20"/>
              </w:rPr>
              <w:t>(b) Balance sheet</w:t>
            </w:r>
          </w:p>
        </w:tc>
        <w:tc>
          <w:tcPr>
            <w:tcW w:w="2718" w:type="dxa"/>
          </w:tcPr>
          <w:p w:rsidR="00E3273C" w:rsidRPr="00736798" w:rsidRDefault="00B62590" w:rsidP="00E3273C">
            <w:pPr>
              <w:jc w:val="center"/>
              <w:rPr>
                <w:sz w:val="20"/>
              </w:rPr>
            </w:pPr>
            <w:r w:rsidRPr="00736798">
              <w:rPr>
                <w:sz w:val="20"/>
              </w:rPr>
              <w:fldChar w:fldCharType="begin"/>
            </w:r>
            <w:r w:rsidRPr="00736798">
              <w:rPr>
                <w:sz w:val="20"/>
              </w:rPr>
              <w:instrText xml:space="preserve"> MERGEFIELD  balance_sheet  \* MERGEFORMAT </w:instrText>
            </w:r>
            <w:r w:rsidRPr="00736798">
              <w:rPr>
                <w:sz w:val="20"/>
              </w:rPr>
              <w:fldChar w:fldCharType="separate"/>
            </w:r>
            <w:r w:rsidR="001A0619">
              <w:rPr>
                <w:noProof/>
                <w:sz w:val="20"/>
              </w:rPr>
              <w:t>«balance_sheet»</w:t>
            </w:r>
            <w:r w:rsidRPr="00736798">
              <w:rPr>
                <w:sz w:val="20"/>
              </w:rPr>
              <w:fldChar w:fldCharType="end"/>
            </w:r>
          </w:p>
        </w:tc>
      </w:tr>
      <w:tr w:rsidR="00BA57E7" w:rsidTr="0061238C">
        <w:tc>
          <w:tcPr>
            <w:tcW w:w="6858" w:type="dxa"/>
          </w:tcPr>
          <w:p w:rsidR="00BA57E7" w:rsidRPr="00736798" w:rsidRDefault="00BA57E7" w:rsidP="0029641A">
            <w:pPr>
              <w:rPr>
                <w:sz w:val="20"/>
              </w:rPr>
            </w:pPr>
            <w:r w:rsidRPr="00736798">
              <w:rPr>
                <w:sz w:val="20"/>
              </w:rPr>
              <w:t>(c) Statement of revenues and expenses</w:t>
            </w:r>
          </w:p>
        </w:tc>
        <w:tc>
          <w:tcPr>
            <w:tcW w:w="2718" w:type="dxa"/>
          </w:tcPr>
          <w:p w:rsidR="00BA57E7" w:rsidRPr="00736798" w:rsidRDefault="00B62590" w:rsidP="00E3273C">
            <w:pPr>
              <w:jc w:val="center"/>
              <w:rPr>
                <w:sz w:val="20"/>
              </w:rPr>
            </w:pPr>
            <w:r w:rsidRPr="00736798">
              <w:rPr>
                <w:sz w:val="20"/>
              </w:rPr>
              <w:fldChar w:fldCharType="begin"/>
            </w:r>
            <w:r w:rsidRPr="00736798">
              <w:rPr>
                <w:sz w:val="20"/>
              </w:rPr>
              <w:instrText xml:space="preserve"> MERGEFIELD  revenues_expenses  \* MERGEFORMAT </w:instrText>
            </w:r>
            <w:r w:rsidRPr="00736798">
              <w:rPr>
                <w:sz w:val="20"/>
              </w:rPr>
              <w:fldChar w:fldCharType="separate"/>
            </w:r>
            <w:r w:rsidR="001A0619">
              <w:rPr>
                <w:noProof/>
                <w:sz w:val="20"/>
              </w:rPr>
              <w:t>«revenues_expenses»</w:t>
            </w:r>
            <w:r w:rsidRPr="00736798">
              <w:rPr>
                <w:sz w:val="20"/>
              </w:rPr>
              <w:fldChar w:fldCharType="end"/>
            </w:r>
          </w:p>
        </w:tc>
      </w:tr>
      <w:tr w:rsidR="00BA57E7" w:rsidTr="0061238C">
        <w:tc>
          <w:tcPr>
            <w:tcW w:w="6858" w:type="dxa"/>
          </w:tcPr>
          <w:p w:rsidR="00BA57E7" w:rsidRPr="00736798" w:rsidRDefault="00BA57E7" w:rsidP="0029641A">
            <w:pPr>
              <w:rPr>
                <w:sz w:val="20"/>
              </w:rPr>
            </w:pPr>
            <w:r w:rsidRPr="00736798">
              <w:rPr>
                <w:sz w:val="20"/>
              </w:rPr>
              <w:t>(d) Statement of changes in fund balances</w:t>
            </w:r>
          </w:p>
        </w:tc>
        <w:tc>
          <w:tcPr>
            <w:tcW w:w="2718" w:type="dxa"/>
          </w:tcPr>
          <w:p w:rsidR="00BA57E7" w:rsidRPr="00736798" w:rsidRDefault="00B62590" w:rsidP="00E3273C">
            <w:pPr>
              <w:jc w:val="center"/>
              <w:rPr>
                <w:sz w:val="20"/>
              </w:rPr>
            </w:pPr>
            <w:r w:rsidRPr="00736798">
              <w:rPr>
                <w:sz w:val="20"/>
              </w:rPr>
              <w:fldChar w:fldCharType="begin"/>
            </w:r>
            <w:r w:rsidRPr="00736798">
              <w:rPr>
                <w:sz w:val="20"/>
              </w:rPr>
              <w:instrText xml:space="preserve"> MERGEFIELD  changes_funds  \* MERGEFORMAT </w:instrText>
            </w:r>
            <w:r w:rsidRPr="00736798">
              <w:rPr>
                <w:sz w:val="20"/>
              </w:rPr>
              <w:fldChar w:fldCharType="separate"/>
            </w:r>
            <w:r w:rsidR="001A0619">
              <w:rPr>
                <w:noProof/>
                <w:sz w:val="20"/>
              </w:rPr>
              <w:t>«changes_funds»</w:t>
            </w:r>
            <w:r w:rsidRPr="00736798">
              <w:rPr>
                <w:sz w:val="20"/>
              </w:rPr>
              <w:fldChar w:fldCharType="end"/>
            </w:r>
          </w:p>
        </w:tc>
      </w:tr>
      <w:tr w:rsidR="00BA57E7" w:rsidTr="0061238C">
        <w:tc>
          <w:tcPr>
            <w:tcW w:w="6858" w:type="dxa"/>
          </w:tcPr>
          <w:p w:rsidR="00BA57E7" w:rsidRPr="00736798" w:rsidRDefault="00BA57E7" w:rsidP="0029641A">
            <w:pPr>
              <w:rPr>
                <w:sz w:val="20"/>
              </w:rPr>
            </w:pPr>
            <w:r w:rsidRPr="00736798">
              <w:rPr>
                <w:sz w:val="20"/>
              </w:rPr>
              <w:t>(e) Statement of cash flows</w:t>
            </w:r>
          </w:p>
        </w:tc>
        <w:tc>
          <w:tcPr>
            <w:tcW w:w="2718" w:type="dxa"/>
          </w:tcPr>
          <w:p w:rsidR="00BA57E7" w:rsidRPr="00736798" w:rsidRDefault="00B62590" w:rsidP="00E3273C">
            <w:pPr>
              <w:jc w:val="center"/>
              <w:rPr>
                <w:sz w:val="20"/>
              </w:rPr>
            </w:pPr>
            <w:r w:rsidRPr="00736798">
              <w:rPr>
                <w:sz w:val="20"/>
              </w:rPr>
              <w:fldChar w:fldCharType="begin"/>
            </w:r>
            <w:r w:rsidRPr="00736798">
              <w:rPr>
                <w:sz w:val="20"/>
              </w:rPr>
              <w:instrText xml:space="preserve"> MERGEFIELD  cash_flows  \* MERGEFORMAT </w:instrText>
            </w:r>
            <w:r w:rsidRPr="00736798">
              <w:rPr>
                <w:sz w:val="20"/>
              </w:rPr>
              <w:fldChar w:fldCharType="separate"/>
            </w:r>
            <w:r w:rsidR="001A0619">
              <w:rPr>
                <w:noProof/>
                <w:sz w:val="20"/>
              </w:rPr>
              <w:t>«cash_flows»</w:t>
            </w:r>
            <w:r w:rsidRPr="00736798">
              <w:rPr>
                <w:sz w:val="20"/>
              </w:rPr>
              <w:fldChar w:fldCharType="end"/>
            </w:r>
          </w:p>
        </w:tc>
      </w:tr>
      <w:tr w:rsidR="00BA57E7" w:rsidTr="0061238C">
        <w:tc>
          <w:tcPr>
            <w:tcW w:w="6858" w:type="dxa"/>
          </w:tcPr>
          <w:p w:rsidR="00BA57E7" w:rsidRPr="00736798" w:rsidRDefault="00BA57E7" w:rsidP="0029641A">
            <w:pPr>
              <w:rPr>
                <w:sz w:val="20"/>
              </w:rPr>
            </w:pPr>
            <w:r w:rsidRPr="00736798">
              <w:rPr>
                <w:sz w:val="20"/>
              </w:rPr>
              <w:t>(f) Notes to financial statements</w:t>
            </w:r>
          </w:p>
        </w:tc>
        <w:tc>
          <w:tcPr>
            <w:tcW w:w="2718" w:type="dxa"/>
          </w:tcPr>
          <w:p w:rsidR="00BA57E7" w:rsidRPr="00736798" w:rsidRDefault="00B62590" w:rsidP="00E3273C">
            <w:pPr>
              <w:jc w:val="center"/>
              <w:rPr>
                <w:sz w:val="20"/>
              </w:rPr>
            </w:pPr>
            <w:r w:rsidRPr="00736798">
              <w:rPr>
                <w:sz w:val="20"/>
              </w:rPr>
              <w:fldChar w:fldCharType="begin"/>
            </w:r>
            <w:r w:rsidRPr="00736798">
              <w:rPr>
                <w:sz w:val="20"/>
              </w:rPr>
              <w:instrText xml:space="preserve"> MERGEFIELD  notes  \* MERGEFORMAT </w:instrText>
            </w:r>
            <w:r w:rsidRPr="00736798">
              <w:rPr>
                <w:sz w:val="20"/>
              </w:rPr>
              <w:fldChar w:fldCharType="separate"/>
            </w:r>
            <w:r w:rsidR="001A0619">
              <w:rPr>
                <w:noProof/>
                <w:sz w:val="20"/>
              </w:rPr>
              <w:t>«notes»</w:t>
            </w:r>
            <w:r w:rsidRPr="00736798">
              <w:rPr>
                <w:sz w:val="20"/>
              </w:rPr>
              <w:fldChar w:fldCharType="end"/>
            </w:r>
          </w:p>
        </w:tc>
      </w:tr>
    </w:tbl>
    <w:p w:rsidR="004D0048" w:rsidRPr="00C11381" w:rsidRDefault="00C11381" w:rsidP="004D0048">
      <w:pPr>
        <w:pStyle w:val="Heading2"/>
        <w:rPr>
          <w:szCs w:val="25"/>
        </w:rPr>
      </w:pPr>
      <w:r w:rsidRPr="00C11381">
        <w:rPr>
          <w:szCs w:val="25"/>
        </w:rPr>
        <w:t>Reserve disclosures r</w:t>
      </w:r>
      <w:r w:rsidR="006B61F9" w:rsidRPr="00C11381">
        <w:rPr>
          <w:szCs w:val="25"/>
        </w:rPr>
        <w:t>equired by Florida Administrative Rule 61B-22.006(3</w:t>
      </w:r>
      <w:proofErr w:type="gramStart"/>
      <w:r w:rsidR="006B61F9" w:rsidRPr="00C11381">
        <w:rPr>
          <w:szCs w:val="25"/>
        </w:rPr>
        <w:t>)</w:t>
      </w:r>
      <w:r w:rsidR="0051487D" w:rsidRPr="00C11381">
        <w:rPr>
          <w:szCs w:val="25"/>
        </w:rPr>
        <w:t>(</w:t>
      </w:r>
      <w:proofErr w:type="gramEnd"/>
      <w:r w:rsidR="0051487D" w:rsidRPr="00C11381">
        <w:rPr>
          <w:szCs w:val="25"/>
        </w:rPr>
        <w:t>a)</w:t>
      </w:r>
    </w:p>
    <w:tbl>
      <w:tblPr>
        <w:tblStyle w:val="TableGrid"/>
        <w:tblW w:w="9558" w:type="dxa"/>
        <w:tblLook w:val="04A0" w:firstRow="1" w:lastRow="0" w:firstColumn="1" w:lastColumn="0" w:noHBand="0" w:noVBand="1"/>
      </w:tblPr>
      <w:tblGrid>
        <w:gridCol w:w="6858"/>
        <w:gridCol w:w="2700"/>
      </w:tblGrid>
      <w:tr w:rsidR="004D0048" w:rsidTr="0061238C">
        <w:tc>
          <w:tcPr>
            <w:tcW w:w="6858" w:type="dxa"/>
          </w:tcPr>
          <w:p w:rsidR="004D0048" w:rsidRPr="005D5A4F" w:rsidRDefault="00C11381" w:rsidP="004D0048">
            <w:pPr>
              <w:rPr>
                <w:sz w:val="20"/>
              </w:rPr>
            </w:pPr>
            <w:r w:rsidRPr="005D5A4F">
              <w:rPr>
                <w:sz w:val="20"/>
              </w:rPr>
              <w:t>The beginning balance in each reserve account as of the beginning of the fiscal period covered by the financial statements.</w:t>
            </w:r>
          </w:p>
        </w:tc>
        <w:tc>
          <w:tcPr>
            <w:tcW w:w="2700" w:type="dxa"/>
          </w:tcPr>
          <w:p w:rsidR="004D0048" w:rsidRPr="005D5A4F" w:rsidRDefault="004D0048" w:rsidP="00591613">
            <w:pPr>
              <w:jc w:val="center"/>
              <w:rPr>
                <w:sz w:val="20"/>
              </w:rPr>
            </w:pPr>
          </w:p>
          <w:p w:rsidR="00B62590" w:rsidRPr="005D5A4F" w:rsidRDefault="00B62590" w:rsidP="00591613">
            <w:pPr>
              <w:jc w:val="center"/>
              <w:rPr>
                <w:sz w:val="20"/>
              </w:rPr>
            </w:pPr>
            <w:r w:rsidRPr="005D5A4F">
              <w:rPr>
                <w:sz w:val="20"/>
              </w:rPr>
              <w:fldChar w:fldCharType="begin"/>
            </w:r>
            <w:r w:rsidRPr="005D5A4F">
              <w:rPr>
                <w:sz w:val="20"/>
              </w:rPr>
              <w:instrText xml:space="preserve"> MERGEFIELD  beginning_reserves  \* MERGEFORMAT </w:instrText>
            </w:r>
            <w:r w:rsidRPr="005D5A4F">
              <w:rPr>
                <w:sz w:val="20"/>
              </w:rPr>
              <w:fldChar w:fldCharType="separate"/>
            </w:r>
            <w:r w:rsidR="001A0619">
              <w:rPr>
                <w:noProof/>
                <w:sz w:val="20"/>
              </w:rPr>
              <w:t>«beginning_reserves»</w:t>
            </w:r>
            <w:r w:rsidRPr="005D5A4F">
              <w:rPr>
                <w:sz w:val="20"/>
              </w:rPr>
              <w:fldChar w:fldCharType="end"/>
            </w:r>
          </w:p>
        </w:tc>
      </w:tr>
      <w:tr w:rsidR="004D0048" w:rsidTr="0061238C">
        <w:tc>
          <w:tcPr>
            <w:tcW w:w="6858" w:type="dxa"/>
          </w:tcPr>
          <w:p w:rsidR="004D0048" w:rsidRPr="005D5A4F" w:rsidRDefault="00C11381" w:rsidP="004D0048">
            <w:pPr>
              <w:rPr>
                <w:sz w:val="20"/>
              </w:rPr>
            </w:pPr>
            <w:r w:rsidRPr="005D5A4F">
              <w:rPr>
                <w:sz w:val="20"/>
              </w:rPr>
              <w:t>The amount of assessments and other additions to each reserve account including authorized transfers from other reserve accounts.</w:t>
            </w:r>
          </w:p>
        </w:tc>
        <w:tc>
          <w:tcPr>
            <w:tcW w:w="2700" w:type="dxa"/>
          </w:tcPr>
          <w:p w:rsidR="004D0048" w:rsidRPr="005D5A4F" w:rsidRDefault="004D0048" w:rsidP="00591613">
            <w:pPr>
              <w:jc w:val="center"/>
              <w:rPr>
                <w:sz w:val="20"/>
              </w:rPr>
            </w:pPr>
          </w:p>
          <w:p w:rsidR="00B62590" w:rsidRPr="005D5A4F" w:rsidRDefault="00B62590" w:rsidP="00591613">
            <w:pPr>
              <w:jc w:val="center"/>
              <w:rPr>
                <w:sz w:val="20"/>
              </w:rPr>
            </w:pPr>
            <w:r w:rsidRPr="005D5A4F">
              <w:rPr>
                <w:sz w:val="20"/>
              </w:rPr>
              <w:fldChar w:fldCharType="begin"/>
            </w:r>
            <w:r w:rsidRPr="005D5A4F">
              <w:rPr>
                <w:sz w:val="20"/>
              </w:rPr>
              <w:instrText xml:space="preserve"> MERGEFIELD  reserve_additions  \* MERGEFORMAT </w:instrText>
            </w:r>
            <w:r w:rsidRPr="005D5A4F">
              <w:rPr>
                <w:sz w:val="20"/>
              </w:rPr>
              <w:fldChar w:fldCharType="separate"/>
            </w:r>
            <w:r w:rsidR="001A0619">
              <w:rPr>
                <w:noProof/>
                <w:sz w:val="20"/>
              </w:rPr>
              <w:t>«reserve_additions»</w:t>
            </w:r>
            <w:r w:rsidRPr="005D5A4F">
              <w:rPr>
                <w:sz w:val="20"/>
              </w:rPr>
              <w:fldChar w:fldCharType="end"/>
            </w:r>
          </w:p>
        </w:tc>
      </w:tr>
      <w:tr w:rsidR="004D0048" w:rsidTr="0061238C">
        <w:tc>
          <w:tcPr>
            <w:tcW w:w="6858" w:type="dxa"/>
          </w:tcPr>
          <w:p w:rsidR="004D0048" w:rsidRPr="005D5A4F" w:rsidRDefault="00C11381" w:rsidP="004D0048">
            <w:pPr>
              <w:rPr>
                <w:sz w:val="20"/>
              </w:rPr>
            </w:pPr>
            <w:r w:rsidRPr="005D5A4F">
              <w:rPr>
                <w:sz w:val="20"/>
              </w:rPr>
              <w:t>The amount expended or removed from each reserve account, including authorized transfers to other reserve accounts.</w:t>
            </w:r>
          </w:p>
        </w:tc>
        <w:tc>
          <w:tcPr>
            <w:tcW w:w="2700" w:type="dxa"/>
          </w:tcPr>
          <w:p w:rsidR="004D0048" w:rsidRPr="005D5A4F" w:rsidRDefault="004D0048" w:rsidP="00591613">
            <w:pPr>
              <w:jc w:val="center"/>
              <w:rPr>
                <w:sz w:val="20"/>
              </w:rPr>
            </w:pPr>
          </w:p>
          <w:p w:rsidR="00B62590" w:rsidRPr="005D5A4F" w:rsidRDefault="00B62590" w:rsidP="00591613">
            <w:pPr>
              <w:jc w:val="center"/>
              <w:rPr>
                <w:sz w:val="20"/>
              </w:rPr>
            </w:pPr>
            <w:r w:rsidRPr="005D5A4F">
              <w:rPr>
                <w:sz w:val="20"/>
              </w:rPr>
              <w:fldChar w:fldCharType="begin"/>
            </w:r>
            <w:r w:rsidRPr="005D5A4F">
              <w:rPr>
                <w:sz w:val="20"/>
              </w:rPr>
              <w:instrText xml:space="preserve"> MERGEFIELD  reserve_expenditures  \* MERGEFORMAT </w:instrText>
            </w:r>
            <w:r w:rsidRPr="005D5A4F">
              <w:rPr>
                <w:sz w:val="20"/>
              </w:rPr>
              <w:fldChar w:fldCharType="separate"/>
            </w:r>
            <w:r w:rsidR="001A0619">
              <w:rPr>
                <w:noProof/>
                <w:sz w:val="20"/>
              </w:rPr>
              <w:t>«reserve_expenditures»</w:t>
            </w:r>
            <w:r w:rsidRPr="005D5A4F">
              <w:rPr>
                <w:sz w:val="20"/>
              </w:rPr>
              <w:fldChar w:fldCharType="end"/>
            </w:r>
          </w:p>
        </w:tc>
      </w:tr>
      <w:tr w:rsidR="00E3273C" w:rsidTr="0061238C">
        <w:tc>
          <w:tcPr>
            <w:tcW w:w="6858" w:type="dxa"/>
          </w:tcPr>
          <w:p w:rsidR="00E3273C" w:rsidRPr="005D5A4F" w:rsidRDefault="00C11381" w:rsidP="0069028E">
            <w:pPr>
              <w:rPr>
                <w:sz w:val="20"/>
              </w:rPr>
            </w:pPr>
            <w:r w:rsidRPr="005D5A4F">
              <w:rPr>
                <w:sz w:val="20"/>
              </w:rPr>
              <w:t>The ending balance in each reserve account as of the end of the fiscal period covered by the financial statements.</w:t>
            </w:r>
          </w:p>
        </w:tc>
        <w:tc>
          <w:tcPr>
            <w:tcW w:w="2700" w:type="dxa"/>
          </w:tcPr>
          <w:p w:rsidR="00E3273C" w:rsidRPr="005D5A4F" w:rsidRDefault="00E3273C" w:rsidP="0069028E">
            <w:pPr>
              <w:jc w:val="center"/>
              <w:rPr>
                <w:sz w:val="20"/>
              </w:rPr>
            </w:pPr>
          </w:p>
          <w:p w:rsidR="00B62590" w:rsidRPr="005D5A4F" w:rsidRDefault="00B62590" w:rsidP="0069028E">
            <w:pPr>
              <w:jc w:val="center"/>
              <w:rPr>
                <w:sz w:val="20"/>
              </w:rPr>
            </w:pPr>
            <w:r w:rsidRPr="005D5A4F">
              <w:rPr>
                <w:sz w:val="20"/>
              </w:rPr>
              <w:fldChar w:fldCharType="begin"/>
            </w:r>
            <w:r w:rsidRPr="005D5A4F">
              <w:rPr>
                <w:sz w:val="20"/>
              </w:rPr>
              <w:instrText xml:space="preserve"> MERGEFIELD  ending_reserves  \* MERGEFORMAT </w:instrText>
            </w:r>
            <w:r w:rsidRPr="005D5A4F">
              <w:rPr>
                <w:sz w:val="20"/>
              </w:rPr>
              <w:fldChar w:fldCharType="separate"/>
            </w:r>
            <w:r w:rsidR="001A0619">
              <w:rPr>
                <w:noProof/>
                <w:sz w:val="20"/>
              </w:rPr>
              <w:t>«ending_reserves»</w:t>
            </w:r>
            <w:r w:rsidRPr="005D5A4F">
              <w:rPr>
                <w:sz w:val="20"/>
              </w:rPr>
              <w:fldChar w:fldCharType="end"/>
            </w:r>
          </w:p>
        </w:tc>
      </w:tr>
      <w:tr w:rsidR="00E3273C" w:rsidTr="0061238C">
        <w:tc>
          <w:tcPr>
            <w:tcW w:w="6858" w:type="dxa"/>
          </w:tcPr>
          <w:p w:rsidR="00E3273C" w:rsidRPr="005D5A4F" w:rsidRDefault="00C11381" w:rsidP="0069028E">
            <w:pPr>
              <w:rPr>
                <w:sz w:val="20"/>
              </w:rPr>
            </w:pPr>
            <w:r w:rsidRPr="005D5A4F">
              <w:rPr>
                <w:sz w:val="20"/>
              </w:rPr>
              <w:t>The amount of annual funding required to fully fund each reserve account, or pool of accounts, over the remaining useful life of the applicable asset or group of assets.</w:t>
            </w:r>
          </w:p>
        </w:tc>
        <w:tc>
          <w:tcPr>
            <w:tcW w:w="2700" w:type="dxa"/>
          </w:tcPr>
          <w:p w:rsidR="00E3273C" w:rsidRPr="005D5A4F" w:rsidRDefault="00E3273C" w:rsidP="0069028E">
            <w:pPr>
              <w:jc w:val="center"/>
              <w:rPr>
                <w:sz w:val="20"/>
              </w:rPr>
            </w:pPr>
          </w:p>
          <w:p w:rsidR="00B62590" w:rsidRPr="005D5A4F" w:rsidRDefault="00B62590" w:rsidP="0069028E">
            <w:pPr>
              <w:jc w:val="center"/>
              <w:rPr>
                <w:sz w:val="20"/>
              </w:rPr>
            </w:pPr>
            <w:r w:rsidRPr="005D5A4F">
              <w:rPr>
                <w:sz w:val="20"/>
              </w:rPr>
              <w:fldChar w:fldCharType="begin"/>
            </w:r>
            <w:r w:rsidRPr="005D5A4F">
              <w:rPr>
                <w:sz w:val="20"/>
              </w:rPr>
              <w:instrText xml:space="preserve"> MERGEFIELD  annual_funding  \* MERGEFORMAT </w:instrText>
            </w:r>
            <w:r w:rsidRPr="005D5A4F">
              <w:rPr>
                <w:sz w:val="20"/>
              </w:rPr>
              <w:fldChar w:fldCharType="separate"/>
            </w:r>
            <w:r w:rsidR="001A0619">
              <w:rPr>
                <w:noProof/>
                <w:sz w:val="20"/>
              </w:rPr>
              <w:t>«annual_funding»</w:t>
            </w:r>
            <w:r w:rsidRPr="005D5A4F">
              <w:rPr>
                <w:sz w:val="20"/>
              </w:rPr>
              <w:fldChar w:fldCharType="end"/>
            </w:r>
          </w:p>
        </w:tc>
      </w:tr>
      <w:tr w:rsidR="00E3273C" w:rsidTr="0061238C">
        <w:tc>
          <w:tcPr>
            <w:tcW w:w="6858" w:type="dxa"/>
          </w:tcPr>
          <w:p w:rsidR="00E3273C" w:rsidRPr="005D5A4F" w:rsidRDefault="00C11381" w:rsidP="0069028E">
            <w:pPr>
              <w:rPr>
                <w:sz w:val="20"/>
              </w:rPr>
            </w:pPr>
            <w:r w:rsidRPr="005D5A4F">
              <w:rPr>
                <w:sz w:val="20"/>
              </w:rPr>
              <w:t xml:space="preserve">The manner by which reserve items were estimated, the date the estimates were last made, the association’s policies for allocating reserve fund interest, and </w:t>
            </w:r>
            <w:proofErr w:type="spellStart"/>
            <w:r w:rsidRPr="005D5A4F">
              <w:rPr>
                <w:sz w:val="20"/>
              </w:rPr>
              <w:t>wheter</w:t>
            </w:r>
            <w:proofErr w:type="spellEnd"/>
            <w:r w:rsidRPr="005D5A4F">
              <w:rPr>
                <w:sz w:val="20"/>
              </w:rPr>
              <w:t xml:space="preserve"> reserves have been waived during the period covered by the financial statements.</w:t>
            </w:r>
          </w:p>
        </w:tc>
        <w:tc>
          <w:tcPr>
            <w:tcW w:w="2700" w:type="dxa"/>
          </w:tcPr>
          <w:p w:rsidR="00E3273C" w:rsidRPr="005D5A4F" w:rsidRDefault="00E3273C" w:rsidP="0069028E">
            <w:pPr>
              <w:jc w:val="center"/>
              <w:rPr>
                <w:sz w:val="20"/>
              </w:rPr>
            </w:pPr>
          </w:p>
          <w:p w:rsidR="00B62590" w:rsidRPr="005D5A4F" w:rsidRDefault="00B62590" w:rsidP="0069028E">
            <w:pPr>
              <w:jc w:val="center"/>
              <w:rPr>
                <w:sz w:val="20"/>
              </w:rPr>
            </w:pPr>
          </w:p>
          <w:p w:rsidR="00B62590" w:rsidRPr="005D5A4F" w:rsidRDefault="00B62590" w:rsidP="00736798">
            <w:pPr>
              <w:jc w:val="center"/>
              <w:rPr>
                <w:sz w:val="20"/>
              </w:rPr>
            </w:pPr>
            <w:r w:rsidRPr="005D5A4F">
              <w:rPr>
                <w:sz w:val="20"/>
              </w:rPr>
              <w:fldChar w:fldCharType="begin"/>
            </w:r>
            <w:r w:rsidRPr="005D5A4F">
              <w:rPr>
                <w:sz w:val="20"/>
              </w:rPr>
              <w:instrText xml:space="preserve"> MERGEFIELD  reserves_manner  \* MERGEFORMAT </w:instrText>
            </w:r>
            <w:r w:rsidRPr="005D5A4F">
              <w:rPr>
                <w:sz w:val="20"/>
              </w:rPr>
              <w:fldChar w:fldCharType="separate"/>
            </w:r>
            <w:r w:rsidR="001A0619">
              <w:rPr>
                <w:noProof/>
                <w:sz w:val="20"/>
              </w:rPr>
              <w:t>«reserves_manner»</w:t>
            </w:r>
            <w:r w:rsidRPr="005D5A4F">
              <w:rPr>
                <w:sz w:val="20"/>
              </w:rPr>
              <w:fldChar w:fldCharType="end"/>
            </w:r>
          </w:p>
        </w:tc>
      </w:tr>
      <w:tr w:rsidR="00E3273C" w:rsidTr="0061238C">
        <w:tc>
          <w:tcPr>
            <w:tcW w:w="6858" w:type="dxa"/>
          </w:tcPr>
          <w:p w:rsidR="00E3273C" w:rsidRPr="005D5A4F" w:rsidRDefault="009826E6" w:rsidP="0069028E">
            <w:pPr>
              <w:rPr>
                <w:sz w:val="20"/>
              </w:rPr>
            </w:pPr>
            <w:r w:rsidRPr="005D5A4F">
              <w:rPr>
                <w:sz w:val="20"/>
              </w:rPr>
              <w:t>If the developer has established converter reserves pursuant to Section 718.618(1), F.S., each converter reserve account shall be identified and include the disclosures required by this rule.</w:t>
            </w:r>
          </w:p>
        </w:tc>
        <w:tc>
          <w:tcPr>
            <w:tcW w:w="2700" w:type="dxa"/>
          </w:tcPr>
          <w:p w:rsidR="00E3273C" w:rsidRPr="005D5A4F" w:rsidRDefault="00E3273C" w:rsidP="0069028E">
            <w:pPr>
              <w:jc w:val="center"/>
              <w:rPr>
                <w:sz w:val="20"/>
              </w:rPr>
            </w:pPr>
          </w:p>
          <w:p w:rsidR="009826E6" w:rsidRPr="005D5A4F" w:rsidRDefault="009826E6" w:rsidP="0069028E">
            <w:pPr>
              <w:jc w:val="center"/>
              <w:rPr>
                <w:sz w:val="20"/>
              </w:rPr>
            </w:pPr>
            <w:r w:rsidRPr="005D5A4F">
              <w:rPr>
                <w:sz w:val="20"/>
              </w:rPr>
              <w:t>N/A</w:t>
            </w:r>
          </w:p>
        </w:tc>
      </w:tr>
    </w:tbl>
    <w:p w:rsidR="005E3B69" w:rsidRDefault="005E3B69" w:rsidP="005E3B69">
      <w:pPr>
        <w:pStyle w:val="Heading2"/>
      </w:pPr>
      <w:r>
        <w:t xml:space="preserve">Less Frequently Required Disclosures </w:t>
      </w:r>
      <w:r w:rsidR="00F7622B">
        <w:t>cited</w:t>
      </w:r>
      <w:r w:rsidR="00521F53">
        <w:t xml:space="preserve"> by FAR 61B-22.006(3), s.</w:t>
      </w:r>
      <w:r>
        <w:t xml:space="preserve"> (b</w:t>
      </w:r>
      <w:r w:rsidR="00521F53">
        <w:t>)</w:t>
      </w:r>
      <w:r>
        <w:t>-</w:t>
      </w:r>
      <w:r w:rsidR="00521F53">
        <w:t>(</w:t>
      </w:r>
      <w:r>
        <w:t>e)</w:t>
      </w:r>
    </w:p>
    <w:tbl>
      <w:tblPr>
        <w:tblStyle w:val="TableGrid"/>
        <w:tblW w:w="0" w:type="auto"/>
        <w:tblLayout w:type="fixed"/>
        <w:tblLook w:val="04A0" w:firstRow="1" w:lastRow="0" w:firstColumn="1" w:lastColumn="0" w:noHBand="0" w:noVBand="1"/>
      </w:tblPr>
      <w:tblGrid>
        <w:gridCol w:w="6858"/>
        <w:gridCol w:w="2718"/>
      </w:tblGrid>
      <w:tr w:rsidR="00F7622B" w:rsidTr="005D5A4F">
        <w:tc>
          <w:tcPr>
            <w:tcW w:w="6858" w:type="dxa"/>
          </w:tcPr>
          <w:p w:rsidR="00F7622B" w:rsidRPr="005D5A4F" w:rsidRDefault="00F7622B" w:rsidP="00F7622B">
            <w:pPr>
              <w:rPr>
                <w:sz w:val="20"/>
              </w:rPr>
            </w:pPr>
            <w:r w:rsidRPr="005D5A4F">
              <w:rPr>
                <w:sz w:val="20"/>
              </w:rPr>
              <w:t>The method by which income and expenses were allocated to the</w:t>
            </w:r>
          </w:p>
          <w:p w:rsidR="00F7622B" w:rsidRPr="005D5A4F" w:rsidRDefault="00F7622B" w:rsidP="00F7622B">
            <w:pPr>
              <w:rPr>
                <w:sz w:val="20"/>
              </w:rPr>
            </w:pPr>
            <w:proofErr w:type="gramStart"/>
            <w:r w:rsidRPr="005D5A4F">
              <w:rPr>
                <w:sz w:val="20"/>
              </w:rPr>
              <w:t>unit</w:t>
            </w:r>
            <w:proofErr w:type="gramEnd"/>
            <w:r w:rsidRPr="005D5A4F">
              <w:rPr>
                <w:sz w:val="20"/>
              </w:rPr>
              <w:t xml:space="preserve"> owners.</w:t>
            </w:r>
          </w:p>
        </w:tc>
        <w:tc>
          <w:tcPr>
            <w:tcW w:w="2718" w:type="dxa"/>
          </w:tcPr>
          <w:p w:rsidR="005D5A4F" w:rsidRPr="005D5A4F" w:rsidRDefault="005D5A4F" w:rsidP="005D5A4F">
            <w:pPr>
              <w:jc w:val="center"/>
              <w:rPr>
                <w:sz w:val="20"/>
              </w:rPr>
            </w:pPr>
            <w:r w:rsidRPr="005D5A4F">
              <w:rPr>
                <w:sz w:val="20"/>
              </w:rPr>
              <w:fldChar w:fldCharType="begin"/>
            </w:r>
            <w:r w:rsidRPr="005D5A4F">
              <w:rPr>
                <w:sz w:val="20"/>
              </w:rPr>
              <w:instrText xml:space="preserve"> MERGEFIELD  method_allocation  \* MERGEFORMAT </w:instrText>
            </w:r>
            <w:r w:rsidRPr="005D5A4F">
              <w:rPr>
                <w:sz w:val="20"/>
              </w:rPr>
              <w:fldChar w:fldCharType="separate"/>
            </w:r>
            <w:r w:rsidR="001A0619">
              <w:rPr>
                <w:noProof/>
                <w:sz w:val="20"/>
              </w:rPr>
              <w:t>«method_allocation»</w:t>
            </w:r>
            <w:r w:rsidRPr="005D5A4F">
              <w:rPr>
                <w:sz w:val="20"/>
              </w:rPr>
              <w:fldChar w:fldCharType="end"/>
            </w:r>
          </w:p>
        </w:tc>
      </w:tr>
      <w:tr w:rsidR="00F7622B" w:rsidTr="005D5A4F">
        <w:tc>
          <w:tcPr>
            <w:tcW w:w="6858" w:type="dxa"/>
          </w:tcPr>
          <w:p w:rsidR="00F7622B" w:rsidRPr="005D5A4F" w:rsidRDefault="00F7622B" w:rsidP="00F7622B">
            <w:pPr>
              <w:rPr>
                <w:sz w:val="20"/>
              </w:rPr>
            </w:pPr>
            <w:r w:rsidRPr="005D5A4F">
              <w:rPr>
                <w:sz w:val="20"/>
              </w:rPr>
              <w:t>The specific purpose or purposes of any special assessments to unit owners pursuant to Section 718.116(10), F.S., and the amount of each special assessment and the disposition of the funds collected.</w:t>
            </w:r>
          </w:p>
        </w:tc>
        <w:tc>
          <w:tcPr>
            <w:tcW w:w="2718" w:type="dxa"/>
          </w:tcPr>
          <w:p w:rsidR="005D5A4F" w:rsidRPr="005D5A4F" w:rsidRDefault="005D5A4F" w:rsidP="005D5A4F">
            <w:pPr>
              <w:jc w:val="center"/>
              <w:rPr>
                <w:sz w:val="20"/>
              </w:rPr>
            </w:pPr>
            <w:r w:rsidRPr="005D5A4F">
              <w:rPr>
                <w:sz w:val="20"/>
              </w:rPr>
              <w:fldChar w:fldCharType="begin"/>
            </w:r>
            <w:r w:rsidRPr="005D5A4F">
              <w:rPr>
                <w:sz w:val="20"/>
              </w:rPr>
              <w:instrText xml:space="preserve"> MERGEFIELD  special_assessments  \* MERGEFORMAT </w:instrText>
            </w:r>
            <w:r w:rsidRPr="005D5A4F">
              <w:rPr>
                <w:sz w:val="20"/>
              </w:rPr>
              <w:fldChar w:fldCharType="separate"/>
            </w:r>
            <w:r w:rsidR="001A0619">
              <w:rPr>
                <w:noProof/>
                <w:sz w:val="20"/>
              </w:rPr>
              <w:t>«special_assessments»</w:t>
            </w:r>
            <w:r w:rsidRPr="005D5A4F">
              <w:rPr>
                <w:sz w:val="20"/>
              </w:rPr>
              <w:fldChar w:fldCharType="end"/>
            </w:r>
          </w:p>
        </w:tc>
      </w:tr>
      <w:tr w:rsidR="005D5A4F" w:rsidTr="005D5A4F">
        <w:tc>
          <w:tcPr>
            <w:tcW w:w="6858" w:type="dxa"/>
          </w:tcPr>
          <w:p w:rsidR="005D5A4F" w:rsidRPr="005D5A4F" w:rsidRDefault="005D5A4F" w:rsidP="00E30F11">
            <w:pPr>
              <w:rPr>
                <w:sz w:val="20"/>
              </w:rPr>
            </w:pPr>
            <w:r w:rsidRPr="005D5A4F">
              <w:rPr>
                <w:sz w:val="20"/>
              </w:rPr>
              <w:t>The amount of revenues and expenses related to limited common elements shall be disclosed when the association maintains the limited commons elements and the expense is apportioned to those unit owners entitled to exclusive use of the limited common elements.</w:t>
            </w:r>
          </w:p>
        </w:tc>
        <w:tc>
          <w:tcPr>
            <w:tcW w:w="2718" w:type="dxa"/>
          </w:tcPr>
          <w:p w:rsidR="005D5A4F" w:rsidRPr="005D5A4F" w:rsidRDefault="005D5A4F" w:rsidP="00EE3CBA">
            <w:pPr>
              <w:jc w:val="center"/>
              <w:rPr>
                <w:sz w:val="20"/>
              </w:rPr>
            </w:pPr>
          </w:p>
          <w:p w:rsidR="005D5A4F" w:rsidRPr="005D5A4F" w:rsidRDefault="005D5A4F" w:rsidP="00EE3CBA">
            <w:pPr>
              <w:jc w:val="center"/>
              <w:rPr>
                <w:sz w:val="20"/>
              </w:rPr>
            </w:pPr>
            <w:r w:rsidRPr="005D5A4F">
              <w:rPr>
                <w:sz w:val="20"/>
              </w:rPr>
              <w:fldChar w:fldCharType="begin"/>
            </w:r>
            <w:r w:rsidRPr="005D5A4F">
              <w:rPr>
                <w:sz w:val="20"/>
              </w:rPr>
              <w:instrText xml:space="preserve"> MERGEFIELD  limited_common_elements  \* MERGEFORMAT </w:instrText>
            </w:r>
            <w:r w:rsidRPr="005D5A4F">
              <w:rPr>
                <w:sz w:val="20"/>
              </w:rPr>
              <w:fldChar w:fldCharType="separate"/>
            </w:r>
            <w:r w:rsidR="001A0619">
              <w:rPr>
                <w:noProof/>
                <w:sz w:val="20"/>
              </w:rPr>
              <w:t>«limited_common_elements»</w:t>
            </w:r>
            <w:r w:rsidRPr="005D5A4F">
              <w:rPr>
                <w:sz w:val="20"/>
              </w:rPr>
              <w:fldChar w:fldCharType="end"/>
            </w:r>
          </w:p>
        </w:tc>
      </w:tr>
      <w:tr w:rsidR="005D5A4F" w:rsidTr="005D5A4F">
        <w:tc>
          <w:tcPr>
            <w:tcW w:w="6858" w:type="dxa"/>
          </w:tcPr>
          <w:p w:rsidR="005D5A4F" w:rsidRPr="005D5A4F" w:rsidRDefault="005D5A4F" w:rsidP="00E30F11">
            <w:pPr>
              <w:rPr>
                <w:sz w:val="20"/>
              </w:rPr>
            </w:pPr>
            <w:r w:rsidRPr="005D5A4F">
              <w:rPr>
                <w:sz w:val="20"/>
              </w:rPr>
              <w:t>Guarantee disclosures pursuant to Florida Statute 718.116(9). (1-7)</w:t>
            </w:r>
          </w:p>
        </w:tc>
        <w:tc>
          <w:tcPr>
            <w:tcW w:w="2718" w:type="dxa"/>
          </w:tcPr>
          <w:p w:rsidR="005D5A4F" w:rsidRPr="005D5A4F" w:rsidRDefault="005D5A4F" w:rsidP="005D5A4F">
            <w:pPr>
              <w:jc w:val="center"/>
              <w:rPr>
                <w:sz w:val="20"/>
              </w:rPr>
            </w:pPr>
            <w:r w:rsidRPr="005D5A4F">
              <w:rPr>
                <w:sz w:val="20"/>
              </w:rPr>
              <w:fldChar w:fldCharType="begin"/>
            </w:r>
            <w:r w:rsidRPr="005D5A4F">
              <w:rPr>
                <w:sz w:val="20"/>
              </w:rPr>
              <w:instrText xml:space="preserve"> MERGEFIELD  guarantee_disclosures  \* MERGEFORMAT </w:instrText>
            </w:r>
            <w:r w:rsidRPr="005D5A4F">
              <w:rPr>
                <w:sz w:val="20"/>
              </w:rPr>
              <w:fldChar w:fldCharType="separate"/>
            </w:r>
            <w:r w:rsidR="001A0619">
              <w:rPr>
                <w:noProof/>
                <w:sz w:val="20"/>
              </w:rPr>
              <w:t>«guarantee_disclosures»</w:t>
            </w:r>
            <w:r w:rsidRPr="005D5A4F">
              <w:rPr>
                <w:sz w:val="20"/>
              </w:rPr>
              <w:fldChar w:fldCharType="end"/>
            </w:r>
          </w:p>
        </w:tc>
      </w:tr>
    </w:tbl>
    <w:p w:rsidR="00C82CFB" w:rsidRPr="00C82CFB" w:rsidRDefault="00C82CFB" w:rsidP="00C82CFB"/>
    <w:sectPr w:rsidR="00C82CFB" w:rsidRPr="00C82CFB" w:rsidSect="00E30F11">
      <w:pgSz w:w="12240" w:h="15840"/>
      <w:pgMar w:top="63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86646"/>
    <w:multiLevelType w:val="hybridMultilevel"/>
    <w:tmpl w:val="435A50FA"/>
    <w:lvl w:ilvl="0" w:tplc="739ED4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25D"/>
    <w:rsid w:val="000314C5"/>
    <w:rsid w:val="00047EE1"/>
    <w:rsid w:val="001338A2"/>
    <w:rsid w:val="001A0619"/>
    <w:rsid w:val="0029641A"/>
    <w:rsid w:val="002D75E7"/>
    <w:rsid w:val="00395CAA"/>
    <w:rsid w:val="00442226"/>
    <w:rsid w:val="004453A4"/>
    <w:rsid w:val="00466244"/>
    <w:rsid w:val="0047594F"/>
    <w:rsid w:val="004D0048"/>
    <w:rsid w:val="0051487D"/>
    <w:rsid w:val="00521F53"/>
    <w:rsid w:val="00591613"/>
    <w:rsid w:val="005D5A4F"/>
    <w:rsid w:val="005E3B69"/>
    <w:rsid w:val="0061238C"/>
    <w:rsid w:val="006B61F9"/>
    <w:rsid w:val="007170A7"/>
    <w:rsid w:val="00736798"/>
    <w:rsid w:val="00740E80"/>
    <w:rsid w:val="00756B11"/>
    <w:rsid w:val="00786035"/>
    <w:rsid w:val="008F5007"/>
    <w:rsid w:val="009826E6"/>
    <w:rsid w:val="00A561EE"/>
    <w:rsid w:val="00AC140E"/>
    <w:rsid w:val="00B62590"/>
    <w:rsid w:val="00B850E3"/>
    <w:rsid w:val="00BA57E7"/>
    <w:rsid w:val="00BD6639"/>
    <w:rsid w:val="00C0008F"/>
    <w:rsid w:val="00C0788C"/>
    <w:rsid w:val="00C11381"/>
    <w:rsid w:val="00C82CFB"/>
    <w:rsid w:val="00CE0698"/>
    <w:rsid w:val="00D3637F"/>
    <w:rsid w:val="00D45288"/>
    <w:rsid w:val="00D940E6"/>
    <w:rsid w:val="00E05DE2"/>
    <w:rsid w:val="00E30F11"/>
    <w:rsid w:val="00E3273C"/>
    <w:rsid w:val="00EC0B90"/>
    <w:rsid w:val="00EE325D"/>
    <w:rsid w:val="00F479DE"/>
    <w:rsid w:val="00F67959"/>
    <w:rsid w:val="00F7622B"/>
    <w:rsid w:val="00F831F6"/>
    <w:rsid w:val="00FA54D7"/>
    <w:rsid w:val="00FE1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sz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6B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1381"/>
    <w:pPr>
      <w:keepNext/>
      <w:keepLines/>
      <w:spacing w:before="200"/>
      <w:outlineLvl w:val="1"/>
    </w:pPr>
    <w:rPr>
      <w:rFonts w:asciiTheme="majorHAnsi" w:eastAsiaTheme="majorEastAsia" w:hAnsiTheme="majorHAnsi" w:cstheme="majorBidi"/>
      <w:b/>
      <w:bCs/>
      <w:color w:val="4F81BD" w:themeColor="accent1"/>
      <w:sz w:val="25"/>
      <w:szCs w:val="26"/>
    </w:rPr>
  </w:style>
  <w:style w:type="paragraph" w:styleId="Heading3">
    <w:name w:val="heading 3"/>
    <w:basedOn w:val="Normal"/>
    <w:next w:val="Normal"/>
    <w:link w:val="Heading3Char"/>
    <w:uiPriority w:val="9"/>
    <w:unhideWhenUsed/>
    <w:qFormat/>
    <w:rsid w:val="004D004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1381"/>
    <w:rPr>
      <w:rFonts w:asciiTheme="majorHAnsi" w:eastAsiaTheme="majorEastAsia" w:hAnsiTheme="majorHAnsi" w:cstheme="majorBidi"/>
      <w:b/>
      <w:bCs/>
      <w:color w:val="4F81BD" w:themeColor="accent1"/>
      <w:sz w:val="25"/>
      <w:szCs w:val="26"/>
    </w:rPr>
  </w:style>
  <w:style w:type="character" w:customStyle="1" w:styleId="Heading1Char">
    <w:name w:val="Heading 1 Char"/>
    <w:basedOn w:val="DefaultParagraphFont"/>
    <w:link w:val="Heading1"/>
    <w:uiPriority w:val="9"/>
    <w:rsid w:val="00756B1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56B1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6B11"/>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452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4D004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D0048"/>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4D004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C14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sz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6B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1381"/>
    <w:pPr>
      <w:keepNext/>
      <w:keepLines/>
      <w:spacing w:before="200"/>
      <w:outlineLvl w:val="1"/>
    </w:pPr>
    <w:rPr>
      <w:rFonts w:asciiTheme="majorHAnsi" w:eastAsiaTheme="majorEastAsia" w:hAnsiTheme="majorHAnsi" w:cstheme="majorBidi"/>
      <w:b/>
      <w:bCs/>
      <w:color w:val="4F81BD" w:themeColor="accent1"/>
      <w:sz w:val="25"/>
      <w:szCs w:val="26"/>
    </w:rPr>
  </w:style>
  <w:style w:type="paragraph" w:styleId="Heading3">
    <w:name w:val="heading 3"/>
    <w:basedOn w:val="Normal"/>
    <w:next w:val="Normal"/>
    <w:link w:val="Heading3Char"/>
    <w:uiPriority w:val="9"/>
    <w:unhideWhenUsed/>
    <w:qFormat/>
    <w:rsid w:val="004D004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1381"/>
    <w:rPr>
      <w:rFonts w:asciiTheme="majorHAnsi" w:eastAsiaTheme="majorEastAsia" w:hAnsiTheme="majorHAnsi" w:cstheme="majorBidi"/>
      <w:b/>
      <w:bCs/>
      <w:color w:val="4F81BD" w:themeColor="accent1"/>
      <w:sz w:val="25"/>
      <w:szCs w:val="26"/>
    </w:rPr>
  </w:style>
  <w:style w:type="character" w:customStyle="1" w:styleId="Heading1Char">
    <w:name w:val="Heading 1 Char"/>
    <w:basedOn w:val="DefaultParagraphFont"/>
    <w:link w:val="Heading1"/>
    <w:uiPriority w:val="9"/>
    <w:rsid w:val="00756B1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56B1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6B11"/>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452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4D004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D0048"/>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4D004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C1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3B4CB-2E52-4623-9FE4-ACAFE2830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Department of Business and Professional Regulation</Company>
  <LinksUpToDate>false</LinksUpToDate>
  <CharactersWithSpaces>4216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Brown</dc:creator>
  <cp:keywords/>
  <dc:description/>
  <cp:lastModifiedBy>Danny Brown</cp:lastModifiedBy>
  <cp:revision>46</cp:revision>
  <dcterms:created xsi:type="dcterms:W3CDTF">2019-03-22T16:47:00Z</dcterms:created>
  <dcterms:modified xsi:type="dcterms:W3CDTF">2019-03-22T20:12:00Z</dcterms:modified>
</cp:coreProperties>
</file>