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78537697"/>
        <w:docPartObj>
          <w:docPartGallery w:val="Cover Pages"/>
          <w:docPartUnique/>
        </w:docPartObj>
      </w:sdtPr>
      <w:sdtEndPr>
        <w:rPr>
          <w:noProof/>
        </w:rPr>
      </w:sdtEndPr>
      <w:sdtContent>
        <w:p w14:paraId="1F52EF6D" w14:textId="77777777" w:rsidR="006C3F8B" w:rsidRDefault="0094616F">
          <w:r>
            <w:rPr>
              <w:noProof/>
            </w:rPr>
            <mc:AlternateContent>
              <mc:Choice Requires="wps">
                <w:drawing>
                  <wp:anchor distT="0" distB="0" distL="114300" distR="114300" simplePos="0" relativeHeight="251658240" behindDoc="1" locked="0" layoutInCell="1" allowOverlap="0" wp14:anchorId="1C7AB2BC" wp14:editId="2A27862D">
                    <wp:simplePos x="0" y="0"/>
                    <wp:positionH relativeFrom="page">
                      <wp:align>right</wp:align>
                    </wp:positionH>
                    <wp:positionV relativeFrom="page">
                      <wp:posOffset>0</wp:posOffset>
                    </wp:positionV>
                    <wp:extent cx="7753350" cy="10048875"/>
                    <wp:effectExtent l="0" t="0" r="0" b="9525"/>
                    <wp:wrapNone/>
                    <wp:docPr id="24" name="Text Box 24" descr="Cover page layout"/>
                    <wp:cNvGraphicFramePr/>
                    <a:graphic xmlns:a="http://schemas.openxmlformats.org/drawingml/2006/main">
                      <a:graphicData uri="http://schemas.microsoft.com/office/word/2010/wordprocessingShape">
                        <wps:wsp>
                          <wps:cNvSpPr txBox="1"/>
                          <wps:spPr>
                            <a:xfrm>
                              <a:off x="0" y="0"/>
                              <a:ext cx="7753350" cy="10048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2240"/>
                                </w:tblGrid>
                                <w:tr w:rsidR="00001BFF" w14:paraId="39A61E82" w14:textId="77777777" w:rsidTr="006C3F8B">
                                  <w:trPr>
                                    <w:trHeight w:hRule="exact" w:val="10774"/>
                                  </w:trPr>
                                  <w:tc>
                                    <w:tcPr>
                                      <w:tcW w:w="5000" w:type="pct"/>
                                    </w:tcPr>
                                    <w:p w14:paraId="5BC1ECCB" w14:textId="77777777" w:rsidR="006C3F8B" w:rsidRDefault="0094616F">
                                      <w:r>
                                        <w:rPr>
                                          <w:noProof/>
                                        </w:rPr>
                                        <w:drawing>
                                          <wp:inline distT="0" distB="0" distL="0" distR="0" wp14:anchorId="7B45520D" wp14:editId="2D69C3E5">
                                            <wp:extent cx="7772400" cy="6838950"/>
                                            <wp:effectExtent l="0" t="0" r="0" b="0"/>
                                            <wp:docPr id="1541287637"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236900204"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7772898" cy="6839388"/>
                                                    </a:xfrm>
                                                    <a:prstGeom prst="rect">
                                                      <a:avLst/>
                                                    </a:prstGeom>
                                                    <a:ln>
                                                      <a:noFill/>
                                                    </a:ln>
                                                    <a:extLst>
                                                      <a:ext uri="{53640926-AAD7-44D8-BBD7-CCE9431645EC}">
                                                        <a14:shadowObscured xmlns:a14="http://schemas.microsoft.com/office/drawing/2010/main"/>
                                                      </a:ext>
                                                    </a:extLst>
                                                  </pic:spPr>
                                                </pic:pic>
                                              </a:graphicData>
                                            </a:graphic>
                                          </wp:inline>
                                        </w:drawing>
                                      </w:r>
                                    </w:p>
                                  </w:tc>
                                </w:tr>
                                <w:tr w:rsidR="00001BFF" w14:paraId="5F70AB11" w14:textId="77777777">
                                  <w:trPr>
                                    <w:trHeight w:hRule="exact" w:val="4320"/>
                                  </w:trPr>
                                  <w:tc>
                                    <w:tcPr>
                                      <w:tcW w:w="5000" w:type="pct"/>
                                      <w:shd w:val="clear" w:color="auto" w:fill="4472C4" w:themeFill="accent1"/>
                                      <w:vAlign w:val="center"/>
                                    </w:tcPr>
                                    <w:p w14:paraId="34ED42B6" w14:textId="2EF261DC" w:rsidR="006C3F8B" w:rsidRDefault="00575CA5" w:rsidP="006C5961">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0000"/>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EndPr/>
                                        <w:sdtContent>
                                          <w:r w:rsidR="00E77CFA">
                                            <w:rPr>
                                              <w:rFonts w:asciiTheme="majorHAnsi" w:hAnsiTheme="majorHAnsi"/>
                                              <w:color w:val="FF0000"/>
                                              <w:sz w:val="96"/>
                                              <w:szCs w:val="96"/>
                                            </w:rPr>
                                            <w:t>ANALYSIS OF FINANCIAL STATEMENT</w:t>
                                          </w:r>
                                          <w:r w:rsidR="008A299F">
                                            <w:rPr>
                                              <w:rFonts w:asciiTheme="majorHAnsi" w:hAnsiTheme="majorHAnsi"/>
                                              <w:color w:val="FF0000"/>
                                              <w:sz w:val="96"/>
                                              <w:szCs w:val="96"/>
                                            </w:rPr>
                                            <w:t>S</w:t>
                                          </w:r>
                                        </w:sdtContent>
                                      </w:sdt>
                                    </w:p>
                                    <w:p w14:paraId="0D24FFA9" w14:textId="23A10745" w:rsidR="006C3F8B" w:rsidRDefault="00575CA5" w:rsidP="006C5961">
                                      <w:pPr>
                                        <w:pStyle w:val="NoSpacing"/>
                                        <w:spacing w:before="240"/>
                                        <w:ind w:left="720" w:right="720"/>
                                        <w:jc w:val="center"/>
                                        <w:rPr>
                                          <w:color w:val="FFFFFF" w:themeColor="background1"/>
                                          <w:sz w:val="32"/>
                                          <w:szCs w:val="32"/>
                                        </w:rPr>
                                      </w:pPr>
                                      <w:sdt>
                                        <w:sdtPr>
                                          <w:rPr>
                                            <w:b/>
                                            <w:bCs/>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EndPr/>
                                        <w:sdtContent>
                                          <w:r w:rsidR="00665BA5">
                                            <w:rPr>
                                              <w:b/>
                                              <w:bCs/>
                                              <w:color w:val="FFFFFF" w:themeColor="background1"/>
                                              <w:sz w:val="32"/>
                                              <w:szCs w:val="32"/>
                                            </w:rPr>
                                            <w:t>ACF7004</w:t>
                                          </w:r>
                                        </w:sdtContent>
                                      </w:sdt>
                                    </w:p>
                                  </w:tc>
                                </w:tr>
                                <w:tr w:rsidR="00001BFF" w14:paraId="62CF3C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80"/>
                                        <w:gridCol w:w="4080"/>
                                        <w:gridCol w:w="4080"/>
                                      </w:tblGrid>
                                      <w:tr w:rsidR="00001BFF" w14:paraId="5D153B0C" w14:textId="77777777" w:rsidTr="0041348C">
                                        <w:trPr>
                                          <w:trHeight w:hRule="exact" w:val="746"/>
                                        </w:trPr>
                                        <w:sdt>
                                          <w:sdtPr>
                                            <w:rPr>
                                              <w:b/>
                                              <w:bCs/>
                                              <w:color w:val="FFFF00"/>
                                              <w:sz w:val="24"/>
                                              <w:szCs w:val="24"/>
                                            </w:rPr>
                                            <w:alias w:val="Author"/>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05F9F9E" w14:textId="33EFF11E" w:rsidR="006C3F8B" w:rsidRDefault="005C41A4">
                                                <w:pPr>
                                                  <w:pStyle w:val="NoSpacing"/>
                                                  <w:ind w:left="144" w:right="144"/>
                                                  <w:jc w:val="center"/>
                                                  <w:rPr>
                                                    <w:color w:val="FFFFFF" w:themeColor="background1"/>
                                                  </w:rPr>
                                                </w:pPr>
                                                <w:r>
                                                  <w:rPr>
                                                    <w:b/>
                                                    <w:bCs/>
                                                    <w:color w:val="FFFF00"/>
                                                    <w:sz w:val="24"/>
                                                    <w:szCs w:val="24"/>
                                                  </w:rPr>
                                                  <w:t>DANIEL TOLUWANI ADELEKE</w:t>
                                                </w:r>
                                              </w:p>
                                            </w:tc>
                                          </w:sdtContent>
                                        </w:sdt>
                                        <w:tc>
                                          <w:tcPr>
                                            <w:tcW w:w="3591" w:type="dxa"/>
                                            <w:vAlign w:val="center"/>
                                          </w:tcPr>
                                          <w:sdt>
                                            <w:sdtPr>
                                              <w:rPr>
                                                <w:b/>
                                                <w:bCs/>
                                                <w:color w:val="FFFF00"/>
                                                <w:sz w:val="24"/>
                                                <w:szCs w:val="24"/>
                                              </w:rPr>
                                              <w:alias w:val="Date"/>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6F7B2E36" w14:textId="52095B86" w:rsidR="006C3F8B" w:rsidRPr="00E73844" w:rsidRDefault="00745DBF">
                                                <w:pPr>
                                                  <w:pStyle w:val="NoSpacing"/>
                                                  <w:ind w:left="144" w:right="144"/>
                                                  <w:jc w:val="center"/>
                                                  <w:rPr>
                                                    <w:color w:val="FFFFFF" w:themeColor="background1"/>
                                                    <w:sz w:val="24"/>
                                                    <w:szCs w:val="24"/>
                                                  </w:rPr>
                                                </w:pPr>
                                                <w:r>
                                                  <w:rPr>
                                                    <w:b/>
                                                    <w:bCs/>
                                                    <w:color w:val="FFFF00"/>
                                                    <w:sz w:val="24"/>
                                                    <w:szCs w:val="24"/>
                                                  </w:rPr>
                                                  <w:t>7000</w:t>
                                                </w:r>
                                                <w:r w:rsidR="008E3DF5">
                                                  <w:rPr>
                                                    <w:b/>
                                                    <w:bCs/>
                                                    <w:color w:val="FFFF00"/>
                                                    <w:sz w:val="24"/>
                                                    <w:szCs w:val="24"/>
                                                  </w:rPr>
                                                  <w:t xml:space="preserve"> WORDS</w:t>
                                                </w:r>
                                              </w:p>
                                            </w:sdtContent>
                                          </w:sdt>
                                        </w:tc>
                                        <w:sdt>
                                          <w:sdtPr>
                                            <w:rPr>
                                              <w:b/>
                                              <w:bCs/>
                                              <w:color w:val="FFFF00"/>
                                              <w:sz w:val="24"/>
                                              <w:szCs w:val="24"/>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3A8C833" w14:textId="27C90B8A" w:rsidR="006C3F8B" w:rsidRDefault="00665BA5">
                                                <w:pPr>
                                                  <w:pStyle w:val="NoSpacing"/>
                                                  <w:ind w:left="144" w:right="720"/>
                                                  <w:jc w:val="right"/>
                                                  <w:rPr>
                                                    <w:color w:val="FFFFFF" w:themeColor="background1"/>
                                                  </w:rPr>
                                                </w:pPr>
                                                <w:r>
                                                  <w:rPr>
                                                    <w:b/>
                                                    <w:bCs/>
                                                    <w:color w:val="FFFF00"/>
                                                    <w:sz w:val="24"/>
                                                    <w:szCs w:val="24"/>
                                                  </w:rPr>
                                                  <w:t>10892938</w:t>
                                                </w:r>
                                              </w:p>
                                            </w:tc>
                                          </w:sdtContent>
                                        </w:sdt>
                                      </w:tr>
                                    </w:tbl>
                                    <w:p w14:paraId="12871221" w14:textId="77777777" w:rsidR="006C3F8B" w:rsidRDefault="006C3F8B"/>
                                  </w:tc>
                                </w:tr>
                              </w:tbl>
                              <w:p w14:paraId="4350E366" w14:textId="77777777" w:rsidR="006C3F8B" w:rsidRDefault="006C3F8B"/>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1C7AB2BC" id="_x0000_t202" coordsize="21600,21600" o:spt="202" path="m,l,21600r21600,l21600,xe">
                    <v:stroke joinstyle="miter"/>
                    <v:path gradientshapeok="t" o:connecttype="rect"/>
                  </v:shapetype>
                  <v:shape id="Text Box 24" o:spid="_x0000_s1026" type="#_x0000_t202" alt="Cover page layout" style="position:absolute;margin-left:559.3pt;margin-top:0;width:610.5pt;height:791.2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2240"/>
                          </w:tblGrid>
                          <w:tr w:rsidR="00001BFF" w14:paraId="39A61E82" w14:textId="77777777" w:rsidTr="006C3F8B">
                            <w:trPr>
                              <w:trHeight w:hRule="exact" w:val="10774"/>
                            </w:trPr>
                            <w:tc>
                              <w:tcPr>
                                <w:tcW w:w="5000" w:type="pct"/>
                              </w:tcPr>
                              <w:p w14:paraId="5BC1ECCB" w14:textId="77777777" w:rsidR="006C3F8B" w:rsidRDefault="0094616F">
                                <w:r>
                                  <w:rPr>
                                    <w:noProof/>
                                  </w:rPr>
                                  <w:drawing>
                                    <wp:inline distT="0" distB="0" distL="0" distR="0" wp14:anchorId="7B45520D" wp14:editId="2D69C3E5">
                                      <wp:extent cx="7772400" cy="6838950"/>
                                      <wp:effectExtent l="0" t="0" r="0" b="0"/>
                                      <wp:docPr id="1541287637"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236900204"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7772898" cy="6839388"/>
                                              </a:xfrm>
                                              <a:prstGeom prst="rect">
                                                <a:avLst/>
                                              </a:prstGeom>
                                              <a:ln>
                                                <a:noFill/>
                                              </a:ln>
                                              <a:extLst>
                                                <a:ext uri="{53640926-AAD7-44D8-BBD7-CCE9431645EC}">
                                                  <a14:shadowObscured xmlns:a14="http://schemas.microsoft.com/office/drawing/2010/main"/>
                                                </a:ext>
                                              </a:extLst>
                                            </pic:spPr>
                                          </pic:pic>
                                        </a:graphicData>
                                      </a:graphic>
                                    </wp:inline>
                                  </w:drawing>
                                </w:r>
                              </w:p>
                            </w:tc>
                          </w:tr>
                          <w:tr w:rsidR="00001BFF" w14:paraId="5F70AB11" w14:textId="77777777">
                            <w:trPr>
                              <w:trHeight w:hRule="exact" w:val="4320"/>
                            </w:trPr>
                            <w:tc>
                              <w:tcPr>
                                <w:tcW w:w="5000" w:type="pct"/>
                                <w:shd w:val="clear" w:color="auto" w:fill="4472C4" w:themeFill="accent1"/>
                                <w:vAlign w:val="center"/>
                              </w:tcPr>
                              <w:p w14:paraId="34ED42B6" w14:textId="2EF261DC" w:rsidR="006C3F8B" w:rsidRDefault="00575CA5" w:rsidP="006C5961">
                                <w:pPr>
                                  <w:pStyle w:val="NoSpacing"/>
                                  <w:spacing w:before="200" w:line="216" w:lineRule="auto"/>
                                  <w:ind w:left="720" w:right="720"/>
                                  <w:jc w:val="center"/>
                                  <w:rPr>
                                    <w:rFonts w:asciiTheme="majorHAnsi" w:hAnsiTheme="majorHAnsi"/>
                                    <w:color w:val="FFFFFF" w:themeColor="background1"/>
                                    <w:sz w:val="96"/>
                                    <w:szCs w:val="96"/>
                                  </w:rPr>
                                </w:pPr>
                                <w:sdt>
                                  <w:sdtPr>
                                    <w:rPr>
                                      <w:rFonts w:asciiTheme="majorHAnsi" w:hAnsiTheme="majorHAnsi"/>
                                      <w:color w:val="FF0000"/>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EndPr/>
                                  <w:sdtContent>
                                    <w:r w:rsidR="00E77CFA">
                                      <w:rPr>
                                        <w:rFonts w:asciiTheme="majorHAnsi" w:hAnsiTheme="majorHAnsi"/>
                                        <w:color w:val="FF0000"/>
                                        <w:sz w:val="96"/>
                                        <w:szCs w:val="96"/>
                                      </w:rPr>
                                      <w:t>ANALYSIS OF FINANCIAL STATEMENT</w:t>
                                    </w:r>
                                    <w:r w:rsidR="008A299F">
                                      <w:rPr>
                                        <w:rFonts w:asciiTheme="majorHAnsi" w:hAnsiTheme="majorHAnsi"/>
                                        <w:color w:val="FF0000"/>
                                        <w:sz w:val="96"/>
                                        <w:szCs w:val="96"/>
                                      </w:rPr>
                                      <w:t>S</w:t>
                                    </w:r>
                                  </w:sdtContent>
                                </w:sdt>
                              </w:p>
                              <w:p w14:paraId="0D24FFA9" w14:textId="23A10745" w:rsidR="006C3F8B" w:rsidRDefault="00575CA5" w:rsidP="006C5961">
                                <w:pPr>
                                  <w:pStyle w:val="NoSpacing"/>
                                  <w:spacing w:before="240"/>
                                  <w:ind w:left="720" w:right="720"/>
                                  <w:jc w:val="center"/>
                                  <w:rPr>
                                    <w:color w:val="FFFFFF" w:themeColor="background1"/>
                                    <w:sz w:val="32"/>
                                    <w:szCs w:val="32"/>
                                  </w:rPr>
                                </w:pPr>
                                <w:sdt>
                                  <w:sdtPr>
                                    <w:rPr>
                                      <w:b/>
                                      <w:bCs/>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EndPr/>
                                  <w:sdtContent>
                                    <w:r w:rsidR="00665BA5">
                                      <w:rPr>
                                        <w:b/>
                                        <w:bCs/>
                                        <w:color w:val="FFFFFF" w:themeColor="background1"/>
                                        <w:sz w:val="32"/>
                                        <w:szCs w:val="32"/>
                                      </w:rPr>
                                      <w:t>ACF7004</w:t>
                                    </w:r>
                                  </w:sdtContent>
                                </w:sdt>
                              </w:p>
                            </w:tc>
                          </w:tr>
                          <w:tr w:rsidR="00001BFF" w14:paraId="62CF3C8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080"/>
                                  <w:gridCol w:w="4080"/>
                                  <w:gridCol w:w="4080"/>
                                </w:tblGrid>
                                <w:tr w:rsidR="00001BFF" w14:paraId="5D153B0C" w14:textId="77777777" w:rsidTr="0041348C">
                                  <w:trPr>
                                    <w:trHeight w:hRule="exact" w:val="746"/>
                                  </w:trPr>
                                  <w:sdt>
                                    <w:sdtPr>
                                      <w:rPr>
                                        <w:b/>
                                        <w:bCs/>
                                        <w:color w:val="FFFF00"/>
                                        <w:sz w:val="24"/>
                                        <w:szCs w:val="24"/>
                                      </w:rPr>
                                      <w:alias w:val="Author"/>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05F9F9E" w14:textId="33EFF11E" w:rsidR="006C3F8B" w:rsidRDefault="005C41A4">
                                          <w:pPr>
                                            <w:pStyle w:val="NoSpacing"/>
                                            <w:ind w:left="144" w:right="144"/>
                                            <w:jc w:val="center"/>
                                            <w:rPr>
                                              <w:color w:val="FFFFFF" w:themeColor="background1"/>
                                            </w:rPr>
                                          </w:pPr>
                                          <w:r>
                                            <w:rPr>
                                              <w:b/>
                                              <w:bCs/>
                                              <w:color w:val="FFFF00"/>
                                              <w:sz w:val="24"/>
                                              <w:szCs w:val="24"/>
                                            </w:rPr>
                                            <w:t>DANIEL TOLUWANI ADELEKE</w:t>
                                          </w:r>
                                        </w:p>
                                      </w:tc>
                                    </w:sdtContent>
                                  </w:sdt>
                                  <w:tc>
                                    <w:tcPr>
                                      <w:tcW w:w="3591" w:type="dxa"/>
                                      <w:vAlign w:val="center"/>
                                    </w:tcPr>
                                    <w:sdt>
                                      <w:sdtPr>
                                        <w:rPr>
                                          <w:b/>
                                          <w:bCs/>
                                          <w:color w:val="FFFF00"/>
                                          <w:sz w:val="24"/>
                                          <w:szCs w:val="24"/>
                                        </w:rPr>
                                        <w:alias w:val="Date"/>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6F7B2E36" w14:textId="52095B86" w:rsidR="006C3F8B" w:rsidRPr="00E73844" w:rsidRDefault="00745DBF">
                                          <w:pPr>
                                            <w:pStyle w:val="NoSpacing"/>
                                            <w:ind w:left="144" w:right="144"/>
                                            <w:jc w:val="center"/>
                                            <w:rPr>
                                              <w:color w:val="FFFFFF" w:themeColor="background1"/>
                                              <w:sz w:val="24"/>
                                              <w:szCs w:val="24"/>
                                            </w:rPr>
                                          </w:pPr>
                                          <w:r>
                                            <w:rPr>
                                              <w:b/>
                                              <w:bCs/>
                                              <w:color w:val="FFFF00"/>
                                              <w:sz w:val="24"/>
                                              <w:szCs w:val="24"/>
                                            </w:rPr>
                                            <w:t>7000</w:t>
                                          </w:r>
                                          <w:r w:rsidR="008E3DF5">
                                            <w:rPr>
                                              <w:b/>
                                              <w:bCs/>
                                              <w:color w:val="FFFF00"/>
                                              <w:sz w:val="24"/>
                                              <w:szCs w:val="24"/>
                                            </w:rPr>
                                            <w:t xml:space="preserve"> WORDS</w:t>
                                          </w:r>
                                        </w:p>
                                      </w:sdtContent>
                                    </w:sdt>
                                  </w:tc>
                                  <w:sdt>
                                    <w:sdtPr>
                                      <w:rPr>
                                        <w:b/>
                                        <w:bCs/>
                                        <w:color w:val="FFFF00"/>
                                        <w:sz w:val="24"/>
                                        <w:szCs w:val="24"/>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3A8C833" w14:textId="27C90B8A" w:rsidR="006C3F8B" w:rsidRDefault="00665BA5">
                                          <w:pPr>
                                            <w:pStyle w:val="NoSpacing"/>
                                            <w:ind w:left="144" w:right="720"/>
                                            <w:jc w:val="right"/>
                                            <w:rPr>
                                              <w:color w:val="FFFFFF" w:themeColor="background1"/>
                                            </w:rPr>
                                          </w:pPr>
                                          <w:r>
                                            <w:rPr>
                                              <w:b/>
                                              <w:bCs/>
                                              <w:color w:val="FFFF00"/>
                                              <w:sz w:val="24"/>
                                              <w:szCs w:val="24"/>
                                            </w:rPr>
                                            <w:t>10892938</w:t>
                                          </w:r>
                                        </w:p>
                                      </w:tc>
                                    </w:sdtContent>
                                  </w:sdt>
                                </w:tr>
                              </w:tbl>
                              <w:p w14:paraId="12871221" w14:textId="77777777" w:rsidR="006C3F8B" w:rsidRDefault="006C3F8B"/>
                            </w:tc>
                          </w:tr>
                        </w:tbl>
                        <w:p w14:paraId="4350E366" w14:textId="77777777" w:rsidR="006C3F8B" w:rsidRDefault="006C3F8B"/>
                      </w:txbxContent>
                    </v:textbox>
                    <w10:wrap anchorx="page" anchory="page"/>
                  </v:shape>
                </w:pict>
              </mc:Fallback>
            </mc:AlternateContent>
          </w:r>
        </w:p>
        <w:p w14:paraId="5DF883C4" w14:textId="41FBFB16" w:rsidR="00241E6E" w:rsidRDefault="0094616F" w:rsidP="00700326">
          <w:pPr>
            <w:rPr>
              <w:noProof/>
            </w:rPr>
          </w:pPr>
          <w:r>
            <w:rPr>
              <w:noProof/>
            </w:rPr>
            <w:br w:type="page"/>
          </w:r>
        </w:p>
      </w:sdtContent>
    </w:sdt>
    <w:p w14:paraId="371F3F87" w14:textId="77777777" w:rsidR="005E3DF5" w:rsidRPr="000F4F8B" w:rsidRDefault="005E3DF5" w:rsidP="001E39A8">
      <w:pPr>
        <w:pStyle w:val="Heading1"/>
        <w:spacing w:line="360" w:lineRule="auto"/>
        <w:rPr>
          <w:rFonts w:asciiTheme="minorHAnsi" w:hAnsiTheme="minorHAnsi" w:cstheme="minorHAnsi"/>
          <w:b/>
          <w:bCs/>
          <w:sz w:val="44"/>
          <w:szCs w:val="44"/>
        </w:rPr>
      </w:pPr>
      <w:bookmarkStart w:id="0" w:name="_Toc165495777"/>
      <w:bookmarkStart w:id="1" w:name="_Toc165496483"/>
      <w:r w:rsidRPr="000F4F8B">
        <w:rPr>
          <w:rFonts w:asciiTheme="minorHAnsi" w:hAnsiTheme="minorHAnsi" w:cstheme="minorHAnsi"/>
          <w:b/>
          <w:bCs/>
          <w:sz w:val="44"/>
          <w:szCs w:val="44"/>
        </w:rPr>
        <w:lastRenderedPageBreak/>
        <w:t>EXECUTIVE SUMMARY</w:t>
      </w:r>
      <w:bookmarkEnd w:id="0"/>
      <w:bookmarkEnd w:id="1"/>
    </w:p>
    <w:p w14:paraId="44D4F868" w14:textId="237365BF" w:rsidR="005E3DF5" w:rsidRDefault="005E3DF5" w:rsidP="001E39A8">
      <w:pPr>
        <w:spacing w:line="360" w:lineRule="auto"/>
        <w:jc w:val="both"/>
        <w:rPr>
          <w:rFonts w:ascii="Calibri" w:hAnsi="Calibri" w:cs="Calibri"/>
          <w:sz w:val="24"/>
          <w:szCs w:val="24"/>
        </w:rPr>
      </w:pPr>
      <w:r w:rsidRPr="005D4772">
        <w:rPr>
          <w:rFonts w:ascii="Calibri" w:hAnsi="Calibri" w:cs="Calibri"/>
          <w:sz w:val="24"/>
          <w:szCs w:val="24"/>
        </w:rPr>
        <w:t xml:space="preserve">The report </w:t>
      </w:r>
      <w:r>
        <w:rPr>
          <w:rFonts w:ascii="Calibri" w:hAnsi="Calibri" w:cs="Calibri"/>
          <w:sz w:val="24"/>
          <w:szCs w:val="24"/>
        </w:rPr>
        <w:t>comprehensively analyses</w:t>
      </w:r>
      <w:r w:rsidRPr="005D4772">
        <w:rPr>
          <w:rFonts w:ascii="Calibri" w:hAnsi="Calibri" w:cs="Calibri"/>
          <w:sz w:val="24"/>
          <w:szCs w:val="24"/>
        </w:rPr>
        <w:t xml:space="preserve"> two prominent companies in the construction sector, Barratt Developments </w:t>
      </w:r>
      <w:proofErr w:type="gramStart"/>
      <w:r w:rsidRPr="005D4772">
        <w:rPr>
          <w:rFonts w:ascii="Calibri" w:hAnsi="Calibri" w:cs="Calibri"/>
          <w:sz w:val="24"/>
          <w:szCs w:val="24"/>
        </w:rPr>
        <w:t>PLC</w:t>
      </w:r>
      <w:proofErr w:type="gramEnd"/>
      <w:r w:rsidRPr="005D4772">
        <w:rPr>
          <w:rFonts w:ascii="Calibri" w:hAnsi="Calibri" w:cs="Calibri"/>
          <w:sz w:val="24"/>
          <w:szCs w:val="24"/>
        </w:rPr>
        <w:t xml:space="preserve"> and Berkeley Group Holdings PLC, from 2019 to 2023. It delves into various aspects of their financial health, operational efficiency, and </w:t>
      </w:r>
      <w:r>
        <w:rPr>
          <w:rFonts w:ascii="Calibri" w:hAnsi="Calibri" w:cs="Calibri"/>
          <w:sz w:val="24"/>
          <w:szCs w:val="24"/>
        </w:rPr>
        <w:t>UK Corporate Governance Code adherence</w:t>
      </w:r>
      <w:r w:rsidRPr="005D4772">
        <w:rPr>
          <w:rFonts w:ascii="Calibri" w:hAnsi="Calibri" w:cs="Calibri"/>
          <w:sz w:val="24"/>
          <w:szCs w:val="24"/>
        </w:rPr>
        <w:t xml:space="preserve">. The analysis includes horizontal and vertical evaluations of their financial statements, profitability ratios, and corporate governance practices. Both companies demonstrate a commitment to transparency, accountability, and ethical leadership, </w:t>
      </w:r>
      <w:r w:rsidR="001916B3" w:rsidRPr="001916B3">
        <w:rPr>
          <w:rFonts w:ascii="Calibri" w:hAnsi="Calibri" w:cs="Calibri"/>
          <w:sz w:val="24"/>
          <w:szCs w:val="24"/>
        </w:rPr>
        <w:t>which is consistent with the UK Corporate Governance Code's tenets</w:t>
      </w:r>
      <w:r w:rsidRPr="005D4772">
        <w:rPr>
          <w:rFonts w:ascii="Calibri" w:hAnsi="Calibri" w:cs="Calibri"/>
          <w:sz w:val="24"/>
          <w:szCs w:val="24"/>
        </w:rPr>
        <w:t xml:space="preserve">. The vertical analysis of their financial statements offers valuable insights into their financial structures, operational efficiencies, and profitability trends. Additionally, the report highlights the companies' efforts to comply with the Code's directives, such as executive director pension contributions and extensive disclosures aligning with regulatory requirements. The analysis also covers key financial ratios, efficiency ratios, and cash interest coverage, providing a </w:t>
      </w:r>
      <w:r>
        <w:rPr>
          <w:rFonts w:ascii="Calibri" w:hAnsi="Calibri" w:cs="Calibri"/>
          <w:sz w:val="24"/>
          <w:szCs w:val="24"/>
        </w:rPr>
        <w:t>critical</w:t>
      </w:r>
      <w:r w:rsidRPr="005D4772">
        <w:rPr>
          <w:rFonts w:ascii="Calibri" w:hAnsi="Calibri" w:cs="Calibri"/>
          <w:sz w:val="24"/>
          <w:szCs w:val="24"/>
        </w:rPr>
        <w:t xml:space="preserve"> view of the companies' financial performance and governance strategies. </w:t>
      </w:r>
      <w:r>
        <w:rPr>
          <w:rFonts w:ascii="Calibri" w:hAnsi="Calibri" w:cs="Calibri"/>
          <w:sz w:val="24"/>
          <w:szCs w:val="24"/>
        </w:rPr>
        <w:t>The</w:t>
      </w:r>
      <w:r w:rsidRPr="005D4772">
        <w:rPr>
          <w:rFonts w:ascii="Calibri" w:hAnsi="Calibri" w:cs="Calibri"/>
          <w:sz w:val="24"/>
          <w:szCs w:val="24"/>
        </w:rPr>
        <w:t xml:space="preserve"> report offers a detailed and insightful comparison of the two companies, shedding light on their financial and governance landscapes.</w:t>
      </w:r>
    </w:p>
    <w:p w14:paraId="3B0A4F2B" w14:textId="409DC0E5" w:rsidR="00241E6E" w:rsidRDefault="0087209B" w:rsidP="005E3DF5">
      <w:pPr>
        <w:spacing w:line="360" w:lineRule="auto"/>
        <w:jc w:val="both"/>
        <w:rPr>
          <w:rFonts w:ascii="Calibri" w:hAnsi="Calibri" w:cs="Calibri"/>
          <w:sz w:val="24"/>
          <w:szCs w:val="24"/>
        </w:rPr>
      </w:pPr>
      <w:r w:rsidRPr="0087209B">
        <w:rPr>
          <w:rFonts w:ascii="Calibri" w:hAnsi="Calibri" w:cs="Calibri"/>
          <w:sz w:val="24"/>
          <w:szCs w:val="24"/>
        </w:rPr>
        <w:t xml:space="preserve">Berkeley Group Holdings PLC has demonstrated higher profitability ratios across almost all metrics over the years than Barratt Development PLC. While both companies have shown a declining trend in margins and returns, Berkeley has maintained a more robust profitability profile. Additionally, the report highlights </w:t>
      </w:r>
      <w:r>
        <w:rPr>
          <w:rFonts w:ascii="Calibri" w:hAnsi="Calibri" w:cs="Calibri"/>
          <w:sz w:val="24"/>
          <w:szCs w:val="24"/>
        </w:rPr>
        <w:t xml:space="preserve">both companies' financial stability and operational effectiveness </w:t>
      </w:r>
      <w:r w:rsidRPr="0087209B">
        <w:rPr>
          <w:rFonts w:ascii="Calibri" w:hAnsi="Calibri" w:cs="Calibri"/>
          <w:sz w:val="24"/>
          <w:szCs w:val="24"/>
        </w:rPr>
        <w:t xml:space="preserve">through thorough horizontal and vertical analyses of their income statements and balance sheets. The analysis provides valuable insights into their financial structures, operational efficiencies, and profitability trends, shedding light on their financial and governance landscapes. Both companies have made commendable </w:t>
      </w:r>
      <w:r w:rsidR="00F374C3">
        <w:rPr>
          <w:rFonts w:ascii="Calibri" w:hAnsi="Calibri" w:cs="Calibri"/>
          <w:sz w:val="24"/>
          <w:szCs w:val="24"/>
        </w:rPr>
        <w:t xml:space="preserve">and confident </w:t>
      </w:r>
      <w:r w:rsidRPr="0087209B">
        <w:rPr>
          <w:rFonts w:ascii="Calibri" w:hAnsi="Calibri" w:cs="Calibri"/>
          <w:sz w:val="24"/>
          <w:szCs w:val="24"/>
        </w:rPr>
        <w:t>efforts to align with the UK Corporate Governance Code's directives, promoting transparency, accountability, and ethical leadership</w:t>
      </w:r>
      <w:r w:rsidR="005E3DF5" w:rsidRPr="005D4772">
        <w:rPr>
          <w:rFonts w:ascii="Calibri" w:hAnsi="Calibri" w:cs="Calibri"/>
          <w:sz w:val="24"/>
          <w:szCs w:val="24"/>
        </w:rPr>
        <w:t>.</w:t>
      </w:r>
    </w:p>
    <w:p w14:paraId="225CAD27" w14:textId="77777777" w:rsidR="005E3DF5" w:rsidRDefault="005E3DF5" w:rsidP="005E3DF5">
      <w:pPr>
        <w:rPr>
          <w:rFonts w:ascii="Calibri" w:hAnsi="Calibri" w:cs="Calibri"/>
          <w:sz w:val="24"/>
          <w:szCs w:val="24"/>
        </w:rPr>
      </w:pPr>
    </w:p>
    <w:p w14:paraId="2B7C7A0E" w14:textId="77777777" w:rsidR="005E3DF5" w:rsidRDefault="005E3DF5" w:rsidP="005E3DF5">
      <w:pPr>
        <w:rPr>
          <w:rFonts w:ascii="Calibri" w:hAnsi="Calibri" w:cs="Calibri"/>
          <w:sz w:val="24"/>
          <w:szCs w:val="24"/>
        </w:rPr>
      </w:pPr>
    </w:p>
    <w:p w14:paraId="34B7938B" w14:textId="77777777" w:rsidR="005E3DF5" w:rsidRDefault="005E3DF5" w:rsidP="005E3DF5">
      <w:pPr>
        <w:rPr>
          <w:rFonts w:ascii="Calibri" w:hAnsi="Calibri" w:cs="Calibri"/>
          <w:sz w:val="24"/>
          <w:szCs w:val="24"/>
        </w:rPr>
      </w:pPr>
    </w:p>
    <w:p w14:paraId="19F07123" w14:textId="77777777" w:rsidR="005E3DF5" w:rsidRDefault="005E3DF5" w:rsidP="005E3DF5"/>
    <w:sdt>
      <w:sdtPr>
        <w:rPr>
          <w:rFonts w:asciiTheme="minorHAnsi" w:eastAsiaTheme="minorHAnsi" w:hAnsiTheme="minorHAnsi" w:cstheme="minorBidi"/>
          <w:color w:val="auto"/>
          <w:sz w:val="22"/>
          <w:szCs w:val="22"/>
        </w:rPr>
        <w:id w:val="-935052415"/>
        <w:docPartObj>
          <w:docPartGallery w:val="Table of Contents"/>
          <w:docPartUnique/>
        </w:docPartObj>
      </w:sdtPr>
      <w:sdtEndPr>
        <w:rPr>
          <w:b/>
          <w:bCs/>
          <w:noProof/>
        </w:rPr>
      </w:sdtEndPr>
      <w:sdtContent>
        <w:p w14:paraId="365029B7" w14:textId="44EA1B35" w:rsidR="00AE6A95" w:rsidRPr="00F374C3" w:rsidRDefault="00AE6A95">
          <w:pPr>
            <w:pStyle w:val="TOCHeading"/>
            <w:rPr>
              <w:rFonts w:ascii="Calibri" w:hAnsi="Calibri" w:cs="Calibri"/>
              <w:b/>
              <w:bCs/>
              <w:sz w:val="40"/>
              <w:szCs w:val="40"/>
            </w:rPr>
          </w:pPr>
          <w:r w:rsidRPr="00F374C3">
            <w:rPr>
              <w:rFonts w:ascii="Calibri" w:hAnsi="Calibri" w:cs="Calibri"/>
              <w:b/>
              <w:bCs/>
              <w:sz w:val="40"/>
              <w:szCs w:val="40"/>
            </w:rPr>
            <w:t>Table of Contents</w:t>
          </w:r>
        </w:p>
        <w:p w14:paraId="3610B473" w14:textId="2BDEA4D4" w:rsidR="00AE6A95" w:rsidRPr="00F374C3" w:rsidRDefault="00AE6A95">
          <w:pPr>
            <w:pStyle w:val="TOC1"/>
            <w:tabs>
              <w:tab w:val="right" w:leader="dot" w:pos="9350"/>
            </w:tabs>
            <w:rPr>
              <w:rFonts w:eastAsiaTheme="minorEastAsia"/>
              <w:b/>
              <w:bCs/>
              <w:noProof/>
              <w:kern w:val="2"/>
              <w:sz w:val="24"/>
              <w:szCs w:val="24"/>
              <w14:ligatures w14:val="standardContextual"/>
            </w:rPr>
          </w:pPr>
          <w:r>
            <w:fldChar w:fldCharType="begin"/>
          </w:r>
          <w:r>
            <w:instrText xml:space="preserve"> TOC \o "1-3" \h \z \u </w:instrText>
          </w:r>
          <w:r>
            <w:fldChar w:fldCharType="separate"/>
          </w:r>
          <w:hyperlink w:anchor="_Toc165496483" w:history="1">
            <w:r w:rsidRPr="00F374C3">
              <w:rPr>
                <w:rStyle w:val="Hyperlink"/>
                <w:rFonts w:cstheme="minorHAnsi"/>
                <w:b/>
                <w:bCs/>
                <w:noProof/>
              </w:rPr>
              <w:t>EXECUTIVE SUMMARY</w:t>
            </w:r>
            <w:r w:rsidRPr="00F374C3">
              <w:rPr>
                <w:b/>
                <w:bCs/>
                <w:noProof/>
                <w:webHidden/>
              </w:rPr>
              <w:tab/>
            </w:r>
            <w:r w:rsidRPr="00F374C3">
              <w:rPr>
                <w:b/>
                <w:bCs/>
                <w:noProof/>
                <w:webHidden/>
              </w:rPr>
              <w:fldChar w:fldCharType="begin"/>
            </w:r>
            <w:r w:rsidRPr="00F374C3">
              <w:rPr>
                <w:b/>
                <w:bCs/>
                <w:noProof/>
                <w:webHidden/>
              </w:rPr>
              <w:instrText xml:space="preserve"> PAGEREF _Toc165496483 \h </w:instrText>
            </w:r>
            <w:r w:rsidRPr="00F374C3">
              <w:rPr>
                <w:b/>
                <w:bCs/>
                <w:noProof/>
                <w:webHidden/>
              </w:rPr>
            </w:r>
            <w:r w:rsidRPr="00F374C3">
              <w:rPr>
                <w:b/>
                <w:bCs/>
                <w:noProof/>
                <w:webHidden/>
              </w:rPr>
              <w:fldChar w:fldCharType="separate"/>
            </w:r>
            <w:r w:rsidR="00575CA5">
              <w:rPr>
                <w:b/>
                <w:bCs/>
                <w:noProof/>
                <w:webHidden/>
              </w:rPr>
              <w:t>2</w:t>
            </w:r>
            <w:r w:rsidRPr="00F374C3">
              <w:rPr>
                <w:b/>
                <w:bCs/>
                <w:noProof/>
                <w:webHidden/>
              </w:rPr>
              <w:fldChar w:fldCharType="end"/>
            </w:r>
          </w:hyperlink>
        </w:p>
        <w:p w14:paraId="39E781EF" w14:textId="1F351C20" w:rsidR="00AE6A95" w:rsidRPr="00F374C3" w:rsidRDefault="00575CA5">
          <w:pPr>
            <w:pStyle w:val="TOC1"/>
            <w:tabs>
              <w:tab w:val="right" w:leader="dot" w:pos="9350"/>
            </w:tabs>
            <w:rPr>
              <w:rFonts w:eastAsiaTheme="minorEastAsia"/>
              <w:b/>
              <w:bCs/>
              <w:noProof/>
              <w:kern w:val="2"/>
              <w:sz w:val="24"/>
              <w:szCs w:val="24"/>
              <w14:ligatures w14:val="standardContextual"/>
            </w:rPr>
          </w:pPr>
          <w:hyperlink w:anchor="_Toc165496484" w:history="1">
            <w:r w:rsidR="00AE6A95" w:rsidRPr="00F374C3">
              <w:rPr>
                <w:rStyle w:val="Hyperlink"/>
                <w:rFonts w:cstheme="minorHAnsi"/>
                <w:b/>
                <w:bCs/>
                <w:noProof/>
              </w:rPr>
              <w:t>TERMS OF REFERENCE</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_Toc165496484 \h </w:instrText>
            </w:r>
            <w:r w:rsidR="00AE6A95" w:rsidRPr="00F374C3">
              <w:rPr>
                <w:b/>
                <w:bCs/>
                <w:noProof/>
                <w:webHidden/>
              </w:rPr>
            </w:r>
            <w:r w:rsidR="00AE6A95" w:rsidRPr="00F374C3">
              <w:rPr>
                <w:b/>
                <w:bCs/>
                <w:noProof/>
                <w:webHidden/>
              </w:rPr>
              <w:fldChar w:fldCharType="separate"/>
            </w:r>
            <w:r>
              <w:rPr>
                <w:b/>
                <w:bCs/>
                <w:noProof/>
                <w:webHidden/>
              </w:rPr>
              <w:t>5</w:t>
            </w:r>
            <w:r w:rsidR="00AE6A95" w:rsidRPr="00F374C3">
              <w:rPr>
                <w:b/>
                <w:bCs/>
                <w:noProof/>
                <w:webHidden/>
              </w:rPr>
              <w:fldChar w:fldCharType="end"/>
            </w:r>
          </w:hyperlink>
        </w:p>
        <w:p w14:paraId="017085B8" w14:textId="27DAC59F" w:rsidR="00AE6A95" w:rsidRPr="00F374C3" w:rsidRDefault="00575CA5">
          <w:pPr>
            <w:pStyle w:val="TOC1"/>
            <w:tabs>
              <w:tab w:val="left" w:pos="440"/>
              <w:tab w:val="right" w:leader="dot" w:pos="9350"/>
            </w:tabs>
            <w:rPr>
              <w:rFonts w:eastAsiaTheme="minorEastAsia"/>
              <w:b/>
              <w:bCs/>
              <w:noProof/>
              <w:kern w:val="2"/>
              <w:sz w:val="24"/>
              <w:szCs w:val="24"/>
              <w14:ligatures w14:val="standardContextual"/>
            </w:rPr>
          </w:pPr>
          <w:hyperlink w:anchor="_Toc165496485" w:history="1">
            <w:r w:rsidR="00AE6A95" w:rsidRPr="00F374C3">
              <w:rPr>
                <w:rStyle w:val="Hyperlink"/>
                <w:rFonts w:cstheme="minorHAnsi"/>
                <w:b/>
                <w:bCs/>
                <w:noProof/>
              </w:rPr>
              <w:t>1.</w:t>
            </w:r>
            <w:r w:rsidR="00AE6A95" w:rsidRPr="00F374C3">
              <w:rPr>
                <w:rFonts w:eastAsiaTheme="minorEastAsia"/>
                <w:b/>
                <w:bCs/>
                <w:noProof/>
                <w:kern w:val="2"/>
                <w:sz w:val="24"/>
                <w:szCs w:val="24"/>
                <w14:ligatures w14:val="standardContextual"/>
              </w:rPr>
              <w:tab/>
            </w:r>
            <w:r w:rsidR="00AE6A95" w:rsidRPr="00F374C3">
              <w:rPr>
                <w:rStyle w:val="Hyperlink"/>
                <w:rFonts w:cstheme="minorHAnsi"/>
                <w:b/>
                <w:bCs/>
                <w:noProof/>
              </w:rPr>
              <w:t>OVERVIEW OF THE KEY FACTORS AFFECTING THE HOUSE CONSTRUCTION SECTOR</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_Toc165496485 \h </w:instrText>
            </w:r>
            <w:r w:rsidR="00AE6A95" w:rsidRPr="00F374C3">
              <w:rPr>
                <w:b/>
                <w:bCs/>
                <w:noProof/>
                <w:webHidden/>
              </w:rPr>
            </w:r>
            <w:r w:rsidR="00AE6A95" w:rsidRPr="00F374C3">
              <w:rPr>
                <w:b/>
                <w:bCs/>
                <w:noProof/>
                <w:webHidden/>
              </w:rPr>
              <w:fldChar w:fldCharType="separate"/>
            </w:r>
            <w:r>
              <w:rPr>
                <w:b/>
                <w:bCs/>
                <w:noProof/>
                <w:webHidden/>
              </w:rPr>
              <w:t>6</w:t>
            </w:r>
            <w:r w:rsidR="00AE6A95" w:rsidRPr="00F374C3">
              <w:rPr>
                <w:b/>
                <w:bCs/>
                <w:noProof/>
                <w:webHidden/>
              </w:rPr>
              <w:fldChar w:fldCharType="end"/>
            </w:r>
          </w:hyperlink>
        </w:p>
        <w:p w14:paraId="54C699CB" w14:textId="30A85F26" w:rsidR="00AE6A95" w:rsidRPr="00F374C3" w:rsidRDefault="00575CA5">
          <w:pPr>
            <w:pStyle w:val="TOC1"/>
            <w:tabs>
              <w:tab w:val="left" w:pos="440"/>
              <w:tab w:val="right" w:leader="dot" w:pos="9350"/>
            </w:tabs>
            <w:rPr>
              <w:rFonts w:eastAsiaTheme="minorEastAsia"/>
              <w:b/>
              <w:bCs/>
              <w:noProof/>
              <w:kern w:val="2"/>
              <w:sz w:val="24"/>
              <w:szCs w:val="24"/>
              <w14:ligatures w14:val="standardContextual"/>
            </w:rPr>
          </w:pPr>
          <w:hyperlink w:anchor="_Toc165496486" w:history="1">
            <w:r w:rsidR="00AE6A95" w:rsidRPr="00F374C3">
              <w:rPr>
                <w:rStyle w:val="Hyperlink"/>
                <w:rFonts w:cstheme="minorHAnsi"/>
                <w:b/>
                <w:bCs/>
                <w:noProof/>
              </w:rPr>
              <w:t>2.</w:t>
            </w:r>
            <w:r w:rsidR="00AE6A95" w:rsidRPr="00F374C3">
              <w:rPr>
                <w:rFonts w:eastAsiaTheme="minorEastAsia"/>
                <w:b/>
                <w:bCs/>
                <w:noProof/>
                <w:kern w:val="2"/>
                <w:sz w:val="24"/>
                <w:szCs w:val="24"/>
                <w14:ligatures w14:val="standardContextual"/>
              </w:rPr>
              <w:tab/>
            </w:r>
            <w:r w:rsidR="00AE6A95" w:rsidRPr="00F374C3">
              <w:rPr>
                <w:rStyle w:val="Hyperlink"/>
                <w:rFonts w:cstheme="minorHAnsi"/>
                <w:b/>
                <w:bCs/>
                <w:noProof/>
              </w:rPr>
              <w:t>ANALYSIS AND INTERPRETATION OF THE TWO COMPANIES</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_Toc165496486 \h </w:instrText>
            </w:r>
            <w:r w:rsidR="00AE6A95" w:rsidRPr="00F374C3">
              <w:rPr>
                <w:b/>
                <w:bCs/>
                <w:noProof/>
                <w:webHidden/>
              </w:rPr>
            </w:r>
            <w:r w:rsidR="00AE6A95" w:rsidRPr="00F374C3">
              <w:rPr>
                <w:b/>
                <w:bCs/>
                <w:noProof/>
                <w:webHidden/>
              </w:rPr>
              <w:fldChar w:fldCharType="separate"/>
            </w:r>
            <w:r>
              <w:rPr>
                <w:b/>
                <w:bCs/>
                <w:noProof/>
                <w:webHidden/>
              </w:rPr>
              <w:t>9</w:t>
            </w:r>
            <w:r w:rsidR="00AE6A95" w:rsidRPr="00F374C3">
              <w:rPr>
                <w:b/>
                <w:bCs/>
                <w:noProof/>
                <w:webHidden/>
              </w:rPr>
              <w:fldChar w:fldCharType="end"/>
            </w:r>
          </w:hyperlink>
        </w:p>
        <w:p w14:paraId="6206D231" w14:textId="104D75FE" w:rsidR="00AE6A95" w:rsidRPr="00F374C3" w:rsidRDefault="00575CA5">
          <w:pPr>
            <w:pStyle w:val="TOC2"/>
            <w:tabs>
              <w:tab w:val="right" w:leader="dot" w:pos="9350"/>
            </w:tabs>
            <w:rPr>
              <w:rFonts w:eastAsiaTheme="minorEastAsia"/>
              <w:b/>
              <w:bCs/>
              <w:noProof/>
              <w:kern w:val="2"/>
              <w:sz w:val="24"/>
              <w:szCs w:val="24"/>
              <w14:ligatures w14:val="standardContextual"/>
            </w:rPr>
          </w:pPr>
          <w:hyperlink w:anchor="_Toc165496487" w:history="1">
            <w:r w:rsidR="00AE6A95" w:rsidRPr="00F374C3">
              <w:rPr>
                <w:rStyle w:val="Hyperlink"/>
                <w:rFonts w:ascii="Calibri" w:hAnsi="Calibri" w:cs="Calibri"/>
                <w:b/>
                <w:bCs/>
                <w:noProof/>
              </w:rPr>
              <w:t>2.1 RATIO ANALYSIS</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_Toc165496487 \h </w:instrText>
            </w:r>
            <w:r w:rsidR="00AE6A95" w:rsidRPr="00F374C3">
              <w:rPr>
                <w:b/>
                <w:bCs/>
                <w:noProof/>
                <w:webHidden/>
              </w:rPr>
            </w:r>
            <w:r w:rsidR="00AE6A95" w:rsidRPr="00F374C3">
              <w:rPr>
                <w:b/>
                <w:bCs/>
                <w:noProof/>
                <w:webHidden/>
              </w:rPr>
              <w:fldChar w:fldCharType="separate"/>
            </w:r>
            <w:r>
              <w:rPr>
                <w:b/>
                <w:bCs/>
                <w:noProof/>
                <w:webHidden/>
              </w:rPr>
              <w:t>10</w:t>
            </w:r>
            <w:r w:rsidR="00AE6A95" w:rsidRPr="00F374C3">
              <w:rPr>
                <w:b/>
                <w:bCs/>
                <w:noProof/>
                <w:webHidden/>
              </w:rPr>
              <w:fldChar w:fldCharType="end"/>
            </w:r>
          </w:hyperlink>
        </w:p>
        <w:p w14:paraId="3ABA981D" w14:textId="4F958AB4" w:rsidR="00AE6A95" w:rsidRPr="00F374C3" w:rsidRDefault="00575CA5">
          <w:pPr>
            <w:pStyle w:val="TOC3"/>
            <w:tabs>
              <w:tab w:val="right" w:leader="dot" w:pos="9350"/>
            </w:tabs>
            <w:rPr>
              <w:rFonts w:eastAsiaTheme="minorEastAsia"/>
              <w:b/>
              <w:bCs/>
              <w:noProof/>
              <w:kern w:val="2"/>
              <w:sz w:val="24"/>
              <w:szCs w:val="24"/>
              <w14:ligatures w14:val="standardContextual"/>
            </w:rPr>
          </w:pPr>
          <w:hyperlink w:anchor="_Toc165496488" w:history="1">
            <w:r w:rsidR="00AE6A95" w:rsidRPr="00F374C3">
              <w:rPr>
                <w:rStyle w:val="Hyperlink"/>
                <w:rFonts w:ascii="Calibri" w:hAnsi="Calibri" w:cs="Calibri"/>
                <w:b/>
                <w:bCs/>
                <w:noProof/>
              </w:rPr>
              <w:t>2.1.1 LIQUIDITY RATIO</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_Toc165496488 \h </w:instrText>
            </w:r>
            <w:r w:rsidR="00AE6A95" w:rsidRPr="00F374C3">
              <w:rPr>
                <w:b/>
                <w:bCs/>
                <w:noProof/>
                <w:webHidden/>
              </w:rPr>
            </w:r>
            <w:r w:rsidR="00AE6A95" w:rsidRPr="00F374C3">
              <w:rPr>
                <w:b/>
                <w:bCs/>
                <w:noProof/>
                <w:webHidden/>
              </w:rPr>
              <w:fldChar w:fldCharType="separate"/>
            </w:r>
            <w:r>
              <w:rPr>
                <w:b/>
                <w:bCs/>
                <w:noProof/>
                <w:webHidden/>
              </w:rPr>
              <w:t>10</w:t>
            </w:r>
            <w:r w:rsidR="00AE6A95" w:rsidRPr="00F374C3">
              <w:rPr>
                <w:b/>
                <w:bCs/>
                <w:noProof/>
                <w:webHidden/>
              </w:rPr>
              <w:fldChar w:fldCharType="end"/>
            </w:r>
          </w:hyperlink>
        </w:p>
        <w:p w14:paraId="236A631C" w14:textId="3A13D6A7"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89"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Current Ratio</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_Toc165496489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10</w:t>
            </w:r>
            <w:r w:rsidR="00AE6A95" w:rsidRPr="00AE6A95">
              <w:rPr>
                <w:noProof/>
                <w:webHidden/>
                <w:sz w:val="18"/>
                <w:szCs w:val="18"/>
              </w:rPr>
              <w:fldChar w:fldCharType="end"/>
            </w:r>
          </w:hyperlink>
        </w:p>
        <w:p w14:paraId="4368E317" w14:textId="7C4CBA15"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0"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Quick Ratio</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_Toc165496490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11</w:t>
            </w:r>
            <w:r w:rsidR="00AE6A95" w:rsidRPr="00AE6A95">
              <w:rPr>
                <w:noProof/>
                <w:webHidden/>
                <w:sz w:val="18"/>
                <w:szCs w:val="18"/>
              </w:rPr>
              <w:fldChar w:fldCharType="end"/>
            </w:r>
          </w:hyperlink>
        </w:p>
        <w:p w14:paraId="29DCD2DB" w14:textId="566EF6DA" w:rsidR="00AE6A95" w:rsidRDefault="00575CA5">
          <w:pPr>
            <w:pStyle w:val="TOC3"/>
            <w:tabs>
              <w:tab w:val="left" w:pos="960"/>
              <w:tab w:val="right" w:leader="dot" w:pos="9350"/>
            </w:tabs>
            <w:rPr>
              <w:rFonts w:eastAsiaTheme="minorEastAsia"/>
              <w:noProof/>
              <w:kern w:val="2"/>
              <w:sz w:val="24"/>
              <w:szCs w:val="24"/>
              <w14:ligatures w14:val="standardContextual"/>
            </w:rPr>
          </w:pPr>
          <w:hyperlink w:anchor="_Toc165496491"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Cashflow Liquidity Ratio</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_Toc165496491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11</w:t>
            </w:r>
            <w:r w:rsidR="00AE6A95" w:rsidRPr="00AE6A95">
              <w:rPr>
                <w:noProof/>
                <w:webHidden/>
                <w:sz w:val="18"/>
                <w:szCs w:val="18"/>
              </w:rPr>
              <w:fldChar w:fldCharType="end"/>
            </w:r>
          </w:hyperlink>
        </w:p>
        <w:p w14:paraId="1791EBCF" w14:textId="0DFBCE7D" w:rsidR="00AE6A95" w:rsidRPr="00F374C3" w:rsidRDefault="00575CA5">
          <w:pPr>
            <w:pStyle w:val="TOC3"/>
            <w:tabs>
              <w:tab w:val="right" w:leader="dot" w:pos="9350"/>
            </w:tabs>
            <w:rPr>
              <w:rFonts w:eastAsiaTheme="minorEastAsia"/>
              <w:b/>
              <w:bCs/>
              <w:noProof/>
              <w:kern w:val="2"/>
              <w:sz w:val="24"/>
              <w:szCs w:val="24"/>
              <w14:ligatures w14:val="standardContextual"/>
            </w:rPr>
          </w:pPr>
          <w:hyperlink w:anchor="_Toc165496492" w:history="1">
            <w:r w:rsidR="00AE6A95" w:rsidRPr="00F374C3">
              <w:rPr>
                <w:rStyle w:val="Hyperlink"/>
                <w:rFonts w:ascii="Calibri" w:hAnsi="Calibri" w:cs="Calibri"/>
                <w:b/>
                <w:bCs/>
                <w:noProof/>
              </w:rPr>
              <w:t>2.1.2 PROFITABILITY RATIO</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_Toc165496492 \h </w:instrText>
            </w:r>
            <w:r w:rsidR="00AE6A95" w:rsidRPr="00F374C3">
              <w:rPr>
                <w:b/>
                <w:bCs/>
                <w:noProof/>
                <w:webHidden/>
              </w:rPr>
            </w:r>
            <w:r w:rsidR="00AE6A95" w:rsidRPr="00F374C3">
              <w:rPr>
                <w:b/>
                <w:bCs/>
                <w:noProof/>
                <w:webHidden/>
              </w:rPr>
              <w:fldChar w:fldCharType="separate"/>
            </w:r>
            <w:r>
              <w:rPr>
                <w:b/>
                <w:bCs/>
                <w:noProof/>
                <w:webHidden/>
              </w:rPr>
              <w:t>12</w:t>
            </w:r>
            <w:r w:rsidR="00AE6A95" w:rsidRPr="00F374C3">
              <w:rPr>
                <w:b/>
                <w:bCs/>
                <w:noProof/>
                <w:webHidden/>
              </w:rPr>
              <w:fldChar w:fldCharType="end"/>
            </w:r>
          </w:hyperlink>
        </w:p>
        <w:p w14:paraId="54102C48" w14:textId="36142EFB"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3"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Gross Profit Margin (GPM)</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_Toc165496493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12</w:t>
            </w:r>
            <w:r w:rsidR="00AE6A95" w:rsidRPr="00AE6A95">
              <w:rPr>
                <w:noProof/>
                <w:webHidden/>
                <w:sz w:val="18"/>
                <w:szCs w:val="18"/>
              </w:rPr>
              <w:fldChar w:fldCharType="end"/>
            </w:r>
          </w:hyperlink>
        </w:p>
        <w:p w14:paraId="0B7F95F5" w14:textId="2493B69E"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4"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Operating Profit Margin (OPM)</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_Toc165496494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13</w:t>
            </w:r>
            <w:r w:rsidR="00AE6A95" w:rsidRPr="00AE6A95">
              <w:rPr>
                <w:noProof/>
                <w:webHidden/>
                <w:sz w:val="18"/>
                <w:szCs w:val="18"/>
              </w:rPr>
              <w:fldChar w:fldCharType="end"/>
            </w:r>
          </w:hyperlink>
        </w:p>
        <w:p w14:paraId="38A89CA4" w14:textId="6F085182"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5"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Net Profit Margin (NPM)</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_Toc165496495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13</w:t>
            </w:r>
            <w:r w:rsidR="00AE6A95" w:rsidRPr="00AE6A95">
              <w:rPr>
                <w:noProof/>
                <w:webHidden/>
                <w:sz w:val="18"/>
                <w:szCs w:val="18"/>
              </w:rPr>
              <w:fldChar w:fldCharType="end"/>
            </w:r>
          </w:hyperlink>
        </w:p>
        <w:p w14:paraId="378E01BE" w14:textId="0544BAF5"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6"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Return on Capital Employed (ROCE)</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_Toc165496496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13</w:t>
            </w:r>
            <w:r w:rsidR="00AE6A95" w:rsidRPr="00AE6A95">
              <w:rPr>
                <w:noProof/>
                <w:webHidden/>
                <w:sz w:val="18"/>
                <w:szCs w:val="18"/>
              </w:rPr>
              <w:fldChar w:fldCharType="end"/>
            </w:r>
          </w:hyperlink>
        </w:p>
        <w:p w14:paraId="5DE59869" w14:textId="78B4E53D"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7"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Return on Equity (ROE)</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_Toc165496497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13</w:t>
            </w:r>
            <w:r w:rsidR="00AE6A95" w:rsidRPr="00AE6A95">
              <w:rPr>
                <w:noProof/>
                <w:webHidden/>
                <w:sz w:val="18"/>
                <w:szCs w:val="18"/>
              </w:rPr>
              <w:fldChar w:fldCharType="end"/>
            </w:r>
          </w:hyperlink>
        </w:p>
        <w:p w14:paraId="4C14CB70" w14:textId="6A0C7D27"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8"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Return on Assets (ROA)</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_Toc165496498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13</w:t>
            </w:r>
            <w:r w:rsidR="00AE6A95" w:rsidRPr="00AE6A95">
              <w:rPr>
                <w:noProof/>
                <w:webHidden/>
                <w:sz w:val="18"/>
                <w:szCs w:val="18"/>
              </w:rPr>
              <w:fldChar w:fldCharType="end"/>
            </w:r>
          </w:hyperlink>
        </w:p>
        <w:p w14:paraId="54CD529D" w14:textId="79B666BA" w:rsidR="00AE6A95" w:rsidRPr="00AE6A95" w:rsidRDefault="00575CA5">
          <w:pPr>
            <w:pStyle w:val="TOC3"/>
            <w:tabs>
              <w:tab w:val="left" w:pos="960"/>
              <w:tab w:val="right" w:leader="dot" w:pos="9350"/>
            </w:tabs>
            <w:rPr>
              <w:rFonts w:eastAsiaTheme="minorEastAsia"/>
              <w:noProof/>
              <w:kern w:val="2"/>
              <w:sz w:val="18"/>
              <w:szCs w:val="18"/>
              <w14:ligatures w14:val="standardContextual"/>
            </w:rPr>
          </w:pPr>
          <w:hyperlink w:anchor="_Toc165496499" w:history="1">
            <w:r w:rsidR="00AE6A95" w:rsidRPr="00AE6A95">
              <w:rPr>
                <w:rStyle w:val="Hyperlink"/>
                <w:rFonts w:ascii="Wingdings" w:hAnsi="Wingdings" w:cs="Calibri"/>
                <w:noProof/>
                <w:sz w:val="18"/>
                <w:szCs w:val="18"/>
              </w:rPr>
              <w:t></w:t>
            </w:r>
            <w:r w:rsidR="00AE6A95" w:rsidRPr="00AE6A95">
              <w:rPr>
                <w:rFonts w:eastAsiaTheme="minorEastAsia"/>
                <w:noProof/>
                <w:kern w:val="2"/>
                <w:sz w:val="18"/>
                <w:szCs w:val="18"/>
                <w14:ligatures w14:val="standardContextual"/>
              </w:rPr>
              <w:tab/>
            </w:r>
            <w:r w:rsidR="00AE6A95" w:rsidRPr="00AE6A95">
              <w:rPr>
                <w:rStyle w:val="Hyperlink"/>
                <w:rFonts w:ascii="Calibri" w:eastAsiaTheme="majorEastAsia" w:hAnsi="Calibri" w:cs="Calibri"/>
                <w:noProof/>
                <w:sz w:val="18"/>
                <w:szCs w:val="18"/>
              </w:rPr>
              <w:t>Earnings Quality (CFO/Net Income)</w:t>
            </w:r>
            <w:r w:rsidR="00AE6A95" w:rsidRPr="00AE6A95">
              <w:rPr>
                <w:noProof/>
                <w:webHidden/>
                <w:sz w:val="18"/>
                <w:szCs w:val="18"/>
              </w:rPr>
              <w:tab/>
            </w:r>
            <w:r w:rsidR="00AE6A95" w:rsidRPr="00AE6A95">
              <w:rPr>
                <w:noProof/>
                <w:webHidden/>
                <w:sz w:val="18"/>
                <w:szCs w:val="18"/>
              </w:rPr>
              <w:fldChar w:fldCharType="begin"/>
            </w:r>
            <w:r w:rsidR="00AE6A95" w:rsidRPr="00AE6A95">
              <w:rPr>
                <w:noProof/>
                <w:webHidden/>
                <w:sz w:val="18"/>
                <w:szCs w:val="18"/>
              </w:rPr>
              <w:instrText xml:space="preserve"> PAGEREF _Toc165496499 \h </w:instrText>
            </w:r>
            <w:r w:rsidR="00AE6A95" w:rsidRPr="00AE6A95">
              <w:rPr>
                <w:noProof/>
                <w:webHidden/>
                <w:sz w:val="18"/>
                <w:szCs w:val="18"/>
              </w:rPr>
            </w:r>
            <w:r w:rsidR="00AE6A95" w:rsidRPr="00AE6A95">
              <w:rPr>
                <w:noProof/>
                <w:webHidden/>
                <w:sz w:val="18"/>
                <w:szCs w:val="18"/>
              </w:rPr>
              <w:fldChar w:fldCharType="separate"/>
            </w:r>
            <w:r>
              <w:rPr>
                <w:noProof/>
                <w:webHidden/>
                <w:sz w:val="18"/>
                <w:szCs w:val="18"/>
              </w:rPr>
              <w:t>14</w:t>
            </w:r>
            <w:r w:rsidR="00AE6A95" w:rsidRPr="00AE6A95">
              <w:rPr>
                <w:noProof/>
                <w:webHidden/>
                <w:sz w:val="18"/>
                <w:szCs w:val="18"/>
              </w:rPr>
              <w:fldChar w:fldCharType="end"/>
            </w:r>
          </w:hyperlink>
        </w:p>
        <w:p w14:paraId="63E74373" w14:textId="5CE3DF36" w:rsidR="00AE6A95" w:rsidRPr="00F374C3" w:rsidRDefault="00575CA5">
          <w:pPr>
            <w:pStyle w:val="TOC3"/>
            <w:tabs>
              <w:tab w:val="right" w:leader="dot" w:pos="9350"/>
            </w:tabs>
            <w:rPr>
              <w:rFonts w:eastAsiaTheme="minorEastAsia"/>
              <w:b/>
              <w:bCs/>
              <w:noProof/>
              <w:kern w:val="2"/>
              <w:sz w:val="24"/>
              <w:szCs w:val="24"/>
              <w14:ligatures w14:val="standardContextual"/>
            </w:rPr>
          </w:pPr>
          <w:hyperlink w:anchor="_Toc165496500" w:history="1">
            <w:r w:rsidR="00AE6A95" w:rsidRPr="00F374C3">
              <w:rPr>
                <w:rStyle w:val="Hyperlink"/>
                <w:rFonts w:ascii="Calibri" w:hAnsi="Calibri" w:cs="Calibri"/>
                <w:b/>
                <w:bCs/>
                <w:noProof/>
              </w:rPr>
              <w:t>2.1.3 GEARING RATIO</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_Toc165496500 \h </w:instrText>
            </w:r>
            <w:r w:rsidR="00AE6A95" w:rsidRPr="00F374C3">
              <w:rPr>
                <w:b/>
                <w:bCs/>
                <w:noProof/>
                <w:webHidden/>
              </w:rPr>
            </w:r>
            <w:r w:rsidR="00AE6A95" w:rsidRPr="00F374C3">
              <w:rPr>
                <w:b/>
                <w:bCs/>
                <w:noProof/>
                <w:webHidden/>
              </w:rPr>
              <w:fldChar w:fldCharType="separate"/>
            </w:r>
            <w:r>
              <w:rPr>
                <w:b/>
                <w:bCs/>
                <w:noProof/>
                <w:webHidden/>
              </w:rPr>
              <w:t>15</w:t>
            </w:r>
            <w:r w:rsidR="00AE6A95" w:rsidRPr="00F374C3">
              <w:rPr>
                <w:b/>
                <w:bCs/>
                <w:noProof/>
                <w:webHidden/>
              </w:rPr>
              <w:fldChar w:fldCharType="end"/>
            </w:r>
          </w:hyperlink>
        </w:p>
        <w:p w14:paraId="3A137AA1" w14:textId="1A8B4CFA"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1"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Interest cover (Interest Coverage Ratio)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_Toc165496501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16</w:t>
            </w:r>
            <w:r w:rsidR="00AE6A95" w:rsidRPr="00F374C3">
              <w:rPr>
                <w:noProof/>
                <w:webHidden/>
                <w:sz w:val="18"/>
                <w:szCs w:val="18"/>
              </w:rPr>
              <w:fldChar w:fldCharType="end"/>
            </w:r>
          </w:hyperlink>
        </w:p>
        <w:p w14:paraId="185442E4" w14:textId="551014DA"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2"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Debt-to-Equity Ratio (D/E Ratio)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_Toc165496502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16</w:t>
            </w:r>
            <w:r w:rsidR="00AE6A95" w:rsidRPr="00F374C3">
              <w:rPr>
                <w:noProof/>
                <w:webHidden/>
                <w:sz w:val="18"/>
                <w:szCs w:val="18"/>
              </w:rPr>
              <w:fldChar w:fldCharType="end"/>
            </w:r>
          </w:hyperlink>
        </w:p>
        <w:p w14:paraId="7396D47B" w14:textId="532BD3BF"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3"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Cashflow Ratio (CFO/Total Debt)</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_Toc165496503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16</w:t>
            </w:r>
            <w:r w:rsidR="00AE6A95" w:rsidRPr="00F374C3">
              <w:rPr>
                <w:noProof/>
                <w:webHidden/>
                <w:sz w:val="18"/>
                <w:szCs w:val="18"/>
              </w:rPr>
              <w:fldChar w:fldCharType="end"/>
            </w:r>
          </w:hyperlink>
        </w:p>
        <w:p w14:paraId="7C62609A" w14:textId="39937CFB"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4"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Cash Interest Coverage (CFO/Interest Paid)</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_Toc165496504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16</w:t>
            </w:r>
            <w:r w:rsidR="00AE6A95" w:rsidRPr="00F374C3">
              <w:rPr>
                <w:noProof/>
                <w:webHidden/>
                <w:sz w:val="18"/>
                <w:szCs w:val="18"/>
              </w:rPr>
              <w:fldChar w:fldCharType="end"/>
            </w:r>
          </w:hyperlink>
        </w:p>
        <w:p w14:paraId="6520DFC4" w14:textId="1337A7F2" w:rsidR="00AE6A95" w:rsidRPr="00F374C3" w:rsidRDefault="00575CA5">
          <w:pPr>
            <w:pStyle w:val="TOC3"/>
            <w:tabs>
              <w:tab w:val="right" w:leader="dot" w:pos="9350"/>
            </w:tabs>
            <w:rPr>
              <w:rFonts w:eastAsiaTheme="minorEastAsia"/>
              <w:b/>
              <w:bCs/>
              <w:noProof/>
              <w:kern w:val="2"/>
              <w:sz w:val="24"/>
              <w:szCs w:val="24"/>
              <w14:ligatures w14:val="standardContextual"/>
            </w:rPr>
          </w:pPr>
          <w:hyperlink w:anchor="_Toc165496505" w:history="1">
            <w:r w:rsidR="00AE6A95" w:rsidRPr="00F374C3">
              <w:rPr>
                <w:rStyle w:val="Hyperlink"/>
                <w:rFonts w:ascii="Calibri" w:hAnsi="Calibri" w:cs="Calibri"/>
                <w:b/>
                <w:bCs/>
                <w:noProof/>
              </w:rPr>
              <w:t>2.1.4 EFFICIENCY RATIO</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_Toc165496505 \h </w:instrText>
            </w:r>
            <w:r w:rsidR="00AE6A95" w:rsidRPr="00F374C3">
              <w:rPr>
                <w:b/>
                <w:bCs/>
                <w:noProof/>
                <w:webHidden/>
              </w:rPr>
            </w:r>
            <w:r w:rsidR="00AE6A95" w:rsidRPr="00F374C3">
              <w:rPr>
                <w:b/>
                <w:bCs/>
                <w:noProof/>
                <w:webHidden/>
              </w:rPr>
              <w:fldChar w:fldCharType="separate"/>
            </w:r>
            <w:r>
              <w:rPr>
                <w:b/>
                <w:bCs/>
                <w:noProof/>
                <w:webHidden/>
              </w:rPr>
              <w:t>17</w:t>
            </w:r>
            <w:r w:rsidR="00AE6A95" w:rsidRPr="00F374C3">
              <w:rPr>
                <w:b/>
                <w:bCs/>
                <w:noProof/>
                <w:webHidden/>
              </w:rPr>
              <w:fldChar w:fldCharType="end"/>
            </w:r>
          </w:hyperlink>
        </w:p>
        <w:p w14:paraId="39354ABB" w14:textId="058FB362"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6"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Sales to Capital Employed</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_Toc165496506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18</w:t>
            </w:r>
            <w:r w:rsidR="00AE6A95" w:rsidRPr="00F374C3">
              <w:rPr>
                <w:noProof/>
                <w:webHidden/>
                <w:sz w:val="18"/>
                <w:szCs w:val="18"/>
              </w:rPr>
              <w:fldChar w:fldCharType="end"/>
            </w:r>
          </w:hyperlink>
        </w:p>
        <w:p w14:paraId="4C80AA52" w14:textId="0938F5B7"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7"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Debtor Days (Days Sales Outstanding - DSO)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_Toc165496507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18</w:t>
            </w:r>
            <w:r w:rsidR="00AE6A95" w:rsidRPr="00F374C3">
              <w:rPr>
                <w:noProof/>
                <w:webHidden/>
                <w:sz w:val="18"/>
                <w:szCs w:val="18"/>
              </w:rPr>
              <w:fldChar w:fldCharType="end"/>
            </w:r>
          </w:hyperlink>
        </w:p>
        <w:p w14:paraId="7F12E314" w14:textId="014EBBD2"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8"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Inventory Days (Days Inventory Outstanding - DIO)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_Toc165496508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18</w:t>
            </w:r>
            <w:r w:rsidR="00AE6A95" w:rsidRPr="00F374C3">
              <w:rPr>
                <w:noProof/>
                <w:webHidden/>
                <w:sz w:val="18"/>
                <w:szCs w:val="18"/>
              </w:rPr>
              <w:fldChar w:fldCharType="end"/>
            </w:r>
          </w:hyperlink>
        </w:p>
        <w:p w14:paraId="129E678F" w14:textId="33D0EA61"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09"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Creditor Days (Days Payables Outstanding - DPO)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_Toc165496509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18</w:t>
            </w:r>
            <w:r w:rsidR="00AE6A95" w:rsidRPr="00F374C3">
              <w:rPr>
                <w:noProof/>
                <w:webHidden/>
                <w:sz w:val="18"/>
                <w:szCs w:val="18"/>
              </w:rPr>
              <w:fldChar w:fldCharType="end"/>
            </w:r>
          </w:hyperlink>
        </w:p>
        <w:p w14:paraId="61F7A500" w14:textId="03B881E3" w:rsidR="00AE6A95" w:rsidRPr="00F374C3" w:rsidRDefault="00575CA5">
          <w:pPr>
            <w:pStyle w:val="TOC3"/>
            <w:tabs>
              <w:tab w:val="left" w:pos="960"/>
              <w:tab w:val="right" w:leader="dot" w:pos="9350"/>
            </w:tabs>
            <w:rPr>
              <w:rFonts w:eastAsiaTheme="minorEastAsia"/>
              <w:noProof/>
              <w:kern w:val="2"/>
              <w:sz w:val="18"/>
              <w:szCs w:val="18"/>
              <w14:ligatures w14:val="standardContextual"/>
            </w:rPr>
          </w:pPr>
          <w:hyperlink w:anchor="_Toc165496510" w:history="1">
            <w:r w:rsidR="00AE6A95" w:rsidRPr="00F374C3">
              <w:rPr>
                <w:rStyle w:val="Hyperlink"/>
                <w:rFonts w:ascii="Wingdings" w:hAnsi="Wingdings" w:cs="Calibri"/>
                <w:noProof/>
                <w:sz w:val="18"/>
                <w:szCs w:val="18"/>
              </w:rPr>
              <w:t></w:t>
            </w:r>
            <w:r w:rsidR="00AE6A95" w:rsidRPr="00F374C3">
              <w:rPr>
                <w:rFonts w:eastAsiaTheme="minorEastAsia"/>
                <w:noProof/>
                <w:kern w:val="2"/>
                <w:sz w:val="18"/>
                <w:szCs w:val="18"/>
                <w14:ligatures w14:val="standardContextual"/>
              </w:rPr>
              <w:tab/>
            </w:r>
            <w:r w:rsidR="00AE6A95" w:rsidRPr="00F374C3">
              <w:rPr>
                <w:rStyle w:val="Hyperlink"/>
                <w:rFonts w:ascii="Calibri" w:eastAsiaTheme="majorEastAsia" w:hAnsi="Calibri" w:cs="Calibri"/>
                <w:noProof/>
                <w:sz w:val="18"/>
                <w:szCs w:val="18"/>
              </w:rPr>
              <w:t>Cash Conversion Cycle (CCC)</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_Toc165496510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18</w:t>
            </w:r>
            <w:r w:rsidR="00AE6A95" w:rsidRPr="00F374C3">
              <w:rPr>
                <w:noProof/>
                <w:webHidden/>
                <w:sz w:val="18"/>
                <w:szCs w:val="18"/>
              </w:rPr>
              <w:fldChar w:fldCharType="end"/>
            </w:r>
          </w:hyperlink>
        </w:p>
        <w:p w14:paraId="7481D8D9" w14:textId="49B052C7" w:rsidR="00AE6A95" w:rsidRPr="00F374C3" w:rsidRDefault="00575CA5">
          <w:pPr>
            <w:pStyle w:val="TOC1"/>
            <w:tabs>
              <w:tab w:val="left" w:pos="440"/>
              <w:tab w:val="right" w:leader="dot" w:pos="9350"/>
            </w:tabs>
            <w:rPr>
              <w:rFonts w:eastAsiaTheme="minorEastAsia"/>
              <w:b/>
              <w:bCs/>
              <w:noProof/>
              <w:kern w:val="2"/>
              <w:sz w:val="24"/>
              <w:szCs w:val="24"/>
              <w14:ligatures w14:val="standardContextual"/>
            </w:rPr>
          </w:pPr>
          <w:hyperlink w:anchor="_Toc165496511" w:history="1">
            <w:r w:rsidR="00AE6A95" w:rsidRPr="00F374C3">
              <w:rPr>
                <w:rStyle w:val="Hyperlink"/>
                <w:rFonts w:ascii="Calibri" w:hAnsi="Calibri" w:cs="Calibri"/>
                <w:b/>
                <w:bCs/>
                <w:noProof/>
              </w:rPr>
              <w:t>3.</w:t>
            </w:r>
            <w:r w:rsidR="00AE6A95" w:rsidRPr="00F374C3">
              <w:rPr>
                <w:rFonts w:eastAsiaTheme="minorEastAsia"/>
                <w:b/>
                <w:bCs/>
                <w:noProof/>
                <w:kern w:val="2"/>
                <w:sz w:val="24"/>
                <w:szCs w:val="24"/>
                <w14:ligatures w14:val="standardContextual"/>
              </w:rPr>
              <w:tab/>
            </w:r>
            <w:r w:rsidR="00AE6A95" w:rsidRPr="00F374C3">
              <w:rPr>
                <w:rStyle w:val="Hyperlink"/>
                <w:rFonts w:ascii="Calibri" w:hAnsi="Calibri" w:cs="Calibri"/>
                <w:b/>
                <w:bCs/>
                <w:noProof/>
              </w:rPr>
              <w:t>HORIZONTAL AND VERTICAL ANALYSIS</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_Toc165496511 \h </w:instrText>
            </w:r>
            <w:r w:rsidR="00AE6A95" w:rsidRPr="00F374C3">
              <w:rPr>
                <w:b/>
                <w:bCs/>
                <w:noProof/>
                <w:webHidden/>
              </w:rPr>
            </w:r>
            <w:r w:rsidR="00AE6A95" w:rsidRPr="00F374C3">
              <w:rPr>
                <w:b/>
                <w:bCs/>
                <w:noProof/>
                <w:webHidden/>
              </w:rPr>
              <w:fldChar w:fldCharType="separate"/>
            </w:r>
            <w:r>
              <w:rPr>
                <w:b/>
                <w:bCs/>
                <w:noProof/>
                <w:webHidden/>
              </w:rPr>
              <w:t>20</w:t>
            </w:r>
            <w:r w:rsidR="00AE6A95" w:rsidRPr="00F374C3">
              <w:rPr>
                <w:b/>
                <w:bCs/>
                <w:noProof/>
                <w:webHidden/>
              </w:rPr>
              <w:fldChar w:fldCharType="end"/>
            </w:r>
          </w:hyperlink>
        </w:p>
        <w:p w14:paraId="3468F398" w14:textId="0639FAD6" w:rsidR="00AE6A95" w:rsidRPr="00F374C3" w:rsidRDefault="00575CA5">
          <w:pPr>
            <w:pStyle w:val="TOC1"/>
            <w:tabs>
              <w:tab w:val="left" w:pos="440"/>
              <w:tab w:val="right" w:leader="dot" w:pos="9350"/>
            </w:tabs>
            <w:rPr>
              <w:rFonts w:eastAsiaTheme="minorEastAsia"/>
              <w:b/>
              <w:bCs/>
              <w:noProof/>
              <w:kern w:val="2"/>
              <w:sz w:val="24"/>
              <w:szCs w:val="24"/>
              <w14:ligatures w14:val="standardContextual"/>
            </w:rPr>
          </w:pPr>
          <w:hyperlink w:anchor="_Toc165496512" w:history="1">
            <w:r w:rsidR="00AE6A95" w:rsidRPr="00F374C3">
              <w:rPr>
                <w:rStyle w:val="Hyperlink"/>
                <w:rFonts w:ascii="Calibri" w:hAnsi="Calibri" w:cs="Calibri"/>
                <w:b/>
                <w:bCs/>
                <w:noProof/>
              </w:rPr>
              <w:t>4.</w:t>
            </w:r>
            <w:r w:rsidR="00AE6A95" w:rsidRPr="00F374C3">
              <w:rPr>
                <w:rFonts w:eastAsiaTheme="minorEastAsia"/>
                <w:b/>
                <w:bCs/>
                <w:noProof/>
                <w:kern w:val="2"/>
                <w:sz w:val="24"/>
                <w:szCs w:val="24"/>
                <w14:ligatures w14:val="standardContextual"/>
              </w:rPr>
              <w:tab/>
            </w:r>
            <w:r w:rsidR="00AE6A95" w:rsidRPr="00F374C3">
              <w:rPr>
                <w:rStyle w:val="Hyperlink"/>
                <w:rFonts w:ascii="Calibri" w:hAnsi="Calibri" w:cs="Calibri"/>
                <w:b/>
                <w:bCs/>
                <w:noProof/>
              </w:rPr>
              <w:t>EVALUATION OF ADOPTION OF THE UK CORPORATE GOVERNANCE CODE</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_Toc165496512 \h </w:instrText>
            </w:r>
            <w:r w:rsidR="00AE6A95" w:rsidRPr="00F374C3">
              <w:rPr>
                <w:b/>
                <w:bCs/>
                <w:noProof/>
                <w:webHidden/>
              </w:rPr>
            </w:r>
            <w:r w:rsidR="00AE6A95" w:rsidRPr="00F374C3">
              <w:rPr>
                <w:b/>
                <w:bCs/>
                <w:noProof/>
                <w:webHidden/>
              </w:rPr>
              <w:fldChar w:fldCharType="separate"/>
            </w:r>
            <w:r>
              <w:rPr>
                <w:b/>
                <w:bCs/>
                <w:noProof/>
                <w:webHidden/>
              </w:rPr>
              <w:t>33</w:t>
            </w:r>
            <w:r w:rsidR="00AE6A95" w:rsidRPr="00F374C3">
              <w:rPr>
                <w:b/>
                <w:bCs/>
                <w:noProof/>
                <w:webHidden/>
              </w:rPr>
              <w:fldChar w:fldCharType="end"/>
            </w:r>
          </w:hyperlink>
        </w:p>
        <w:p w14:paraId="3955E450" w14:textId="56DC0EF2" w:rsidR="00AE6A95" w:rsidRPr="00F374C3" w:rsidRDefault="00575CA5">
          <w:pPr>
            <w:pStyle w:val="TOC1"/>
            <w:tabs>
              <w:tab w:val="left" w:pos="440"/>
              <w:tab w:val="right" w:leader="dot" w:pos="9350"/>
            </w:tabs>
            <w:rPr>
              <w:rFonts w:eastAsiaTheme="minorEastAsia"/>
              <w:b/>
              <w:bCs/>
              <w:noProof/>
              <w:kern w:val="2"/>
              <w:sz w:val="24"/>
              <w:szCs w:val="24"/>
              <w14:ligatures w14:val="standardContextual"/>
            </w:rPr>
          </w:pPr>
          <w:hyperlink w:anchor="_Toc165496513" w:history="1">
            <w:r w:rsidR="00AE6A95" w:rsidRPr="00F374C3">
              <w:rPr>
                <w:rStyle w:val="Hyperlink"/>
                <w:rFonts w:cstheme="minorHAnsi"/>
                <w:b/>
                <w:bCs/>
                <w:noProof/>
              </w:rPr>
              <w:t>5.</w:t>
            </w:r>
            <w:r w:rsidR="00AE6A95" w:rsidRPr="00F374C3">
              <w:rPr>
                <w:rFonts w:eastAsiaTheme="minorEastAsia"/>
                <w:b/>
                <w:bCs/>
                <w:noProof/>
                <w:kern w:val="2"/>
                <w:sz w:val="24"/>
                <w:szCs w:val="24"/>
                <w14:ligatures w14:val="standardContextual"/>
              </w:rPr>
              <w:tab/>
            </w:r>
            <w:r w:rsidR="00AE6A95" w:rsidRPr="00F374C3">
              <w:rPr>
                <w:rStyle w:val="Hyperlink"/>
                <w:rFonts w:cstheme="minorHAnsi"/>
                <w:b/>
                <w:bCs/>
                <w:noProof/>
              </w:rPr>
              <w:t>Appendix</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_Toc165496513 \h </w:instrText>
            </w:r>
            <w:r w:rsidR="00AE6A95" w:rsidRPr="00F374C3">
              <w:rPr>
                <w:b/>
                <w:bCs/>
                <w:noProof/>
                <w:webHidden/>
              </w:rPr>
            </w:r>
            <w:r w:rsidR="00AE6A95" w:rsidRPr="00F374C3">
              <w:rPr>
                <w:b/>
                <w:bCs/>
                <w:noProof/>
                <w:webHidden/>
              </w:rPr>
              <w:fldChar w:fldCharType="separate"/>
            </w:r>
            <w:r>
              <w:rPr>
                <w:b/>
                <w:bCs/>
                <w:noProof/>
                <w:webHidden/>
              </w:rPr>
              <w:t>37</w:t>
            </w:r>
            <w:r w:rsidR="00AE6A95" w:rsidRPr="00F374C3">
              <w:rPr>
                <w:b/>
                <w:bCs/>
                <w:noProof/>
                <w:webHidden/>
              </w:rPr>
              <w:fldChar w:fldCharType="end"/>
            </w:r>
          </w:hyperlink>
        </w:p>
        <w:p w14:paraId="2F249F97" w14:textId="62FEB2AD" w:rsidR="00AE6A95" w:rsidRPr="00F374C3" w:rsidRDefault="00575CA5">
          <w:pPr>
            <w:pStyle w:val="TOC2"/>
            <w:tabs>
              <w:tab w:val="right" w:leader="dot" w:pos="9350"/>
            </w:tabs>
            <w:rPr>
              <w:rFonts w:eastAsiaTheme="minorEastAsia"/>
              <w:noProof/>
              <w:kern w:val="2"/>
              <w:sz w:val="18"/>
              <w:szCs w:val="18"/>
              <w14:ligatures w14:val="standardContextual"/>
            </w:rPr>
          </w:pPr>
          <w:hyperlink w:anchor="_Toc165496514" w:history="1">
            <w:r w:rsidR="00AE6A95" w:rsidRPr="00F374C3">
              <w:rPr>
                <w:rStyle w:val="Hyperlink"/>
                <w:rFonts w:cstheme="minorHAnsi"/>
                <w:b/>
                <w:bCs/>
                <w:noProof/>
                <w:sz w:val="18"/>
                <w:szCs w:val="18"/>
              </w:rPr>
              <w:t>5.1 Ratio Formula</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_Toc165496514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50</w:t>
            </w:r>
            <w:r w:rsidR="00AE6A95" w:rsidRPr="00F374C3">
              <w:rPr>
                <w:noProof/>
                <w:webHidden/>
                <w:sz w:val="18"/>
                <w:szCs w:val="18"/>
              </w:rPr>
              <w:fldChar w:fldCharType="end"/>
            </w:r>
          </w:hyperlink>
        </w:p>
        <w:p w14:paraId="2B0B251F" w14:textId="5079E2C2" w:rsidR="00AE6A95" w:rsidRPr="00F374C3" w:rsidRDefault="00575CA5">
          <w:pPr>
            <w:pStyle w:val="TOC2"/>
            <w:tabs>
              <w:tab w:val="right" w:leader="dot" w:pos="9350"/>
            </w:tabs>
            <w:rPr>
              <w:rFonts w:eastAsiaTheme="minorEastAsia"/>
              <w:noProof/>
              <w:kern w:val="2"/>
              <w:sz w:val="18"/>
              <w:szCs w:val="18"/>
              <w14:ligatures w14:val="standardContextual"/>
            </w:rPr>
          </w:pPr>
          <w:hyperlink w:anchor="_Toc165496515" w:history="1">
            <w:r w:rsidR="00AE6A95" w:rsidRPr="00F374C3">
              <w:rPr>
                <w:rStyle w:val="Hyperlink"/>
                <w:rFonts w:ascii="Calibri" w:hAnsi="Calibri" w:cs="Calibri"/>
                <w:b/>
                <w:bCs/>
                <w:noProof/>
                <w:sz w:val="18"/>
                <w:szCs w:val="18"/>
              </w:rPr>
              <w:t>5.2 Additional Ratio</w:t>
            </w:r>
            <w:r w:rsidR="00AE6A95" w:rsidRPr="00F374C3">
              <w:rPr>
                <w:noProof/>
                <w:webHidden/>
                <w:sz w:val="18"/>
                <w:szCs w:val="18"/>
              </w:rPr>
              <w:tab/>
            </w:r>
            <w:r w:rsidR="00AE6A95" w:rsidRPr="00F374C3">
              <w:rPr>
                <w:noProof/>
                <w:webHidden/>
                <w:sz w:val="18"/>
                <w:szCs w:val="18"/>
              </w:rPr>
              <w:fldChar w:fldCharType="begin"/>
            </w:r>
            <w:r w:rsidR="00AE6A95" w:rsidRPr="00F374C3">
              <w:rPr>
                <w:noProof/>
                <w:webHidden/>
                <w:sz w:val="18"/>
                <w:szCs w:val="18"/>
              </w:rPr>
              <w:instrText xml:space="preserve"> PAGEREF _Toc165496515 \h </w:instrText>
            </w:r>
            <w:r w:rsidR="00AE6A95" w:rsidRPr="00F374C3">
              <w:rPr>
                <w:noProof/>
                <w:webHidden/>
                <w:sz w:val="18"/>
                <w:szCs w:val="18"/>
              </w:rPr>
            </w:r>
            <w:r w:rsidR="00AE6A95" w:rsidRPr="00F374C3">
              <w:rPr>
                <w:noProof/>
                <w:webHidden/>
                <w:sz w:val="18"/>
                <w:szCs w:val="18"/>
              </w:rPr>
              <w:fldChar w:fldCharType="separate"/>
            </w:r>
            <w:r>
              <w:rPr>
                <w:noProof/>
                <w:webHidden/>
                <w:sz w:val="18"/>
                <w:szCs w:val="18"/>
              </w:rPr>
              <w:t>51</w:t>
            </w:r>
            <w:r w:rsidR="00AE6A95" w:rsidRPr="00F374C3">
              <w:rPr>
                <w:noProof/>
                <w:webHidden/>
                <w:sz w:val="18"/>
                <w:szCs w:val="18"/>
              </w:rPr>
              <w:fldChar w:fldCharType="end"/>
            </w:r>
          </w:hyperlink>
        </w:p>
        <w:p w14:paraId="659BD1C1" w14:textId="7AA63194" w:rsidR="00AE6A95" w:rsidRDefault="00575CA5">
          <w:pPr>
            <w:pStyle w:val="TOC1"/>
            <w:tabs>
              <w:tab w:val="left" w:pos="440"/>
              <w:tab w:val="right" w:leader="dot" w:pos="9350"/>
            </w:tabs>
            <w:rPr>
              <w:rFonts w:eastAsiaTheme="minorEastAsia"/>
              <w:noProof/>
              <w:kern w:val="2"/>
              <w:sz w:val="24"/>
              <w:szCs w:val="24"/>
              <w14:ligatures w14:val="standardContextual"/>
            </w:rPr>
          </w:pPr>
          <w:hyperlink w:anchor="_Toc165496516" w:history="1">
            <w:r w:rsidR="00AE6A95" w:rsidRPr="00935E81">
              <w:rPr>
                <w:rStyle w:val="Hyperlink"/>
                <w:rFonts w:cstheme="minorHAnsi"/>
                <w:b/>
                <w:bCs/>
                <w:noProof/>
              </w:rPr>
              <w:t>6.</w:t>
            </w:r>
            <w:r w:rsidR="00AE6A95">
              <w:rPr>
                <w:rFonts w:eastAsiaTheme="minorEastAsia"/>
                <w:noProof/>
                <w:kern w:val="2"/>
                <w:sz w:val="24"/>
                <w:szCs w:val="24"/>
                <w14:ligatures w14:val="standardContextual"/>
              </w:rPr>
              <w:tab/>
            </w:r>
            <w:r w:rsidR="00AE6A95" w:rsidRPr="00F374C3">
              <w:rPr>
                <w:rStyle w:val="Hyperlink"/>
                <w:rFonts w:cstheme="minorHAnsi"/>
                <w:b/>
                <w:bCs/>
                <w:noProof/>
              </w:rPr>
              <w:t>REFERENCES</w:t>
            </w:r>
            <w:r w:rsidR="00AE6A95" w:rsidRPr="00F374C3">
              <w:rPr>
                <w:b/>
                <w:bCs/>
                <w:noProof/>
                <w:webHidden/>
              </w:rPr>
              <w:tab/>
            </w:r>
            <w:r w:rsidR="00AE6A95" w:rsidRPr="00F374C3">
              <w:rPr>
                <w:b/>
                <w:bCs/>
                <w:noProof/>
                <w:webHidden/>
              </w:rPr>
              <w:fldChar w:fldCharType="begin"/>
            </w:r>
            <w:r w:rsidR="00AE6A95" w:rsidRPr="00F374C3">
              <w:rPr>
                <w:b/>
                <w:bCs/>
                <w:noProof/>
                <w:webHidden/>
              </w:rPr>
              <w:instrText xml:space="preserve"> PAGEREF _Toc165496516 \h </w:instrText>
            </w:r>
            <w:r w:rsidR="00AE6A95" w:rsidRPr="00F374C3">
              <w:rPr>
                <w:b/>
                <w:bCs/>
                <w:noProof/>
                <w:webHidden/>
              </w:rPr>
            </w:r>
            <w:r w:rsidR="00AE6A95" w:rsidRPr="00F374C3">
              <w:rPr>
                <w:b/>
                <w:bCs/>
                <w:noProof/>
                <w:webHidden/>
              </w:rPr>
              <w:fldChar w:fldCharType="separate"/>
            </w:r>
            <w:r>
              <w:rPr>
                <w:b/>
                <w:bCs/>
                <w:noProof/>
                <w:webHidden/>
              </w:rPr>
              <w:t>52</w:t>
            </w:r>
            <w:r w:rsidR="00AE6A95" w:rsidRPr="00F374C3">
              <w:rPr>
                <w:b/>
                <w:bCs/>
                <w:noProof/>
                <w:webHidden/>
              </w:rPr>
              <w:fldChar w:fldCharType="end"/>
            </w:r>
          </w:hyperlink>
        </w:p>
        <w:p w14:paraId="105B3762" w14:textId="3A22A2AC" w:rsidR="007F43D9" w:rsidRPr="00F374C3" w:rsidRDefault="00AE6A95" w:rsidP="00F374C3">
          <w:r>
            <w:rPr>
              <w:b/>
              <w:bCs/>
              <w:noProof/>
            </w:rPr>
            <w:fldChar w:fldCharType="end"/>
          </w:r>
        </w:p>
      </w:sdtContent>
    </w:sdt>
    <w:p w14:paraId="56832C4F" w14:textId="145EB53A" w:rsidR="00746B89" w:rsidRPr="00287D6C" w:rsidRDefault="0094616F" w:rsidP="007D7E9D">
      <w:pPr>
        <w:spacing w:line="360" w:lineRule="auto"/>
        <w:rPr>
          <w:rFonts w:ascii="Calibri" w:hAnsi="Calibri" w:cs="Calibri"/>
          <w:b/>
          <w:bCs/>
          <w:noProof/>
          <w:color w:val="0070C0"/>
          <w:sz w:val="40"/>
          <w:szCs w:val="40"/>
        </w:rPr>
      </w:pPr>
      <w:r w:rsidRPr="00287D6C">
        <w:rPr>
          <w:rFonts w:ascii="Calibri" w:hAnsi="Calibri" w:cs="Calibri"/>
          <w:b/>
          <w:bCs/>
          <w:noProof/>
          <w:color w:val="2F5496" w:themeColor="accent1" w:themeShade="BF"/>
          <w:sz w:val="40"/>
          <w:szCs w:val="40"/>
        </w:rPr>
        <w:lastRenderedPageBreak/>
        <w:t>Table of Figures</w:t>
      </w:r>
    </w:p>
    <w:p w14:paraId="22C99A85" w14:textId="233963CD" w:rsidR="000A3F7C" w:rsidRDefault="0094616F" w:rsidP="007D7E9D">
      <w:pPr>
        <w:pStyle w:val="TableofFigures"/>
        <w:tabs>
          <w:tab w:val="right" w:leader="dot" w:pos="9350"/>
        </w:tabs>
        <w:spacing w:line="360" w:lineRule="auto"/>
        <w:rPr>
          <w:rFonts w:eastAsiaTheme="minorEastAsia"/>
          <w:noProof/>
          <w:kern w:val="2"/>
          <w:sz w:val="24"/>
          <w:szCs w:val="24"/>
          <w14:ligatures w14:val="standardContextual"/>
        </w:rPr>
      </w:pPr>
      <w:r>
        <w:rPr>
          <w:rFonts w:ascii="Arial" w:hAnsi="Arial" w:cs="Arial"/>
          <w:b/>
          <w:bCs/>
          <w:noProof/>
          <w:sz w:val="40"/>
          <w:szCs w:val="40"/>
        </w:rPr>
        <w:fldChar w:fldCharType="begin"/>
      </w:r>
      <w:r w:rsidRPr="00746B89">
        <w:rPr>
          <w:rFonts w:ascii="Arial" w:hAnsi="Arial" w:cs="Arial"/>
          <w:b/>
          <w:bCs/>
          <w:noProof/>
          <w:sz w:val="40"/>
          <w:szCs w:val="40"/>
        </w:rPr>
        <w:instrText xml:space="preserve"> TOC \h \z \c "Figure" </w:instrText>
      </w:r>
      <w:r>
        <w:rPr>
          <w:rFonts w:ascii="Arial" w:hAnsi="Arial" w:cs="Arial"/>
          <w:b/>
          <w:bCs/>
          <w:noProof/>
          <w:sz w:val="40"/>
          <w:szCs w:val="40"/>
        </w:rPr>
        <w:fldChar w:fldCharType="separate"/>
      </w:r>
      <w:hyperlink w:anchor="_Toc165374570" w:history="1">
        <w:r w:rsidR="000A3F7C" w:rsidRPr="009D24DF">
          <w:rPr>
            <w:rStyle w:val="Hyperlink"/>
            <w:noProof/>
          </w:rPr>
          <w:t>Figure 1: BARRATT DEVELOPMENT PLC Liquidity Ratio</w:t>
        </w:r>
        <w:r w:rsidR="000A3F7C">
          <w:rPr>
            <w:noProof/>
            <w:webHidden/>
          </w:rPr>
          <w:tab/>
        </w:r>
        <w:r w:rsidR="000A3F7C">
          <w:rPr>
            <w:noProof/>
            <w:webHidden/>
          </w:rPr>
          <w:fldChar w:fldCharType="begin"/>
        </w:r>
        <w:r w:rsidR="000A3F7C">
          <w:rPr>
            <w:noProof/>
            <w:webHidden/>
          </w:rPr>
          <w:instrText xml:space="preserve"> PAGEREF _Toc165374570 \h </w:instrText>
        </w:r>
        <w:r w:rsidR="000A3F7C">
          <w:rPr>
            <w:noProof/>
            <w:webHidden/>
          </w:rPr>
        </w:r>
        <w:r w:rsidR="000A3F7C">
          <w:rPr>
            <w:noProof/>
            <w:webHidden/>
          </w:rPr>
          <w:fldChar w:fldCharType="separate"/>
        </w:r>
        <w:r w:rsidR="00575CA5">
          <w:rPr>
            <w:noProof/>
            <w:webHidden/>
          </w:rPr>
          <w:t>37</w:t>
        </w:r>
        <w:r w:rsidR="000A3F7C">
          <w:rPr>
            <w:noProof/>
            <w:webHidden/>
          </w:rPr>
          <w:fldChar w:fldCharType="end"/>
        </w:r>
      </w:hyperlink>
    </w:p>
    <w:p w14:paraId="2B3993B8" w14:textId="4F944F39"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1" w:history="1">
        <w:r w:rsidR="000A3F7C" w:rsidRPr="009D24DF">
          <w:rPr>
            <w:rStyle w:val="Hyperlink"/>
            <w:noProof/>
          </w:rPr>
          <w:t>Figure 2: BERKELEY GROUP HOLDINGS PLC Liquidity Ratio</w:t>
        </w:r>
        <w:r w:rsidR="000A3F7C">
          <w:rPr>
            <w:noProof/>
            <w:webHidden/>
          </w:rPr>
          <w:tab/>
        </w:r>
        <w:r w:rsidR="000A3F7C">
          <w:rPr>
            <w:noProof/>
            <w:webHidden/>
          </w:rPr>
          <w:fldChar w:fldCharType="begin"/>
        </w:r>
        <w:r w:rsidR="000A3F7C">
          <w:rPr>
            <w:noProof/>
            <w:webHidden/>
          </w:rPr>
          <w:instrText xml:space="preserve"> PAGEREF _Toc165374571 \h </w:instrText>
        </w:r>
        <w:r w:rsidR="000A3F7C">
          <w:rPr>
            <w:noProof/>
            <w:webHidden/>
          </w:rPr>
        </w:r>
        <w:r w:rsidR="000A3F7C">
          <w:rPr>
            <w:noProof/>
            <w:webHidden/>
          </w:rPr>
          <w:fldChar w:fldCharType="separate"/>
        </w:r>
        <w:r>
          <w:rPr>
            <w:noProof/>
            <w:webHidden/>
          </w:rPr>
          <w:t>37</w:t>
        </w:r>
        <w:r w:rsidR="000A3F7C">
          <w:rPr>
            <w:noProof/>
            <w:webHidden/>
          </w:rPr>
          <w:fldChar w:fldCharType="end"/>
        </w:r>
      </w:hyperlink>
    </w:p>
    <w:p w14:paraId="5AE4C48C" w14:textId="0BDA0CA3"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2" w:history="1">
        <w:r w:rsidR="000A3F7C" w:rsidRPr="009D24DF">
          <w:rPr>
            <w:rStyle w:val="Hyperlink"/>
            <w:noProof/>
          </w:rPr>
          <w:t>Figure 3: BARRATT DEVELOPMENT PLC Profitability Ratio</w:t>
        </w:r>
        <w:r w:rsidR="000A3F7C">
          <w:rPr>
            <w:noProof/>
            <w:webHidden/>
          </w:rPr>
          <w:tab/>
        </w:r>
        <w:r w:rsidR="000A3F7C">
          <w:rPr>
            <w:noProof/>
            <w:webHidden/>
          </w:rPr>
          <w:fldChar w:fldCharType="begin"/>
        </w:r>
        <w:r w:rsidR="000A3F7C">
          <w:rPr>
            <w:noProof/>
            <w:webHidden/>
          </w:rPr>
          <w:instrText xml:space="preserve"> PAGEREF _Toc165374572 \h </w:instrText>
        </w:r>
        <w:r w:rsidR="000A3F7C">
          <w:rPr>
            <w:noProof/>
            <w:webHidden/>
          </w:rPr>
        </w:r>
        <w:r w:rsidR="000A3F7C">
          <w:rPr>
            <w:noProof/>
            <w:webHidden/>
          </w:rPr>
          <w:fldChar w:fldCharType="separate"/>
        </w:r>
        <w:r>
          <w:rPr>
            <w:noProof/>
            <w:webHidden/>
          </w:rPr>
          <w:t>38</w:t>
        </w:r>
        <w:r w:rsidR="000A3F7C">
          <w:rPr>
            <w:noProof/>
            <w:webHidden/>
          </w:rPr>
          <w:fldChar w:fldCharType="end"/>
        </w:r>
      </w:hyperlink>
    </w:p>
    <w:p w14:paraId="15550C5F" w14:textId="35683B83"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3" w:history="1">
        <w:r w:rsidR="000A3F7C" w:rsidRPr="009D24DF">
          <w:rPr>
            <w:rStyle w:val="Hyperlink"/>
            <w:noProof/>
          </w:rPr>
          <w:t>Figure 4: BERKELEY GROUP HOLDINGS PLC Profitability Ratio</w:t>
        </w:r>
        <w:r w:rsidR="000A3F7C">
          <w:rPr>
            <w:noProof/>
            <w:webHidden/>
          </w:rPr>
          <w:tab/>
        </w:r>
        <w:r w:rsidR="000A3F7C">
          <w:rPr>
            <w:noProof/>
            <w:webHidden/>
          </w:rPr>
          <w:fldChar w:fldCharType="begin"/>
        </w:r>
        <w:r w:rsidR="000A3F7C">
          <w:rPr>
            <w:noProof/>
            <w:webHidden/>
          </w:rPr>
          <w:instrText xml:space="preserve"> PAGEREF _Toc165374573 \h </w:instrText>
        </w:r>
        <w:r w:rsidR="000A3F7C">
          <w:rPr>
            <w:noProof/>
            <w:webHidden/>
          </w:rPr>
        </w:r>
        <w:r w:rsidR="000A3F7C">
          <w:rPr>
            <w:noProof/>
            <w:webHidden/>
          </w:rPr>
          <w:fldChar w:fldCharType="separate"/>
        </w:r>
        <w:r>
          <w:rPr>
            <w:noProof/>
            <w:webHidden/>
          </w:rPr>
          <w:t>38</w:t>
        </w:r>
        <w:r w:rsidR="000A3F7C">
          <w:rPr>
            <w:noProof/>
            <w:webHidden/>
          </w:rPr>
          <w:fldChar w:fldCharType="end"/>
        </w:r>
      </w:hyperlink>
    </w:p>
    <w:p w14:paraId="7AC8665C" w14:textId="2CEAEE28"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4" w:history="1">
        <w:r w:rsidR="000A3F7C" w:rsidRPr="009D24DF">
          <w:rPr>
            <w:rStyle w:val="Hyperlink"/>
            <w:noProof/>
          </w:rPr>
          <w:t>Figure 5: BARRATT DEVELOPMENT PLC Gearing Ratio</w:t>
        </w:r>
        <w:r w:rsidR="000A3F7C">
          <w:rPr>
            <w:noProof/>
            <w:webHidden/>
          </w:rPr>
          <w:tab/>
        </w:r>
        <w:r w:rsidR="000A3F7C">
          <w:rPr>
            <w:noProof/>
            <w:webHidden/>
          </w:rPr>
          <w:fldChar w:fldCharType="begin"/>
        </w:r>
        <w:r w:rsidR="000A3F7C">
          <w:rPr>
            <w:noProof/>
            <w:webHidden/>
          </w:rPr>
          <w:instrText xml:space="preserve"> PAGEREF _Toc165374574 \h </w:instrText>
        </w:r>
        <w:r w:rsidR="000A3F7C">
          <w:rPr>
            <w:noProof/>
            <w:webHidden/>
          </w:rPr>
        </w:r>
        <w:r w:rsidR="000A3F7C">
          <w:rPr>
            <w:noProof/>
            <w:webHidden/>
          </w:rPr>
          <w:fldChar w:fldCharType="separate"/>
        </w:r>
        <w:r>
          <w:rPr>
            <w:noProof/>
            <w:webHidden/>
          </w:rPr>
          <w:t>39</w:t>
        </w:r>
        <w:r w:rsidR="000A3F7C">
          <w:rPr>
            <w:noProof/>
            <w:webHidden/>
          </w:rPr>
          <w:fldChar w:fldCharType="end"/>
        </w:r>
      </w:hyperlink>
    </w:p>
    <w:p w14:paraId="750BCD0E" w14:textId="01688FA4"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5" w:history="1">
        <w:r w:rsidR="000A3F7C" w:rsidRPr="009D24DF">
          <w:rPr>
            <w:rStyle w:val="Hyperlink"/>
            <w:noProof/>
          </w:rPr>
          <w:t>Figure 6: BERKELEY GROUP HOLDINGS PLC Gearing Ratio</w:t>
        </w:r>
        <w:r w:rsidR="000A3F7C">
          <w:rPr>
            <w:noProof/>
            <w:webHidden/>
          </w:rPr>
          <w:tab/>
        </w:r>
        <w:r w:rsidR="000A3F7C">
          <w:rPr>
            <w:noProof/>
            <w:webHidden/>
          </w:rPr>
          <w:fldChar w:fldCharType="begin"/>
        </w:r>
        <w:r w:rsidR="000A3F7C">
          <w:rPr>
            <w:noProof/>
            <w:webHidden/>
          </w:rPr>
          <w:instrText xml:space="preserve"> PAGEREF _Toc165374575 \h </w:instrText>
        </w:r>
        <w:r w:rsidR="000A3F7C">
          <w:rPr>
            <w:noProof/>
            <w:webHidden/>
          </w:rPr>
        </w:r>
        <w:r w:rsidR="000A3F7C">
          <w:rPr>
            <w:noProof/>
            <w:webHidden/>
          </w:rPr>
          <w:fldChar w:fldCharType="separate"/>
        </w:r>
        <w:r>
          <w:rPr>
            <w:noProof/>
            <w:webHidden/>
          </w:rPr>
          <w:t>39</w:t>
        </w:r>
        <w:r w:rsidR="000A3F7C">
          <w:rPr>
            <w:noProof/>
            <w:webHidden/>
          </w:rPr>
          <w:fldChar w:fldCharType="end"/>
        </w:r>
      </w:hyperlink>
    </w:p>
    <w:p w14:paraId="60C6992E" w14:textId="7E47B753"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6" w:history="1">
        <w:r w:rsidR="000A3F7C" w:rsidRPr="009D24DF">
          <w:rPr>
            <w:rStyle w:val="Hyperlink"/>
            <w:noProof/>
          </w:rPr>
          <w:t>Figure 7: BARRATT DEVELOPMENT PLC Efficiency Ratio</w:t>
        </w:r>
        <w:r w:rsidR="000A3F7C">
          <w:rPr>
            <w:noProof/>
            <w:webHidden/>
          </w:rPr>
          <w:tab/>
        </w:r>
        <w:r w:rsidR="000A3F7C">
          <w:rPr>
            <w:noProof/>
            <w:webHidden/>
          </w:rPr>
          <w:fldChar w:fldCharType="begin"/>
        </w:r>
        <w:r w:rsidR="000A3F7C">
          <w:rPr>
            <w:noProof/>
            <w:webHidden/>
          </w:rPr>
          <w:instrText xml:space="preserve"> PAGEREF _Toc165374576 \h </w:instrText>
        </w:r>
        <w:r w:rsidR="000A3F7C">
          <w:rPr>
            <w:noProof/>
            <w:webHidden/>
          </w:rPr>
        </w:r>
        <w:r w:rsidR="000A3F7C">
          <w:rPr>
            <w:noProof/>
            <w:webHidden/>
          </w:rPr>
          <w:fldChar w:fldCharType="separate"/>
        </w:r>
        <w:r>
          <w:rPr>
            <w:noProof/>
            <w:webHidden/>
          </w:rPr>
          <w:t>40</w:t>
        </w:r>
        <w:r w:rsidR="000A3F7C">
          <w:rPr>
            <w:noProof/>
            <w:webHidden/>
          </w:rPr>
          <w:fldChar w:fldCharType="end"/>
        </w:r>
      </w:hyperlink>
    </w:p>
    <w:p w14:paraId="3DEF66BB" w14:textId="5A18B2A6"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7" w:history="1">
        <w:r w:rsidR="000A3F7C" w:rsidRPr="009D24DF">
          <w:rPr>
            <w:rStyle w:val="Hyperlink"/>
            <w:noProof/>
          </w:rPr>
          <w:t>Figure 8: BERKELEY GROUP HOLDINGS PLC Efficiency Ratio</w:t>
        </w:r>
        <w:r w:rsidR="000A3F7C">
          <w:rPr>
            <w:noProof/>
            <w:webHidden/>
          </w:rPr>
          <w:tab/>
        </w:r>
        <w:r w:rsidR="000A3F7C">
          <w:rPr>
            <w:noProof/>
            <w:webHidden/>
          </w:rPr>
          <w:fldChar w:fldCharType="begin"/>
        </w:r>
        <w:r w:rsidR="000A3F7C">
          <w:rPr>
            <w:noProof/>
            <w:webHidden/>
          </w:rPr>
          <w:instrText xml:space="preserve"> PAGEREF _Toc165374577 \h </w:instrText>
        </w:r>
        <w:r w:rsidR="000A3F7C">
          <w:rPr>
            <w:noProof/>
            <w:webHidden/>
          </w:rPr>
        </w:r>
        <w:r w:rsidR="000A3F7C">
          <w:rPr>
            <w:noProof/>
            <w:webHidden/>
          </w:rPr>
          <w:fldChar w:fldCharType="separate"/>
        </w:r>
        <w:r>
          <w:rPr>
            <w:noProof/>
            <w:webHidden/>
          </w:rPr>
          <w:t>40</w:t>
        </w:r>
        <w:r w:rsidR="000A3F7C">
          <w:rPr>
            <w:noProof/>
            <w:webHidden/>
          </w:rPr>
          <w:fldChar w:fldCharType="end"/>
        </w:r>
      </w:hyperlink>
    </w:p>
    <w:p w14:paraId="2444F8CA" w14:textId="5B69ABFF"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8" w:history="1">
        <w:r w:rsidR="000A3F7C" w:rsidRPr="009D24DF">
          <w:rPr>
            <w:rStyle w:val="Hyperlink"/>
            <w:noProof/>
          </w:rPr>
          <w:t>Figure 9: BARRATT DEVELOPMENT PLC Trend Analysis of the Income Statement</w:t>
        </w:r>
        <w:r w:rsidR="000A3F7C">
          <w:rPr>
            <w:noProof/>
            <w:webHidden/>
          </w:rPr>
          <w:tab/>
        </w:r>
        <w:r w:rsidR="000A3F7C">
          <w:rPr>
            <w:noProof/>
            <w:webHidden/>
          </w:rPr>
          <w:fldChar w:fldCharType="begin"/>
        </w:r>
        <w:r w:rsidR="000A3F7C">
          <w:rPr>
            <w:noProof/>
            <w:webHidden/>
          </w:rPr>
          <w:instrText xml:space="preserve"> PAGEREF _Toc165374578 \h </w:instrText>
        </w:r>
        <w:r w:rsidR="000A3F7C">
          <w:rPr>
            <w:noProof/>
            <w:webHidden/>
          </w:rPr>
        </w:r>
        <w:r w:rsidR="000A3F7C">
          <w:rPr>
            <w:noProof/>
            <w:webHidden/>
          </w:rPr>
          <w:fldChar w:fldCharType="separate"/>
        </w:r>
        <w:r>
          <w:rPr>
            <w:noProof/>
            <w:webHidden/>
          </w:rPr>
          <w:t>41</w:t>
        </w:r>
        <w:r w:rsidR="000A3F7C">
          <w:rPr>
            <w:noProof/>
            <w:webHidden/>
          </w:rPr>
          <w:fldChar w:fldCharType="end"/>
        </w:r>
      </w:hyperlink>
    </w:p>
    <w:p w14:paraId="05092398" w14:textId="702B0DFA"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79" w:history="1">
        <w:r w:rsidR="000A3F7C" w:rsidRPr="009D24DF">
          <w:rPr>
            <w:rStyle w:val="Hyperlink"/>
            <w:noProof/>
          </w:rPr>
          <w:t>Figure 10: BERKELEY GROUP HOLDINGS PLC Trend Analysis of the Income Statement</w:t>
        </w:r>
        <w:r w:rsidR="000A3F7C">
          <w:rPr>
            <w:noProof/>
            <w:webHidden/>
          </w:rPr>
          <w:tab/>
        </w:r>
        <w:r w:rsidR="000A3F7C">
          <w:rPr>
            <w:noProof/>
            <w:webHidden/>
          </w:rPr>
          <w:fldChar w:fldCharType="begin"/>
        </w:r>
        <w:r w:rsidR="000A3F7C">
          <w:rPr>
            <w:noProof/>
            <w:webHidden/>
          </w:rPr>
          <w:instrText xml:space="preserve"> PAGEREF _Toc165374579 \h </w:instrText>
        </w:r>
        <w:r w:rsidR="000A3F7C">
          <w:rPr>
            <w:noProof/>
            <w:webHidden/>
          </w:rPr>
        </w:r>
        <w:r w:rsidR="000A3F7C">
          <w:rPr>
            <w:noProof/>
            <w:webHidden/>
          </w:rPr>
          <w:fldChar w:fldCharType="separate"/>
        </w:r>
        <w:r>
          <w:rPr>
            <w:noProof/>
            <w:webHidden/>
          </w:rPr>
          <w:t>41</w:t>
        </w:r>
        <w:r w:rsidR="000A3F7C">
          <w:rPr>
            <w:noProof/>
            <w:webHidden/>
          </w:rPr>
          <w:fldChar w:fldCharType="end"/>
        </w:r>
      </w:hyperlink>
    </w:p>
    <w:p w14:paraId="4AA73943" w14:textId="07E622C2"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80" w:history="1">
        <w:r w:rsidR="000A3F7C" w:rsidRPr="009D24DF">
          <w:rPr>
            <w:rStyle w:val="Hyperlink"/>
            <w:noProof/>
          </w:rPr>
          <w:t>Figure 11: BARRATT DEVELOPMENT PLC Trend Analysis of the Balance Sheet</w:t>
        </w:r>
        <w:r w:rsidR="000A3F7C">
          <w:rPr>
            <w:noProof/>
            <w:webHidden/>
          </w:rPr>
          <w:tab/>
        </w:r>
        <w:r w:rsidR="000A3F7C">
          <w:rPr>
            <w:noProof/>
            <w:webHidden/>
          </w:rPr>
          <w:fldChar w:fldCharType="begin"/>
        </w:r>
        <w:r w:rsidR="000A3F7C">
          <w:rPr>
            <w:noProof/>
            <w:webHidden/>
          </w:rPr>
          <w:instrText xml:space="preserve"> PAGEREF _Toc165374580 \h </w:instrText>
        </w:r>
        <w:r w:rsidR="000A3F7C">
          <w:rPr>
            <w:noProof/>
            <w:webHidden/>
          </w:rPr>
        </w:r>
        <w:r w:rsidR="000A3F7C">
          <w:rPr>
            <w:noProof/>
            <w:webHidden/>
          </w:rPr>
          <w:fldChar w:fldCharType="separate"/>
        </w:r>
        <w:r>
          <w:rPr>
            <w:noProof/>
            <w:webHidden/>
          </w:rPr>
          <w:t>42</w:t>
        </w:r>
        <w:r w:rsidR="000A3F7C">
          <w:rPr>
            <w:noProof/>
            <w:webHidden/>
          </w:rPr>
          <w:fldChar w:fldCharType="end"/>
        </w:r>
      </w:hyperlink>
    </w:p>
    <w:p w14:paraId="0C4C9E47" w14:textId="24ABCDB8"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81" w:history="1">
        <w:r w:rsidR="000A3F7C" w:rsidRPr="009D24DF">
          <w:rPr>
            <w:rStyle w:val="Hyperlink"/>
            <w:noProof/>
          </w:rPr>
          <w:t>Figure 12: BERKELEY GROUP HOLDINGS PLC Trend Analysis of the Balance Sheet</w:t>
        </w:r>
        <w:r w:rsidR="000A3F7C">
          <w:rPr>
            <w:noProof/>
            <w:webHidden/>
          </w:rPr>
          <w:tab/>
        </w:r>
        <w:r w:rsidR="000A3F7C">
          <w:rPr>
            <w:noProof/>
            <w:webHidden/>
          </w:rPr>
          <w:fldChar w:fldCharType="begin"/>
        </w:r>
        <w:r w:rsidR="000A3F7C">
          <w:rPr>
            <w:noProof/>
            <w:webHidden/>
          </w:rPr>
          <w:instrText xml:space="preserve"> PAGEREF _Toc165374581 \h </w:instrText>
        </w:r>
        <w:r w:rsidR="000A3F7C">
          <w:rPr>
            <w:noProof/>
            <w:webHidden/>
          </w:rPr>
        </w:r>
        <w:r w:rsidR="000A3F7C">
          <w:rPr>
            <w:noProof/>
            <w:webHidden/>
          </w:rPr>
          <w:fldChar w:fldCharType="separate"/>
        </w:r>
        <w:r>
          <w:rPr>
            <w:noProof/>
            <w:webHidden/>
          </w:rPr>
          <w:t>42</w:t>
        </w:r>
        <w:r w:rsidR="000A3F7C">
          <w:rPr>
            <w:noProof/>
            <w:webHidden/>
          </w:rPr>
          <w:fldChar w:fldCharType="end"/>
        </w:r>
      </w:hyperlink>
    </w:p>
    <w:p w14:paraId="7260C296" w14:textId="0CF01E30"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82" w:history="1">
        <w:r w:rsidR="000A3F7C" w:rsidRPr="009D24DF">
          <w:rPr>
            <w:rStyle w:val="Hyperlink"/>
            <w:noProof/>
          </w:rPr>
          <w:t>Figure 13: BARRATT DEVELOPMENT PLC Trend Analysis of the Cash Flow Statement</w:t>
        </w:r>
        <w:r w:rsidR="000A3F7C">
          <w:rPr>
            <w:noProof/>
            <w:webHidden/>
          </w:rPr>
          <w:tab/>
        </w:r>
        <w:r w:rsidR="000A3F7C">
          <w:rPr>
            <w:noProof/>
            <w:webHidden/>
          </w:rPr>
          <w:fldChar w:fldCharType="begin"/>
        </w:r>
        <w:r w:rsidR="000A3F7C">
          <w:rPr>
            <w:noProof/>
            <w:webHidden/>
          </w:rPr>
          <w:instrText xml:space="preserve"> PAGEREF _Toc165374582 \h </w:instrText>
        </w:r>
        <w:r w:rsidR="000A3F7C">
          <w:rPr>
            <w:noProof/>
            <w:webHidden/>
          </w:rPr>
        </w:r>
        <w:r w:rsidR="000A3F7C">
          <w:rPr>
            <w:noProof/>
            <w:webHidden/>
          </w:rPr>
          <w:fldChar w:fldCharType="separate"/>
        </w:r>
        <w:r>
          <w:rPr>
            <w:noProof/>
            <w:webHidden/>
          </w:rPr>
          <w:t>43</w:t>
        </w:r>
        <w:r w:rsidR="000A3F7C">
          <w:rPr>
            <w:noProof/>
            <w:webHidden/>
          </w:rPr>
          <w:fldChar w:fldCharType="end"/>
        </w:r>
      </w:hyperlink>
    </w:p>
    <w:p w14:paraId="0515E88F" w14:textId="39649CD9" w:rsidR="000A3F7C" w:rsidRDefault="00575CA5" w:rsidP="007D7E9D">
      <w:pPr>
        <w:pStyle w:val="TableofFigures"/>
        <w:tabs>
          <w:tab w:val="right" w:leader="dot" w:pos="9350"/>
        </w:tabs>
        <w:spacing w:line="360" w:lineRule="auto"/>
        <w:rPr>
          <w:rFonts w:eastAsiaTheme="minorEastAsia"/>
          <w:noProof/>
          <w:kern w:val="2"/>
          <w:sz w:val="24"/>
          <w:szCs w:val="24"/>
          <w14:ligatures w14:val="standardContextual"/>
        </w:rPr>
      </w:pPr>
      <w:hyperlink w:anchor="_Toc165374583" w:history="1">
        <w:r w:rsidR="000A3F7C" w:rsidRPr="009D24DF">
          <w:rPr>
            <w:rStyle w:val="Hyperlink"/>
            <w:noProof/>
          </w:rPr>
          <w:t>Figure 14: BERKELEY GROUP HOLDINGS PLC Trend Analysis of the Cash Flow Statement</w:t>
        </w:r>
        <w:r w:rsidR="000A3F7C">
          <w:rPr>
            <w:noProof/>
            <w:webHidden/>
          </w:rPr>
          <w:tab/>
        </w:r>
        <w:r w:rsidR="000A3F7C">
          <w:rPr>
            <w:noProof/>
            <w:webHidden/>
          </w:rPr>
          <w:fldChar w:fldCharType="begin"/>
        </w:r>
        <w:r w:rsidR="000A3F7C">
          <w:rPr>
            <w:noProof/>
            <w:webHidden/>
          </w:rPr>
          <w:instrText xml:space="preserve"> PAGEREF _Toc165374583 \h </w:instrText>
        </w:r>
        <w:r w:rsidR="000A3F7C">
          <w:rPr>
            <w:noProof/>
            <w:webHidden/>
          </w:rPr>
        </w:r>
        <w:r w:rsidR="000A3F7C">
          <w:rPr>
            <w:noProof/>
            <w:webHidden/>
          </w:rPr>
          <w:fldChar w:fldCharType="separate"/>
        </w:r>
        <w:r>
          <w:rPr>
            <w:noProof/>
            <w:webHidden/>
          </w:rPr>
          <w:t>43</w:t>
        </w:r>
        <w:r w:rsidR="000A3F7C">
          <w:rPr>
            <w:noProof/>
            <w:webHidden/>
          </w:rPr>
          <w:fldChar w:fldCharType="end"/>
        </w:r>
      </w:hyperlink>
    </w:p>
    <w:p w14:paraId="5EAB55C7" w14:textId="3487775D" w:rsidR="00746B89" w:rsidRDefault="0094616F" w:rsidP="007D7E9D">
      <w:pPr>
        <w:pStyle w:val="Heading1"/>
        <w:spacing w:line="360" w:lineRule="auto"/>
        <w:rPr>
          <w:b/>
          <w:bCs/>
          <w:noProof/>
        </w:rPr>
      </w:pPr>
      <w:r>
        <w:rPr>
          <w:b/>
          <w:bCs/>
          <w:noProof/>
        </w:rPr>
        <w:fldChar w:fldCharType="end"/>
      </w:r>
    </w:p>
    <w:p w14:paraId="6E069094" w14:textId="77777777" w:rsidR="00715FFA" w:rsidRDefault="00715FFA" w:rsidP="00715FFA"/>
    <w:p w14:paraId="49561750" w14:textId="77777777" w:rsidR="007D7E9D" w:rsidRDefault="007D7E9D" w:rsidP="00715FFA"/>
    <w:p w14:paraId="6D4A7695" w14:textId="77777777" w:rsidR="007D7E9D" w:rsidRDefault="007D7E9D" w:rsidP="00715FFA"/>
    <w:p w14:paraId="0591B45C" w14:textId="77777777" w:rsidR="007D7E9D" w:rsidRDefault="007D7E9D" w:rsidP="00715FFA"/>
    <w:p w14:paraId="1FFC43AB" w14:textId="77777777" w:rsidR="007D7E9D" w:rsidRDefault="007D7E9D" w:rsidP="00715FFA"/>
    <w:p w14:paraId="0208C8D1" w14:textId="77777777" w:rsidR="007D7E9D" w:rsidRDefault="007D7E9D" w:rsidP="00715FFA"/>
    <w:p w14:paraId="0CE55D14" w14:textId="77777777" w:rsidR="00715FFA" w:rsidRPr="00715FFA" w:rsidRDefault="00715FFA" w:rsidP="00715FFA"/>
    <w:p w14:paraId="56307D8A" w14:textId="77777777" w:rsidR="00746B89" w:rsidRDefault="00746B89" w:rsidP="00CA0037">
      <w:pPr>
        <w:pStyle w:val="Heading1"/>
        <w:rPr>
          <w:rFonts w:ascii="Arial" w:hAnsi="Arial" w:cs="Arial"/>
          <w:b/>
          <w:bCs/>
          <w:sz w:val="40"/>
          <w:szCs w:val="40"/>
        </w:rPr>
      </w:pPr>
    </w:p>
    <w:p w14:paraId="1D4CF698" w14:textId="77777777" w:rsidR="00746B89" w:rsidRDefault="00746B89" w:rsidP="00CA0037">
      <w:pPr>
        <w:pStyle w:val="Heading1"/>
        <w:rPr>
          <w:rFonts w:ascii="Arial" w:hAnsi="Arial" w:cs="Arial"/>
          <w:b/>
          <w:bCs/>
          <w:sz w:val="40"/>
          <w:szCs w:val="40"/>
        </w:rPr>
      </w:pPr>
    </w:p>
    <w:p w14:paraId="1A8D9B2E" w14:textId="77777777" w:rsidR="00715FFA" w:rsidRPr="00746B89" w:rsidRDefault="00715FFA" w:rsidP="00746B89"/>
    <w:p w14:paraId="21001B6D" w14:textId="77777777" w:rsidR="00E324E5" w:rsidRPr="001E39A8" w:rsidRDefault="00E324E5" w:rsidP="002C0A76">
      <w:pPr>
        <w:pStyle w:val="Heading1"/>
        <w:rPr>
          <w:rFonts w:asciiTheme="minorHAnsi" w:hAnsiTheme="minorHAnsi" w:cstheme="minorHAnsi"/>
          <w:b/>
          <w:bCs/>
          <w:sz w:val="40"/>
          <w:szCs w:val="40"/>
        </w:rPr>
      </w:pPr>
      <w:bookmarkStart w:id="2" w:name="_Toc165495778"/>
      <w:bookmarkStart w:id="3" w:name="_Toc165496484"/>
      <w:r w:rsidRPr="001E39A8">
        <w:rPr>
          <w:rFonts w:asciiTheme="minorHAnsi" w:hAnsiTheme="minorHAnsi" w:cstheme="minorHAnsi"/>
          <w:b/>
          <w:bCs/>
          <w:sz w:val="40"/>
          <w:szCs w:val="40"/>
        </w:rPr>
        <w:lastRenderedPageBreak/>
        <w:t>TERMS OF REFERENCE</w:t>
      </w:r>
      <w:bookmarkEnd w:id="2"/>
      <w:bookmarkEnd w:id="3"/>
    </w:p>
    <w:p w14:paraId="1C28E497" w14:textId="52B4F89E" w:rsidR="00E324E5" w:rsidRPr="00902970" w:rsidRDefault="00E324E5" w:rsidP="00E324E5">
      <w:pPr>
        <w:spacing w:line="360" w:lineRule="auto"/>
        <w:jc w:val="both"/>
        <w:rPr>
          <w:rFonts w:ascii="Calibri" w:hAnsi="Calibri" w:cs="Calibri"/>
          <w:sz w:val="24"/>
          <w:szCs w:val="24"/>
        </w:rPr>
      </w:pPr>
      <w:r w:rsidRPr="00902970">
        <w:rPr>
          <w:rFonts w:ascii="Calibri" w:hAnsi="Calibri" w:cs="Calibri"/>
          <w:sz w:val="24"/>
          <w:szCs w:val="24"/>
        </w:rPr>
        <w:t>This report compares Barratt Development PLC and Berkeley Group Holdings PLC, two prominent companies in the construction sector, from 2019 to 2023. The report's structure</w:t>
      </w:r>
      <w:r>
        <w:rPr>
          <w:rFonts w:ascii="Calibri" w:hAnsi="Calibri" w:cs="Calibri"/>
          <w:sz w:val="24"/>
          <w:szCs w:val="24"/>
        </w:rPr>
        <w:t xml:space="preserve"> begins with the company profiles section, which provides detailed information about the two companies' services, subsidiaries, and financial health. The report then analyses both companies' financial health and performance </w:t>
      </w:r>
      <w:r w:rsidRPr="00902970">
        <w:rPr>
          <w:rFonts w:ascii="Calibri" w:hAnsi="Calibri" w:cs="Calibri"/>
          <w:sz w:val="24"/>
          <w:szCs w:val="24"/>
        </w:rPr>
        <w:t xml:space="preserve">using various financial ratios and horizontal and vertical analyses of critical metrics. The </w:t>
      </w:r>
      <w:r w:rsidR="00F235F0">
        <w:rPr>
          <w:rFonts w:ascii="Calibri" w:hAnsi="Calibri" w:cs="Calibri"/>
          <w:sz w:val="24"/>
          <w:szCs w:val="24"/>
        </w:rPr>
        <w:t>main</w:t>
      </w:r>
      <w:r w:rsidRPr="00902970">
        <w:rPr>
          <w:rFonts w:ascii="Calibri" w:hAnsi="Calibri" w:cs="Calibri"/>
          <w:sz w:val="24"/>
          <w:szCs w:val="24"/>
        </w:rPr>
        <w:t xml:space="preserve"> source of </w:t>
      </w:r>
      <w:r w:rsidR="00F235F0">
        <w:rPr>
          <w:rFonts w:ascii="Calibri" w:hAnsi="Calibri" w:cs="Calibri"/>
          <w:sz w:val="24"/>
          <w:szCs w:val="24"/>
        </w:rPr>
        <w:t>the report</w:t>
      </w:r>
      <w:r w:rsidRPr="00902970">
        <w:rPr>
          <w:rFonts w:ascii="Calibri" w:hAnsi="Calibri" w:cs="Calibri"/>
          <w:sz w:val="24"/>
          <w:szCs w:val="24"/>
        </w:rPr>
        <w:t xml:space="preserve"> for the analysis is </w:t>
      </w:r>
      <w:r>
        <w:rPr>
          <w:rFonts w:ascii="Calibri" w:hAnsi="Calibri" w:cs="Calibri"/>
          <w:sz w:val="24"/>
          <w:szCs w:val="24"/>
        </w:rPr>
        <w:t xml:space="preserve">the </w:t>
      </w:r>
      <w:r>
        <w:rPr>
          <w:rFonts w:ascii="Calibri" w:hAnsi="Calibri" w:cs="Calibri"/>
          <w:b/>
          <w:bCs/>
          <w:sz w:val="24"/>
          <w:szCs w:val="24"/>
        </w:rPr>
        <w:t>Financial Times.</w:t>
      </w:r>
    </w:p>
    <w:p w14:paraId="7C95DE36" w14:textId="0D982640" w:rsidR="00282144" w:rsidRDefault="00282144" w:rsidP="00E324E5">
      <w:pPr>
        <w:pStyle w:val="Heading1"/>
        <w:rPr>
          <w:rFonts w:ascii="Arial" w:eastAsiaTheme="minorHAnsi" w:hAnsi="Arial" w:cs="Arial"/>
          <w:color w:val="000000" w:themeColor="text1"/>
          <w:sz w:val="24"/>
          <w:szCs w:val="24"/>
        </w:rPr>
      </w:pPr>
    </w:p>
    <w:p w14:paraId="466C25A4" w14:textId="77777777" w:rsidR="009652FF" w:rsidRDefault="009652FF" w:rsidP="009652FF"/>
    <w:p w14:paraId="425FC914" w14:textId="77777777" w:rsidR="009652FF" w:rsidRDefault="009652FF" w:rsidP="009652FF"/>
    <w:p w14:paraId="16157E4F" w14:textId="77777777" w:rsidR="009652FF" w:rsidRDefault="009652FF" w:rsidP="009652FF"/>
    <w:p w14:paraId="525EF1FB" w14:textId="77777777" w:rsidR="009652FF" w:rsidRDefault="009652FF" w:rsidP="009652FF"/>
    <w:p w14:paraId="0C0F7CAB" w14:textId="77777777" w:rsidR="009652FF" w:rsidRDefault="009652FF" w:rsidP="009652FF"/>
    <w:p w14:paraId="12D1455C" w14:textId="77777777" w:rsidR="009652FF" w:rsidRDefault="009652FF" w:rsidP="009652FF"/>
    <w:p w14:paraId="26B81CB9" w14:textId="77777777" w:rsidR="009652FF" w:rsidRDefault="009652FF" w:rsidP="009652FF"/>
    <w:p w14:paraId="34E69766" w14:textId="77777777" w:rsidR="009652FF" w:rsidRDefault="009652FF" w:rsidP="009652FF"/>
    <w:p w14:paraId="0D7E9269" w14:textId="77777777" w:rsidR="009652FF" w:rsidRDefault="009652FF" w:rsidP="009652FF"/>
    <w:p w14:paraId="237E3D20" w14:textId="77777777" w:rsidR="009652FF" w:rsidRDefault="009652FF" w:rsidP="009652FF"/>
    <w:p w14:paraId="1D7B1E79" w14:textId="77777777" w:rsidR="009652FF" w:rsidRDefault="009652FF" w:rsidP="009652FF"/>
    <w:p w14:paraId="7857651E" w14:textId="77777777" w:rsidR="009652FF" w:rsidRDefault="009652FF" w:rsidP="009652FF"/>
    <w:p w14:paraId="6774FB9B" w14:textId="77777777" w:rsidR="009652FF" w:rsidRDefault="009652FF" w:rsidP="009652FF"/>
    <w:p w14:paraId="31C35E28" w14:textId="77777777" w:rsidR="009652FF" w:rsidRDefault="009652FF" w:rsidP="009652FF"/>
    <w:p w14:paraId="2AB7D7C0" w14:textId="77777777" w:rsidR="009652FF" w:rsidRDefault="009652FF" w:rsidP="009652FF"/>
    <w:p w14:paraId="513A43B2" w14:textId="77777777" w:rsidR="009652FF" w:rsidRDefault="009652FF" w:rsidP="009652FF"/>
    <w:p w14:paraId="1CE057AF" w14:textId="77777777" w:rsidR="009652FF" w:rsidRDefault="009652FF" w:rsidP="009652FF"/>
    <w:p w14:paraId="79189A58" w14:textId="77777777" w:rsidR="009652FF" w:rsidRDefault="009652FF" w:rsidP="009652FF"/>
    <w:p w14:paraId="775E4A52" w14:textId="77777777" w:rsidR="009652FF" w:rsidRDefault="009652FF" w:rsidP="009652FF"/>
    <w:p w14:paraId="408099FC" w14:textId="77777777" w:rsidR="009652FF" w:rsidRDefault="009652FF" w:rsidP="009652FF"/>
    <w:p w14:paraId="1E805EC0" w14:textId="191C5D46" w:rsidR="00923F6C" w:rsidRPr="0080558A" w:rsidRDefault="00923F6C" w:rsidP="0087209B">
      <w:pPr>
        <w:pStyle w:val="Heading1"/>
        <w:numPr>
          <w:ilvl w:val="0"/>
          <w:numId w:val="27"/>
        </w:numPr>
        <w:spacing w:line="276" w:lineRule="auto"/>
        <w:rPr>
          <w:rFonts w:asciiTheme="minorHAnsi" w:hAnsiTheme="minorHAnsi" w:cstheme="minorHAnsi"/>
          <w:b/>
          <w:bCs/>
          <w:sz w:val="40"/>
          <w:szCs w:val="40"/>
        </w:rPr>
      </w:pPr>
      <w:bookmarkStart w:id="4" w:name="_Toc165495779"/>
      <w:bookmarkStart w:id="5" w:name="_Toc165496485"/>
      <w:r w:rsidRPr="00287D6C">
        <w:rPr>
          <w:rFonts w:asciiTheme="minorHAnsi" w:hAnsiTheme="minorHAnsi" w:cstheme="minorHAnsi"/>
          <w:b/>
          <w:bCs/>
          <w:sz w:val="40"/>
          <w:szCs w:val="40"/>
        </w:rPr>
        <w:lastRenderedPageBreak/>
        <w:t>OVERVIEW</w:t>
      </w:r>
      <w:r w:rsidR="00A606F4">
        <w:rPr>
          <w:rFonts w:asciiTheme="minorHAnsi" w:hAnsiTheme="minorHAnsi" w:cstheme="minorHAnsi"/>
          <w:b/>
          <w:bCs/>
          <w:sz w:val="40"/>
          <w:szCs w:val="40"/>
        </w:rPr>
        <w:t xml:space="preserve"> </w:t>
      </w:r>
      <w:r w:rsidRPr="00287D6C">
        <w:rPr>
          <w:rFonts w:asciiTheme="minorHAnsi" w:hAnsiTheme="minorHAnsi" w:cstheme="minorHAnsi"/>
          <w:b/>
          <w:bCs/>
          <w:sz w:val="40"/>
          <w:szCs w:val="40"/>
        </w:rPr>
        <w:t>OF</w:t>
      </w:r>
      <w:r w:rsidR="00A606F4">
        <w:rPr>
          <w:rFonts w:asciiTheme="minorHAnsi" w:hAnsiTheme="minorHAnsi" w:cstheme="minorHAnsi"/>
          <w:b/>
          <w:bCs/>
          <w:sz w:val="40"/>
          <w:szCs w:val="40"/>
        </w:rPr>
        <w:t xml:space="preserve"> THE</w:t>
      </w:r>
      <w:r w:rsidRPr="00287D6C">
        <w:rPr>
          <w:rFonts w:asciiTheme="minorHAnsi" w:hAnsiTheme="minorHAnsi" w:cstheme="minorHAnsi"/>
          <w:b/>
          <w:bCs/>
          <w:sz w:val="40"/>
          <w:szCs w:val="40"/>
        </w:rPr>
        <w:t xml:space="preserve"> KEY FACTORS AFFECTING THE HOUSE CONSTRUCTION SECTOR</w:t>
      </w:r>
      <w:bookmarkEnd w:id="4"/>
      <w:bookmarkEnd w:id="5"/>
    </w:p>
    <w:p w14:paraId="3DBFB0D6" w14:textId="4FA0DF14" w:rsidR="00923F6C" w:rsidRDefault="00923F6C" w:rsidP="0080558A">
      <w:pPr>
        <w:spacing w:line="360" w:lineRule="auto"/>
        <w:jc w:val="both"/>
        <w:rPr>
          <w:rFonts w:ascii="Calibri" w:hAnsi="Calibri" w:cs="Calibri"/>
          <w:sz w:val="24"/>
          <w:szCs w:val="24"/>
        </w:rPr>
      </w:pPr>
      <w:r w:rsidRPr="005F2AB5">
        <w:rPr>
          <w:rFonts w:ascii="Calibri" w:hAnsi="Calibri" w:cs="Calibri"/>
          <w:sz w:val="24"/>
          <w:szCs w:val="24"/>
        </w:rPr>
        <w:t xml:space="preserve">The </w:t>
      </w:r>
      <w:r>
        <w:rPr>
          <w:rFonts w:ascii="Calibri" w:hAnsi="Calibri" w:cs="Calibri"/>
          <w:sz w:val="24"/>
          <w:szCs w:val="24"/>
        </w:rPr>
        <w:t xml:space="preserve">UK housing construction sector is a multifaceted and ever-evolving field, shaped by historical developments, regulatory frameworks, key players, and ongoing challenges and trends. </w:t>
      </w:r>
      <w:r w:rsidRPr="006A7F93">
        <w:rPr>
          <w:rFonts w:ascii="Calibri" w:hAnsi="Calibri" w:cs="Calibri"/>
          <w:sz w:val="24"/>
          <w:szCs w:val="24"/>
        </w:rPr>
        <w:t xml:space="preserve">The sector is an integral component of the country's economy, contributing significantly to GDP and employment. The sector encompasses the construction of new homes, renovations, and extensions of existing properties. </w:t>
      </w:r>
      <w:r w:rsidR="007B257B" w:rsidRPr="007B257B">
        <w:rPr>
          <w:rFonts w:ascii="Calibri" w:hAnsi="Calibri" w:cs="Calibri"/>
          <w:sz w:val="24"/>
          <w:szCs w:val="24"/>
        </w:rPr>
        <w:t>Numerous factors, such as shifting society requirements, population expansion, government regulations, and economic situations, all have an impact on it. The UK has historically struggled to meet housing demand, which has resulted in a chronic housing shortage and high home prices in many areas</w:t>
      </w:r>
      <w:r w:rsidRPr="006A7F93">
        <w:rPr>
          <w:rFonts w:ascii="Calibri" w:hAnsi="Calibri" w:cs="Calibri"/>
          <w:sz w:val="24"/>
          <w:szCs w:val="24"/>
        </w:rPr>
        <w:t xml:space="preserve">. This </w:t>
      </w:r>
      <w:r>
        <w:rPr>
          <w:rFonts w:ascii="Calibri" w:hAnsi="Calibri" w:cs="Calibri"/>
          <w:sz w:val="24"/>
          <w:szCs w:val="24"/>
        </w:rPr>
        <w:t>results from</w:t>
      </w:r>
      <w:r w:rsidRPr="006A7F93">
        <w:rPr>
          <w:rFonts w:ascii="Calibri" w:hAnsi="Calibri" w:cs="Calibri"/>
          <w:sz w:val="24"/>
          <w:szCs w:val="24"/>
        </w:rPr>
        <w:t xml:space="preserve"> a complex interplay of limited land availability, stringent planning permissions, and fluctuating investment levels.</w:t>
      </w:r>
      <w:r>
        <w:rPr>
          <w:rFonts w:ascii="Calibri" w:hAnsi="Calibri" w:cs="Calibri"/>
          <w:sz w:val="24"/>
          <w:szCs w:val="24"/>
        </w:rPr>
        <w:t xml:space="preserve"> This sector encompasses </w:t>
      </w:r>
      <w:r w:rsidR="007B257B">
        <w:rPr>
          <w:rFonts w:ascii="Calibri" w:hAnsi="Calibri" w:cs="Calibri"/>
          <w:sz w:val="24"/>
          <w:szCs w:val="24"/>
        </w:rPr>
        <w:t>various</w:t>
      </w:r>
      <w:r>
        <w:rPr>
          <w:rFonts w:ascii="Calibri" w:hAnsi="Calibri" w:cs="Calibri"/>
          <w:sz w:val="24"/>
          <w:szCs w:val="24"/>
        </w:rPr>
        <w:t xml:space="preserve"> participants, from industry giants like Barratt, Persimmon, and Taylor Wimpey to nimble independent builders. These entities grapple with the intricate landscape of planning permissions and regulatory compliance to deliver new homes </w:t>
      </w:r>
      <w:r w:rsidR="007B257B">
        <w:rPr>
          <w:rFonts w:ascii="Calibri" w:hAnsi="Calibri" w:cs="Calibri"/>
          <w:sz w:val="24"/>
          <w:szCs w:val="24"/>
        </w:rPr>
        <w:t>nationwide</w:t>
      </w:r>
      <w:r>
        <w:rPr>
          <w:rFonts w:ascii="Calibri" w:hAnsi="Calibri" w:cs="Calibri"/>
          <w:sz w:val="24"/>
          <w:szCs w:val="24"/>
        </w:rPr>
        <w:t xml:space="preserve"> (O’Malley, 2023). The UK housing industry is heavily consolidated, with a handful of firms dominating the market, and entry into the industry necessitates substantial capital investments. The threat of new entrants is low due to increased consolidation and high capital intensity. In the UK, single households command over 76% of the housing market, exerting significant influence over the industry. Buyers face limited alternatives, and their bargaining power is diminished. The threat of substitutes is low in the UK housing construction sector, as there are few alternatives to traditional housing methods. However, the adoption of Modern Methods of Construction (MMC) may introduce new substitutes, but they currently face challenges in terms of skills gap, integration, regulatory hurdles, and resistance to change. The UK housing construction sector is fiercely competitive, with numerous firms vying for market share. This competition has led to the decline of small firms in the industry and increased consolidation. However, </w:t>
      </w:r>
      <w:r w:rsidR="007B257B">
        <w:rPr>
          <w:rFonts w:ascii="Calibri" w:hAnsi="Calibri" w:cs="Calibri"/>
          <w:sz w:val="24"/>
          <w:szCs w:val="24"/>
        </w:rPr>
        <w:t>t</w:t>
      </w:r>
      <w:r w:rsidR="007B257B" w:rsidRPr="007B257B">
        <w:rPr>
          <w:rFonts w:ascii="Calibri" w:hAnsi="Calibri" w:cs="Calibri"/>
          <w:sz w:val="24"/>
          <w:szCs w:val="24"/>
        </w:rPr>
        <w:t xml:space="preserve">he government's goal of constructing 300,000 new homes annually hasn't been reached, </w:t>
      </w:r>
      <w:r w:rsidR="007B257B">
        <w:rPr>
          <w:rFonts w:ascii="Calibri" w:hAnsi="Calibri" w:cs="Calibri"/>
          <w:sz w:val="24"/>
          <w:szCs w:val="24"/>
        </w:rPr>
        <w:t>highlighting</w:t>
      </w:r>
      <w:r w:rsidR="007B257B" w:rsidRPr="007B257B">
        <w:rPr>
          <w:rFonts w:ascii="Calibri" w:hAnsi="Calibri" w:cs="Calibri"/>
          <w:sz w:val="24"/>
          <w:szCs w:val="24"/>
        </w:rPr>
        <w:t xml:space="preserve"> the need for more practical solutions to the housing crisis</w:t>
      </w:r>
      <w:r w:rsidR="007B257B">
        <w:rPr>
          <w:rFonts w:ascii="Calibri" w:hAnsi="Calibri" w:cs="Calibri"/>
          <w:sz w:val="24"/>
          <w:szCs w:val="24"/>
        </w:rPr>
        <w:t xml:space="preserve"> </w:t>
      </w:r>
      <w:r w:rsidRPr="000255B1">
        <w:rPr>
          <w:rFonts w:ascii="Calibri" w:hAnsi="Calibri" w:cs="Calibri"/>
          <w:sz w:val="24"/>
          <w:szCs w:val="24"/>
        </w:rPr>
        <w:t>(Chas, 2024)</w:t>
      </w:r>
      <w:r>
        <w:rPr>
          <w:rFonts w:ascii="Calibri" w:hAnsi="Calibri" w:cs="Calibri"/>
          <w:sz w:val="24"/>
          <w:szCs w:val="24"/>
        </w:rPr>
        <w:t xml:space="preserve">. </w:t>
      </w:r>
    </w:p>
    <w:p w14:paraId="72BF97B7" w14:textId="1C594B86" w:rsidR="00923F6C" w:rsidRDefault="007B257B" w:rsidP="00923F6C">
      <w:pPr>
        <w:spacing w:line="360" w:lineRule="auto"/>
        <w:jc w:val="both"/>
        <w:rPr>
          <w:rFonts w:ascii="Calibri" w:hAnsi="Calibri" w:cs="Calibri"/>
          <w:sz w:val="24"/>
          <w:szCs w:val="24"/>
        </w:rPr>
      </w:pPr>
      <w:r>
        <w:rPr>
          <w:rFonts w:ascii="Calibri" w:hAnsi="Calibri" w:cs="Calibri"/>
          <w:sz w:val="24"/>
          <w:szCs w:val="24"/>
        </w:rPr>
        <w:lastRenderedPageBreak/>
        <w:t xml:space="preserve">According to Porter's Five Forces study, the </w:t>
      </w:r>
      <w:r w:rsidR="006A0411">
        <w:rPr>
          <w:rFonts w:ascii="Calibri" w:hAnsi="Calibri" w:cs="Calibri"/>
          <w:sz w:val="24"/>
          <w:szCs w:val="24"/>
        </w:rPr>
        <w:t>house-building</w:t>
      </w:r>
      <w:r>
        <w:rPr>
          <w:rFonts w:ascii="Calibri" w:hAnsi="Calibri" w:cs="Calibri"/>
          <w:sz w:val="24"/>
          <w:szCs w:val="24"/>
        </w:rPr>
        <w:t xml:space="preserve"> industry in the UK is highly consolidated, with little threat from new competitors and a moderate degree of supplier bargaining power</w:t>
      </w:r>
      <w:r w:rsidRPr="007B257B">
        <w:rPr>
          <w:rFonts w:ascii="Calibri" w:hAnsi="Calibri" w:cs="Calibri"/>
          <w:sz w:val="24"/>
          <w:szCs w:val="24"/>
        </w:rPr>
        <w:t xml:space="preserve">. The industry is extremely competitive, </w:t>
      </w:r>
      <w:r>
        <w:rPr>
          <w:rFonts w:ascii="Calibri" w:hAnsi="Calibri" w:cs="Calibri"/>
          <w:sz w:val="24"/>
          <w:szCs w:val="24"/>
        </w:rPr>
        <w:t>greatly impacting</w:t>
      </w:r>
      <w:r w:rsidRPr="007B257B">
        <w:rPr>
          <w:rFonts w:ascii="Calibri" w:hAnsi="Calibri" w:cs="Calibri"/>
          <w:sz w:val="24"/>
          <w:szCs w:val="24"/>
        </w:rPr>
        <w:t xml:space="preserve"> buyers' negotiating strength and the danger of alternatives</w:t>
      </w:r>
      <w:r w:rsidR="00923F6C">
        <w:rPr>
          <w:rFonts w:ascii="Calibri" w:hAnsi="Calibri" w:cs="Calibri"/>
          <w:sz w:val="24"/>
          <w:szCs w:val="24"/>
        </w:rPr>
        <w:t xml:space="preserve">. These factors shape the competitive landscape of the UK housing construction sector. The housing construction sector </w:t>
      </w:r>
      <w:r w:rsidR="00A606F4">
        <w:rPr>
          <w:rFonts w:ascii="Calibri" w:hAnsi="Calibri" w:cs="Calibri"/>
          <w:sz w:val="24"/>
          <w:szCs w:val="24"/>
        </w:rPr>
        <w:t xml:space="preserve">in the UK </w:t>
      </w:r>
      <w:r w:rsidR="00923F6C">
        <w:rPr>
          <w:rFonts w:ascii="Calibri" w:hAnsi="Calibri" w:cs="Calibri"/>
          <w:sz w:val="24"/>
          <w:szCs w:val="24"/>
        </w:rPr>
        <w:t xml:space="preserve">is influenced by a combination of competition, supplier power, and sector planning regulations. These factors shape the industry landscape and influence the dynamics of the sector. </w:t>
      </w:r>
      <w:r w:rsidR="00923F6C" w:rsidRPr="006A7F93">
        <w:rPr>
          <w:rFonts w:ascii="Calibri" w:hAnsi="Calibri" w:cs="Calibri"/>
          <w:sz w:val="24"/>
          <w:szCs w:val="24"/>
        </w:rPr>
        <w:t xml:space="preserve">The planning regulations </w:t>
      </w:r>
      <w:r w:rsidR="00A606F4">
        <w:rPr>
          <w:rFonts w:ascii="Calibri" w:hAnsi="Calibri" w:cs="Calibri"/>
          <w:sz w:val="24"/>
          <w:szCs w:val="24"/>
        </w:rPr>
        <w:t xml:space="preserve">in the UK </w:t>
      </w:r>
      <w:r w:rsidR="00923F6C" w:rsidRPr="006A7F93">
        <w:rPr>
          <w:rFonts w:ascii="Calibri" w:hAnsi="Calibri" w:cs="Calibri"/>
          <w:sz w:val="24"/>
          <w:szCs w:val="24"/>
        </w:rPr>
        <w:t xml:space="preserve">are known for their complexity and can be a significant hurdle for residential construction. </w:t>
      </w:r>
      <w:r w:rsidR="00923F6C">
        <w:rPr>
          <w:rFonts w:ascii="Calibri" w:hAnsi="Calibri" w:cs="Calibri"/>
          <w:sz w:val="24"/>
          <w:szCs w:val="24"/>
        </w:rPr>
        <w:t>Planning regulations are</w:t>
      </w:r>
      <w:r w:rsidR="00A606F4">
        <w:rPr>
          <w:rFonts w:ascii="Calibri" w:hAnsi="Calibri" w:cs="Calibri"/>
          <w:sz w:val="24"/>
          <w:szCs w:val="24"/>
        </w:rPr>
        <w:t xml:space="preserve"> a </w:t>
      </w:r>
      <w:r w:rsidR="00923F6C">
        <w:rPr>
          <w:rFonts w:ascii="Calibri" w:hAnsi="Calibri" w:cs="Calibri"/>
          <w:sz w:val="24"/>
          <w:szCs w:val="24"/>
        </w:rPr>
        <w:t xml:space="preserve">critical factor dictating what can be built, where and how </w:t>
      </w:r>
      <w:r w:rsidR="00923F6C" w:rsidRPr="006A7F93">
        <w:rPr>
          <w:rFonts w:ascii="Calibri" w:hAnsi="Calibri" w:cs="Calibri"/>
          <w:sz w:val="24"/>
          <w:szCs w:val="24"/>
        </w:rPr>
        <w:t>(People, 2023)</w:t>
      </w:r>
      <w:r w:rsidR="00923F6C">
        <w:rPr>
          <w:rFonts w:ascii="Calibri" w:hAnsi="Calibri" w:cs="Calibri"/>
          <w:sz w:val="24"/>
          <w:szCs w:val="24"/>
        </w:rPr>
        <w:t xml:space="preserve">. </w:t>
      </w:r>
      <w:r w:rsidR="00923F6C" w:rsidRPr="006A7F93">
        <w:rPr>
          <w:rFonts w:ascii="Calibri" w:hAnsi="Calibri" w:cs="Calibri"/>
          <w:sz w:val="24"/>
          <w:szCs w:val="24"/>
        </w:rPr>
        <w:t xml:space="preserve">The planning system is designed to balance public and private interests in land use, which includes considerations of environmental impact, </w:t>
      </w:r>
      <w:r w:rsidR="00A606F4">
        <w:rPr>
          <w:rFonts w:ascii="Calibri" w:hAnsi="Calibri" w:cs="Calibri"/>
          <w:sz w:val="24"/>
          <w:szCs w:val="24"/>
        </w:rPr>
        <w:t>historic</w:t>
      </w:r>
      <w:r w:rsidR="00923F6C" w:rsidRPr="006A7F93">
        <w:rPr>
          <w:rFonts w:ascii="Calibri" w:hAnsi="Calibri" w:cs="Calibri"/>
          <w:sz w:val="24"/>
          <w:szCs w:val="24"/>
        </w:rPr>
        <w:t xml:space="preserve"> preservation, and community development. Obtaining planning permission can be a lengthy and uncertain process, often cited as a bottleneck for increasing housing supply.</w:t>
      </w:r>
      <w:r w:rsidR="00923F6C">
        <w:rPr>
          <w:rFonts w:ascii="Calibri" w:hAnsi="Calibri" w:cs="Calibri"/>
          <w:sz w:val="24"/>
          <w:szCs w:val="24"/>
        </w:rPr>
        <w:t xml:space="preserve"> While aiming to ensure new developments meet standards and integrate with communities, the complex and lengthy planning process can impede the speed and volume of housing construction </w:t>
      </w:r>
      <w:r w:rsidR="00923F6C" w:rsidRPr="006A7F93">
        <w:rPr>
          <w:rFonts w:ascii="Calibri" w:hAnsi="Calibri" w:cs="Calibri"/>
          <w:sz w:val="24"/>
          <w:szCs w:val="24"/>
        </w:rPr>
        <w:t>(People, 2023)</w:t>
      </w:r>
      <w:r w:rsidR="00923F6C">
        <w:rPr>
          <w:rFonts w:ascii="Calibri" w:hAnsi="Calibri" w:cs="Calibri"/>
          <w:sz w:val="24"/>
          <w:szCs w:val="24"/>
        </w:rPr>
        <w:t xml:space="preserve">. Changes to planning laws, such as streamlining the process or altering zoning regulations, can significantly impact the sector. Technological advances in building materials, construction techniques, and green building practices can improve efficiency and sustainability but may require retraining and additional investment. Environmental concerns influence building codes, materials used, and the location of new housing developments. </w:t>
      </w:r>
      <w:r w:rsidRPr="007B257B">
        <w:rPr>
          <w:rFonts w:ascii="Calibri" w:hAnsi="Calibri" w:cs="Calibri"/>
          <w:sz w:val="24"/>
          <w:szCs w:val="24"/>
        </w:rPr>
        <w:t xml:space="preserve">Disruptions to the global supply chain, like those caused by the COVID-19 </w:t>
      </w:r>
      <w:r>
        <w:rPr>
          <w:rFonts w:ascii="Calibri" w:hAnsi="Calibri" w:cs="Calibri"/>
          <w:sz w:val="24"/>
          <w:szCs w:val="24"/>
        </w:rPr>
        <w:t>pan</w:t>
      </w:r>
      <w:r w:rsidRPr="007B257B">
        <w:rPr>
          <w:rFonts w:ascii="Calibri" w:hAnsi="Calibri" w:cs="Calibri"/>
          <w:sz w:val="24"/>
          <w:szCs w:val="24"/>
        </w:rPr>
        <w:t xml:space="preserve">demic, can </w:t>
      </w:r>
      <w:r w:rsidR="006A0411">
        <w:rPr>
          <w:rFonts w:ascii="Calibri" w:hAnsi="Calibri" w:cs="Calibri"/>
          <w:sz w:val="24"/>
          <w:szCs w:val="24"/>
        </w:rPr>
        <w:t>greatly influence</w:t>
      </w:r>
      <w:r w:rsidRPr="007B257B">
        <w:rPr>
          <w:rFonts w:ascii="Calibri" w:hAnsi="Calibri" w:cs="Calibri"/>
          <w:sz w:val="24"/>
          <w:szCs w:val="24"/>
        </w:rPr>
        <w:t xml:space="preserve"> finishing projects on schedule and budget</w:t>
      </w:r>
      <w:r w:rsidR="00923F6C">
        <w:rPr>
          <w:rFonts w:ascii="Calibri" w:hAnsi="Calibri" w:cs="Calibri"/>
          <w:sz w:val="24"/>
          <w:szCs w:val="24"/>
        </w:rPr>
        <w:t xml:space="preserve"> </w:t>
      </w:r>
      <w:r w:rsidR="00923F6C" w:rsidRPr="006A7F93">
        <w:rPr>
          <w:rFonts w:ascii="Calibri" w:hAnsi="Calibri" w:cs="Calibri"/>
          <w:sz w:val="24"/>
          <w:szCs w:val="24"/>
        </w:rPr>
        <w:t>(People, 2023)</w:t>
      </w:r>
      <w:r w:rsidR="00923F6C">
        <w:rPr>
          <w:rFonts w:ascii="Calibri" w:hAnsi="Calibri" w:cs="Calibri"/>
          <w:sz w:val="24"/>
          <w:szCs w:val="24"/>
        </w:rPr>
        <w:t xml:space="preserve">. These factors collectively shape the landscape of the UK residential construction sector. Economic conditions, including interest rates, inflation, and general economic health, influence both builders’ capacity and consumers’ ability to participate in the market </w:t>
      </w:r>
      <w:r w:rsidR="00923F6C" w:rsidRPr="006A7F93">
        <w:rPr>
          <w:rFonts w:ascii="Calibri" w:hAnsi="Calibri" w:cs="Calibri"/>
          <w:sz w:val="24"/>
          <w:szCs w:val="24"/>
        </w:rPr>
        <w:t>(People, 2023)</w:t>
      </w:r>
      <w:r w:rsidR="00923F6C">
        <w:rPr>
          <w:rFonts w:ascii="Calibri" w:hAnsi="Calibri" w:cs="Calibri"/>
          <w:sz w:val="24"/>
          <w:szCs w:val="24"/>
        </w:rPr>
        <w:t xml:space="preserve">. Government policies and incentives, such as tax breaks for homebuyers or housing subsidies, can stimulate demand, while policies imposing additional costs on developers can reduce new construction </w:t>
      </w:r>
      <w:r w:rsidR="00923F6C" w:rsidRPr="006A7F93">
        <w:rPr>
          <w:rFonts w:ascii="Calibri" w:hAnsi="Calibri" w:cs="Calibri"/>
          <w:sz w:val="24"/>
          <w:szCs w:val="24"/>
        </w:rPr>
        <w:t>(People, 2023)</w:t>
      </w:r>
      <w:r w:rsidR="00923F6C">
        <w:rPr>
          <w:rFonts w:ascii="Calibri" w:hAnsi="Calibri" w:cs="Calibri"/>
          <w:sz w:val="24"/>
          <w:szCs w:val="24"/>
        </w:rPr>
        <w:t xml:space="preserve">. Social trends, including changes in household composition, population growth, and </w:t>
      </w:r>
      <w:proofErr w:type="spellStart"/>
      <w:r w:rsidR="00923F6C">
        <w:rPr>
          <w:rFonts w:ascii="Calibri" w:hAnsi="Calibri" w:cs="Calibri"/>
          <w:sz w:val="24"/>
          <w:szCs w:val="24"/>
        </w:rPr>
        <w:t>urbanisation</w:t>
      </w:r>
      <w:proofErr w:type="spellEnd"/>
      <w:r w:rsidR="00923F6C">
        <w:rPr>
          <w:rFonts w:ascii="Calibri" w:hAnsi="Calibri" w:cs="Calibri"/>
          <w:sz w:val="24"/>
          <w:szCs w:val="24"/>
        </w:rPr>
        <w:t xml:space="preserve"> patterns, affect the type and quantity of housing needed.</w:t>
      </w:r>
    </w:p>
    <w:p w14:paraId="3B2C4762" w14:textId="77777777" w:rsidR="00923F6C" w:rsidRDefault="00923F6C" w:rsidP="00923F6C">
      <w:pPr>
        <w:spacing w:line="360" w:lineRule="auto"/>
        <w:jc w:val="both"/>
        <w:rPr>
          <w:rFonts w:ascii="Calibri" w:hAnsi="Calibri" w:cs="Calibri"/>
          <w:sz w:val="24"/>
          <w:szCs w:val="24"/>
        </w:rPr>
      </w:pPr>
      <w:r>
        <w:rPr>
          <w:rFonts w:ascii="Calibri" w:hAnsi="Calibri" w:cs="Calibri"/>
          <w:sz w:val="24"/>
          <w:szCs w:val="24"/>
        </w:rPr>
        <w:lastRenderedPageBreak/>
        <w:t xml:space="preserve">Barratt Developments PLC and Berkeley Group Holdings PLC are two of the largest and most prominent homebuilders in the United Kingdom. </w:t>
      </w:r>
      <w:r w:rsidRPr="00331096">
        <w:rPr>
          <w:rFonts w:ascii="Calibri" w:hAnsi="Calibri" w:cs="Calibri"/>
          <w:sz w:val="24"/>
          <w:szCs w:val="24"/>
        </w:rPr>
        <w:t>Barratt Developments, founded in 1958, is one of the biggest housebuilders in the country. In the 2022 fiscal year, the company built 17,908 homes and reported revenue of £4.39 billion</w:t>
      </w:r>
      <w:r>
        <w:rPr>
          <w:rFonts w:ascii="Calibri" w:hAnsi="Calibri" w:cs="Calibri"/>
          <w:sz w:val="24"/>
          <w:szCs w:val="24"/>
        </w:rPr>
        <w:t xml:space="preserve">. </w:t>
      </w:r>
      <w:r w:rsidRPr="00331096">
        <w:rPr>
          <w:rFonts w:ascii="Calibri" w:hAnsi="Calibri" w:cs="Calibri"/>
          <w:sz w:val="24"/>
          <w:szCs w:val="24"/>
        </w:rPr>
        <w:t>Barratt has a workforce of around 6,700 employees</w:t>
      </w:r>
      <w:r>
        <w:rPr>
          <w:rFonts w:ascii="Calibri" w:hAnsi="Calibri" w:cs="Calibri"/>
          <w:sz w:val="24"/>
          <w:szCs w:val="24"/>
        </w:rPr>
        <w:t>.</w:t>
      </w:r>
    </w:p>
    <w:p w14:paraId="2CBB56D7" w14:textId="0D073BF9" w:rsidR="00923F6C" w:rsidRDefault="00923F6C" w:rsidP="00923F6C">
      <w:pPr>
        <w:spacing w:line="360" w:lineRule="auto"/>
        <w:jc w:val="both"/>
        <w:rPr>
          <w:rFonts w:ascii="Calibri" w:hAnsi="Calibri" w:cs="Calibri"/>
          <w:sz w:val="24"/>
          <w:szCs w:val="24"/>
        </w:rPr>
      </w:pPr>
      <w:r w:rsidRPr="00331096">
        <w:rPr>
          <w:rFonts w:ascii="Calibri" w:hAnsi="Calibri" w:cs="Calibri"/>
          <w:sz w:val="24"/>
          <w:szCs w:val="24"/>
        </w:rPr>
        <w:t xml:space="preserve">Berkeley Group, established in 1976, focuses on building homes and </w:t>
      </w:r>
      <w:proofErr w:type="spellStart"/>
      <w:r>
        <w:rPr>
          <w:rFonts w:ascii="Calibri" w:hAnsi="Calibri" w:cs="Calibri"/>
          <w:sz w:val="24"/>
          <w:szCs w:val="24"/>
        </w:rPr>
        <w:t>neighbourhoods</w:t>
      </w:r>
      <w:proofErr w:type="spellEnd"/>
      <w:r w:rsidRPr="00331096">
        <w:rPr>
          <w:rFonts w:ascii="Calibri" w:hAnsi="Calibri" w:cs="Calibri"/>
          <w:sz w:val="24"/>
          <w:szCs w:val="24"/>
        </w:rPr>
        <w:t xml:space="preserve"> across London, Birmingham, and the South of England. In the 2023 fiscal year, Berkeley generated revenue of £2.54 billion and </w:t>
      </w:r>
      <w:r w:rsidR="00C53FD5">
        <w:rPr>
          <w:rFonts w:ascii="Calibri" w:hAnsi="Calibri" w:cs="Calibri"/>
          <w:sz w:val="24"/>
          <w:szCs w:val="24"/>
        </w:rPr>
        <w:t xml:space="preserve">a </w:t>
      </w:r>
      <w:r w:rsidRPr="00331096">
        <w:rPr>
          <w:rFonts w:ascii="Calibri" w:hAnsi="Calibri" w:cs="Calibri"/>
          <w:sz w:val="24"/>
          <w:szCs w:val="24"/>
        </w:rPr>
        <w:t>net income of £455.50 million</w:t>
      </w:r>
      <w:r w:rsidR="00C53FD5">
        <w:rPr>
          <w:rFonts w:ascii="Calibri" w:hAnsi="Calibri" w:cs="Calibri"/>
          <w:sz w:val="24"/>
          <w:szCs w:val="24"/>
        </w:rPr>
        <w:t xml:space="preserve"> </w:t>
      </w:r>
      <w:r w:rsidR="00C53FD5" w:rsidRPr="00C53FD5">
        <w:rPr>
          <w:rFonts w:ascii="Calibri" w:hAnsi="Calibri" w:cs="Calibri"/>
          <w:sz w:val="24"/>
          <w:szCs w:val="24"/>
        </w:rPr>
        <w:t>(Barratt Developments PLC, 2024)</w:t>
      </w:r>
      <w:r>
        <w:rPr>
          <w:rFonts w:ascii="Calibri" w:hAnsi="Calibri" w:cs="Calibri"/>
          <w:sz w:val="24"/>
          <w:szCs w:val="24"/>
        </w:rPr>
        <w:t xml:space="preserve">. </w:t>
      </w:r>
      <w:r w:rsidRPr="00331096">
        <w:rPr>
          <w:rFonts w:ascii="Calibri" w:hAnsi="Calibri" w:cs="Calibri"/>
          <w:sz w:val="24"/>
          <w:szCs w:val="24"/>
        </w:rPr>
        <w:t>The company has a workforce of around 3,000 employees</w:t>
      </w:r>
      <w:r>
        <w:rPr>
          <w:rFonts w:ascii="Calibri" w:hAnsi="Calibri" w:cs="Calibri"/>
          <w:sz w:val="24"/>
          <w:szCs w:val="24"/>
        </w:rPr>
        <w:t xml:space="preserve">. </w:t>
      </w:r>
      <w:r w:rsidR="001E0036" w:rsidRPr="001E0036">
        <w:rPr>
          <w:rFonts w:ascii="Calibri" w:hAnsi="Calibri" w:cs="Calibri"/>
          <w:sz w:val="24"/>
          <w:szCs w:val="24"/>
        </w:rPr>
        <w:t>Using a strategy of controlled growth and sustainable margins, Barratt Developments PLC is committed to providing new homes that are high-quality and energy-efficient for a variety of tenures</w:t>
      </w:r>
      <w:r w:rsidR="00C53FD5">
        <w:rPr>
          <w:rFonts w:ascii="Calibri" w:hAnsi="Calibri" w:cs="Calibri"/>
          <w:sz w:val="24"/>
          <w:szCs w:val="24"/>
        </w:rPr>
        <w:t xml:space="preserve"> </w:t>
      </w:r>
      <w:r w:rsidR="00C53FD5" w:rsidRPr="00C53FD5">
        <w:rPr>
          <w:rFonts w:ascii="Calibri" w:hAnsi="Calibri" w:cs="Calibri"/>
          <w:sz w:val="24"/>
          <w:szCs w:val="24"/>
        </w:rPr>
        <w:t>(Barratt Developments PLC, 2024)</w:t>
      </w:r>
      <w:r w:rsidR="001E0036">
        <w:rPr>
          <w:rFonts w:ascii="Calibri" w:hAnsi="Calibri" w:cs="Calibri"/>
          <w:sz w:val="24"/>
          <w:szCs w:val="24"/>
        </w:rPr>
        <w:t xml:space="preserve">. </w:t>
      </w:r>
      <w:r>
        <w:rPr>
          <w:rFonts w:ascii="Calibri" w:hAnsi="Calibri" w:cs="Calibri"/>
          <w:sz w:val="24"/>
          <w:szCs w:val="24"/>
        </w:rPr>
        <w:t xml:space="preserve">Berkeley Group Holdings PLC, on the other hand, </w:t>
      </w:r>
      <w:proofErr w:type="spellStart"/>
      <w:r>
        <w:rPr>
          <w:rFonts w:ascii="Calibri" w:hAnsi="Calibri" w:cs="Calibri"/>
          <w:sz w:val="24"/>
          <w:szCs w:val="24"/>
        </w:rPr>
        <w:t>specialises</w:t>
      </w:r>
      <w:proofErr w:type="spellEnd"/>
      <w:r>
        <w:rPr>
          <w:rFonts w:ascii="Calibri" w:hAnsi="Calibri" w:cs="Calibri"/>
          <w:sz w:val="24"/>
          <w:szCs w:val="24"/>
        </w:rPr>
        <w:t xml:space="preserve"> in large-scale regeneration developments, transforming neglected industrial and brownfield land into thriving new communities. </w:t>
      </w:r>
      <w:r w:rsidRPr="00331096">
        <w:rPr>
          <w:rFonts w:ascii="Calibri" w:hAnsi="Calibri" w:cs="Calibri"/>
          <w:sz w:val="24"/>
          <w:szCs w:val="24"/>
        </w:rPr>
        <w:t>In terms of financial strength, Barratt reported net cash of around £790 million in its latest results</w:t>
      </w:r>
      <w:r>
        <w:rPr>
          <w:rFonts w:ascii="Calibri" w:hAnsi="Calibri" w:cs="Calibri"/>
          <w:sz w:val="24"/>
          <w:szCs w:val="24"/>
        </w:rPr>
        <w:t xml:space="preserve">, while Berkeley had a strong balance sheet as of 2023. </w:t>
      </w:r>
      <w:r w:rsidRPr="00331096">
        <w:rPr>
          <w:rFonts w:ascii="Calibri" w:hAnsi="Calibri" w:cs="Calibri"/>
          <w:sz w:val="24"/>
          <w:szCs w:val="24"/>
        </w:rPr>
        <w:t>Both companies have a track record of profitability and cash generation through market cycles</w:t>
      </w:r>
      <w:r>
        <w:rPr>
          <w:rFonts w:ascii="Calibri" w:hAnsi="Calibri" w:cs="Calibri"/>
          <w:sz w:val="24"/>
          <w:szCs w:val="24"/>
        </w:rPr>
        <w:t xml:space="preserve">. </w:t>
      </w:r>
      <w:r w:rsidRPr="00331096">
        <w:rPr>
          <w:rFonts w:ascii="Calibri" w:hAnsi="Calibri" w:cs="Calibri"/>
          <w:sz w:val="24"/>
          <w:szCs w:val="24"/>
        </w:rPr>
        <w:t>The two housebuilders have seen their share prices perform well recently, with Berkeley's stock jumping 4.7% in a week and Barratt's shares rising by almost 50% in the past year</w:t>
      </w:r>
      <w:r>
        <w:rPr>
          <w:rFonts w:ascii="Calibri" w:hAnsi="Calibri" w:cs="Calibri"/>
          <w:sz w:val="24"/>
          <w:szCs w:val="24"/>
        </w:rPr>
        <w:t xml:space="preserve"> </w:t>
      </w:r>
      <w:r w:rsidRPr="00331096">
        <w:rPr>
          <w:rFonts w:ascii="Calibri" w:hAnsi="Calibri" w:cs="Calibri"/>
          <w:sz w:val="24"/>
          <w:szCs w:val="24"/>
        </w:rPr>
        <w:t>(Berkeley Group Holdings PLC, 2024)</w:t>
      </w:r>
      <w:r>
        <w:rPr>
          <w:rFonts w:ascii="Calibri" w:hAnsi="Calibri" w:cs="Calibri"/>
          <w:sz w:val="24"/>
          <w:szCs w:val="24"/>
        </w:rPr>
        <w:t xml:space="preserve">. </w:t>
      </w:r>
      <w:r w:rsidRPr="00E72269">
        <w:rPr>
          <w:rFonts w:ascii="Calibri" w:hAnsi="Calibri" w:cs="Calibri"/>
          <w:sz w:val="24"/>
          <w:szCs w:val="24"/>
        </w:rPr>
        <w:t>However, both companies face challenges, such as rising construction costs, a complex planning system, and uncertainty in the housing market</w:t>
      </w:r>
      <w:r>
        <w:rPr>
          <w:rFonts w:ascii="Calibri" w:hAnsi="Calibri" w:cs="Calibri"/>
          <w:sz w:val="24"/>
          <w:szCs w:val="24"/>
        </w:rPr>
        <w:t xml:space="preserve"> </w:t>
      </w:r>
      <w:r w:rsidRPr="00331096">
        <w:rPr>
          <w:rFonts w:ascii="Calibri" w:hAnsi="Calibri" w:cs="Calibri"/>
          <w:sz w:val="24"/>
          <w:szCs w:val="24"/>
        </w:rPr>
        <w:t>(Berkeley Group Holdings PLC, 2024)</w:t>
      </w:r>
      <w:r>
        <w:rPr>
          <w:rFonts w:ascii="Calibri" w:hAnsi="Calibri" w:cs="Calibri"/>
          <w:sz w:val="24"/>
          <w:szCs w:val="24"/>
        </w:rPr>
        <w:t xml:space="preserve">. Finally, </w:t>
      </w:r>
      <w:r w:rsidRPr="00E72269">
        <w:rPr>
          <w:rFonts w:ascii="Calibri" w:hAnsi="Calibri" w:cs="Calibri"/>
          <w:sz w:val="24"/>
          <w:szCs w:val="24"/>
        </w:rPr>
        <w:t xml:space="preserve">Barratt Developments and Berkeley Group are significant players in the UK homebuilding industry, </w:t>
      </w:r>
      <w:r>
        <w:rPr>
          <w:rFonts w:ascii="Calibri" w:hAnsi="Calibri" w:cs="Calibri"/>
          <w:sz w:val="24"/>
          <w:szCs w:val="24"/>
        </w:rPr>
        <w:t>focusing</w:t>
      </w:r>
      <w:r w:rsidRPr="00E72269">
        <w:rPr>
          <w:rFonts w:ascii="Calibri" w:hAnsi="Calibri" w:cs="Calibri"/>
          <w:sz w:val="24"/>
          <w:szCs w:val="24"/>
        </w:rPr>
        <w:t xml:space="preserve"> on delivering high-quality homes and </w:t>
      </w:r>
      <w:proofErr w:type="spellStart"/>
      <w:r>
        <w:rPr>
          <w:rFonts w:ascii="Calibri" w:hAnsi="Calibri" w:cs="Calibri"/>
          <w:sz w:val="24"/>
          <w:szCs w:val="24"/>
        </w:rPr>
        <w:t>neighbourhoods</w:t>
      </w:r>
      <w:proofErr w:type="spellEnd"/>
      <w:r w:rsidRPr="00E72269">
        <w:rPr>
          <w:rFonts w:ascii="Calibri" w:hAnsi="Calibri" w:cs="Calibri"/>
          <w:sz w:val="24"/>
          <w:szCs w:val="24"/>
        </w:rPr>
        <w:t xml:space="preserve"> while navigating the challenges of the market.</w:t>
      </w:r>
    </w:p>
    <w:p w14:paraId="29FF4096" w14:textId="77777777" w:rsidR="00923F6C" w:rsidRPr="005F2AB5" w:rsidRDefault="00923F6C" w:rsidP="00923F6C">
      <w:pPr>
        <w:spacing w:line="360" w:lineRule="auto"/>
        <w:jc w:val="both"/>
        <w:rPr>
          <w:rFonts w:ascii="Calibri" w:hAnsi="Calibri" w:cs="Calibri"/>
          <w:sz w:val="24"/>
          <w:szCs w:val="24"/>
        </w:rPr>
      </w:pPr>
    </w:p>
    <w:p w14:paraId="405D8319" w14:textId="77777777" w:rsidR="00923F6C" w:rsidRDefault="00923F6C" w:rsidP="00923F6C"/>
    <w:p w14:paraId="5E7B304B" w14:textId="77777777" w:rsidR="00923F6C" w:rsidRDefault="00923F6C" w:rsidP="00923F6C"/>
    <w:p w14:paraId="07D2974B" w14:textId="77777777" w:rsidR="00923F6C" w:rsidRDefault="00923F6C" w:rsidP="00923F6C"/>
    <w:p w14:paraId="3502D0E5" w14:textId="2ED219F9" w:rsidR="00923F6C" w:rsidRPr="00287D6C" w:rsidRDefault="00923F6C" w:rsidP="0087209B">
      <w:pPr>
        <w:pStyle w:val="Heading1"/>
        <w:numPr>
          <w:ilvl w:val="0"/>
          <w:numId w:val="27"/>
        </w:numPr>
        <w:spacing w:line="276" w:lineRule="auto"/>
        <w:rPr>
          <w:rFonts w:asciiTheme="minorHAnsi" w:hAnsiTheme="minorHAnsi" w:cstheme="minorHAnsi"/>
          <w:b/>
          <w:bCs/>
          <w:sz w:val="40"/>
          <w:szCs w:val="40"/>
        </w:rPr>
      </w:pPr>
      <w:bookmarkStart w:id="6" w:name="_Toc165495780"/>
      <w:bookmarkStart w:id="7" w:name="_Toc165496486"/>
      <w:r w:rsidRPr="00287D6C">
        <w:rPr>
          <w:rFonts w:asciiTheme="minorHAnsi" w:hAnsiTheme="minorHAnsi" w:cstheme="minorHAnsi"/>
          <w:b/>
          <w:bCs/>
          <w:sz w:val="40"/>
          <w:szCs w:val="40"/>
        </w:rPr>
        <w:lastRenderedPageBreak/>
        <w:t>ANALYSIS AND INTERPRETATION OF THE TWO COMPANIES</w:t>
      </w:r>
      <w:bookmarkEnd w:id="6"/>
      <w:bookmarkEnd w:id="7"/>
    </w:p>
    <w:p w14:paraId="4814A0F5" w14:textId="7631AFF2" w:rsidR="00923F6C" w:rsidRDefault="00923F6C" w:rsidP="00923F6C">
      <w:pPr>
        <w:spacing w:line="360" w:lineRule="auto"/>
        <w:jc w:val="both"/>
      </w:pPr>
      <w:r>
        <w:t>In the dynamic landscape of the UK construction sector, Barratt Developments P</w:t>
      </w:r>
      <w:r w:rsidR="001E0036">
        <w:t>LC</w:t>
      </w:r>
      <w:r>
        <w:t xml:space="preserve"> and The Berkeley Group Holdings P</w:t>
      </w:r>
      <w:r w:rsidR="001E0036">
        <w:t>LC</w:t>
      </w:r>
      <w:r>
        <w:t xml:space="preserve"> emerge as two influential entities, each with unique strategies, operational scopes, and financial performances. </w:t>
      </w:r>
      <w:r w:rsidRPr="003774AB">
        <w:t>Barratt Developments PLC and The Berkeley Group Holdings PLC are two prominent players in the UK construction industry, known for their contributions to the housing sector.</w:t>
      </w:r>
      <w:r>
        <w:t xml:space="preserve"> They have unique strategies, operational scopes, and financial performance. </w:t>
      </w:r>
    </w:p>
    <w:p w14:paraId="5A6FA095" w14:textId="77777777" w:rsidR="00923F6C" w:rsidRDefault="00923F6C" w:rsidP="00923F6C">
      <w:pPr>
        <w:spacing w:line="360" w:lineRule="auto"/>
        <w:jc w:val="both"/>
      </w:pPr>
      <w:r>
        <w:t xml:space="preserve">Barratt Developments Plc is known for its customer-centric approach. It </w:t>
      </w:r>
      <w:proofErr w:type="spellStart"/>
      <w:r>
        <w:t>prioritises</w:t>
      </w:r>
      <w:proofErr w:type="spellEnd"/>
      <w:r>
        <w:t xml:space="preserve"> delivering high-quality, energy-efficient, and sustainable houses while fostering communities with lasting positive economic, environmental, and well-being impacts. Barratt has different brands, like Barratt Homes, David Wilson Homes, and Barratt London. It has a significant land bank that secures its operations for the foreseeable future. However, Barratt witnessed a decline in operating and net margins, which may cause profitability challenges despite a notable revenue increase in FY2022.</w:t>
      </w:r>
    </w:p>
    <w:p w14:paraId="07705C35" w14:textId="77777777" w:rsidR="00923F6C" w:rsidRDefault="00923F6C" w:rsidP="00923F6C">
      <w:pPr>
        <w:spacing w:line="360" w:lineRule="auto"/>
        <w:jc w:val="both"/>
      </w:pPr>
      <w:r>
        <w:t xml:space="preserve">The Berkeley Group Holdings PLC focuses on providing quality homes and enhancing communities through affordable housing options. By harnessing advanced manufacturing and digital technology, Berkeley ensures its developments meet elevated sustainability, quality, and safety standards. Berkeley has multiple brands and </w:t>
      </w:r>
      <w:proofErr w:type="spellStart"/>
      <w:r>
        <w:t>specialises</w:t>
      </w:r>
      <w:proofErr w:type="spellEnd"/>
      <w:r>
        <w:t xml:space="preserve"> in urban regeneration projects, from city apartments to detached family houses. They have healthy revenue growth and substantial land holdings that project promising future profitability, showcasing a robust operational model.</w:t>
      </w:r>
    </w:p>
    <w:p w14:paraId="72DC73D1" w14:textId="5A389A1A" w:rsidR="00923F6C" w:rsidRDefault="00923F6C" w:rsidP="00923F6C">
      <w:pPr>
        <w:spacing w:line="360" w:lineRule="auto"/>
        <w:jc w:val="both"/>
      </w:pPr>
      <w:r>
        <w:t xml:space="preserve">Barratt's geographic reach covers Great Britain, whereas Berkeley focuses on London and the South of England. Barratt's brand portfolio encompasses residential and commercial developments, while Berkeley's brands extend to a wider array of development types, </w:t>
      </w:r>
      <w:proofErr w:type="spellStart"/>
      <w:r>
        <w:t>emphasising</w:t>
      </w:r>
      <w:proofErr w:type="spellEnd"/>
      <w:r>
        <w:t xml:space="preserve"> urban regeneration. Financially, Barratt's higher revenue figures signify a larger scale of operations, while Berkeley's substantial land holdings underscore their strong potential for future profitability. Strategically, Barratt </w:t>
      </w:r>
      <w:proofErr w:type="spellStart"/>
      <w:r>
        <w:t>prioritises</w:t>
      </w:r>
      <w:proofErr w:type="spellEnd"/>
      <w:r>
        <w:t xml:space="preserve"> a customer-oriented approach and community building, whereas Berkeley </w:t>
      </w:r>
      <w:proofErr w:type="spellStart"/>
      <w:r>
        <w:t>emphasises</w:t>
      </w:r>
      <w:proofErr w:type="spellEnd"/>
      <w:r>
        <w:t xml:space="preserve"> quality and sustainability through technological advancements and urban regeneration. Although Barratt's decline in operating and net margins raises concerns regarding profitability pressures, Berkeley's consistent revenue growth and robust land holdings reflect operational efficiency and resilience. </w:t>
      </w:r>
    </w:p>
    <w:p w14:paraId="50BC2FF6" w14:textId="77777777" w:rsidR="00923F6C" w:rsidRDefault="00923F6C" w:rsidP="00923F6C">
      <w:pPr>
        <w:spacing w:line="360" w:lineRule="auto"/>
        <w:jc w:val="both"/>
      </w:pPr>
    </w:p>
    <w:p w14:paraId="5E88D884" w14:textId="05A0D26E" w:rsidR="00923F6C" w:rsidRPr="00941401" w:rsidRDefault="0087209B" w:rsidP="00941401">
      <w:pPr>
        <w:pStyle w:val="Heading2"/>
        <w:spacing w:line="360" w:lineRule="auto"/>
        <w:rPr>
          <w:rFonts w:ascii="Calibri" w:hAnsi="Calibri" w:cs="Calibri"/>
          <w:b/>
          <w:bCs/>
          <w:sz w:val="32"/>
          <w:szCs w:val="32"/>
        </w:rPr>
      </w:pPr>
      <w:bookmarkStart w:id="8" w:name="_Toc165495781"/>
      <w:bookmarkStart w:id="9" w:name="_Toc165496487"/>
      <w:r>
        <w:rPr>
          <w:rFonts w:ascii="Calibri" w:hAnsi="Calibri" w:cs="Calibri"/>
          <w:b/>
          <w:bCs/>
          <w:color w:val="auto"/>
          <w:sz w:val="32"/>
          <w:szCs w:val="32"/>
        </w:rPr>
        <w:lastRenderedPageBreak/>
        <w:t xml:space="preserve">2.1 </w:t>
      </w:r>
      <w:r w:rsidR="00923F6C" w:rsidRPr="00941401">
        <w:rPr>
          <w:rFonts w:ascii="Calibri" w:hAnsi="Calibri" w:cs="Calibri"/>
          <w:b/>
          <w:bCs/>
          <w:color w:val="auto"/>
          <w:sz w:val="32"/>
          <w:szCs w:val="32"/>
        </w:rPr>
        <w:t>RATIO ANALYSIS</w:t>
      </w:r>
      <w:bookmarkEnd w:id="8"/>
      <w:bookmarkEnd w:id="9"/>
    </w:p>
    <w:p w14:paraId="42E72C3A" w14:textId="52B35D2B" w:rsidR="00923F6C" w:rsidRPr="00B407C6" w:rsidRDefault="00B343D4" w:rsidP="00941401">
      <w:pPr>
        <w:spacing w:line="360" w:lineRule="auto"/>
        <w:jc w:val="both"/>
        <w:rPr>
          <w:rFonts w:ascii="Calibri" w:hAnsi="Calibri" w:cs="Calibri"/>
          <w:sz w:val="24"/>
          <w:szCs w:val="24"/>
        </w:rPr>
      </w:pPr>
      <w:r w:rsidRPr="00B343D4">
        <w:rPr>
          <w:rFonts w:ascii="Calibri" w:hAnsi="Calibri" w:cs="Calibri"/>
          <w:sz w:val="24"/>
          <w:szCs w:val="24"/>
        </w:rPr>
        <w:t xml:space="preserve">A financial ratio analysis </w:t>
      </w:r>
      <w:r w:rsidR="00F374C3">
        <w:rPr>
          <w:rFonts w:ascii="Calibri" w:hAnsi="Calibri" w:cs="Calibri"/>
          <w:sz w:val="24"/>
          <w:szCs w:val="24"/>
        </w:rPr>
        <w:t xml:space="preserve">examines the relationship (or ratio) between two or more financial data items from a company's financial statement </w:t>
      </w:r>
      <w:r w:rsidR="009D7419">
        <w:rPr>
          <w:rFonts w:ascii="Calibri" w:hAnsi="Calibri" w:cs="Calibri"/>
          <w:sz w:val="24"/>
          <w:szCs w:val="24"/>
        </w:rPr>
        <w:t>to compare Barratt Development PLC and Berkeley Holding Groups PLC efficiently</w:t>
      </w:r>
      <w:r w:rsidR="00923F6C" w:rsidRPr="00B407C6">
        <w:rPr>
          <w:rFonts w:ascii="Calibri" w:hAnsi="Calibri" w:cs="Calibri"/>
          <w:sz w:val="24"/>
          <w:szCs w:val="24"/>
        </w:rPr>
        <w:t>.</w:t>
      </w:r>
    </w:p>
    <w:p w14:paraId="3998729B" w14:textId="53AF1908" w:rsidR="00923F6C" w:rsidRPr="00B00849" w:rsidRDefault="0087209B" w:rsidP="00B00849">
      <w:pPr>
        <w:pStyle w:val="Heading3"/>
        <w:rPr>
          <w:rFonts w:ascii="Calibri" w:hAnsi="Calibri" w:cs="Calibri"/>
          <w:sz w:val="28"/>
          <w:szCs w:val="28"/>
        </w:rPr>
      </w:pPr>
      <w:bookmarkStart w:id="10" w:name="_Toc165495782"/>
      <w:bookmarkStart w:id="11" w:name="_Toc165496488"/>
      <w:r>
        <w:rPr>
          <w:rFonts w:ascii="Calibri" w:hAnsi="Calibri" w:cs="Calibri"/>
          <w:sz w:val="28"/>
          <w:szCs w:val="28"/>
        </w:rPr>
        <w:t xml:space="preserve">2.1.1 </w:t>
      </w:r>
      <w:r w:rsidR="00923F6C" w:rsidRPr="00B00849">
        <w:rPr>
          <w:rFonts w:ascii="Calibri" w:hAnsi="Calibri" w:cs="Calibri"/>
          <w:sz w:val="28"/>
          <w:szCs w:val="28"/>
        </w:rPr>
        <w:t>LIQUIDITY RATIO</w:t>
      </w:r>
      <w:bookmarkEnd w:id="10"/>
      <w:bookmarkEnd w:id="11"/>
    </w:p>
    <w:p w14:paraId="44136677" w14:textId="5794B670" w:rsidR="0080558A" w:rsidRPr="0069411E" w:rsidRDefault="00B343D4" w:rsidP="00EF7E2C">
      <w:pPr>
        <w:spacing w:line="360" w:lineRule="auto"/>
        <w:jc w:val="both"/>
        <w:rPr>
          <w:rFonts w:ascii="Arial" w:hAnsi="Arial" w:cs="Arial"/>
          <w:sz w:val="24"/>
          <w:szCs w:val="24"/>
        </w:rPr>
      </w:pPr>
      <w:r w:rsidRPr="00B343D4">
        <w:rPr>
          <w:rFonts w:ascii="Arial" w:hAnsi="Arial" w:cs="Arial"/>
          <w:sz w:val="24"/>
          <w:szCs w:val="24"/>
        </w:rPr>
        <w:t>The liquidity ratio assesses whether a business can use its current assets to pay off its debt in full</w:t>
      </w:r>
      <w:r w:rsidR="00923F6C">
        <w:rPr>
          <w:rFonts w:ascii="Arial" w:hAnsi="Arial" w:cs="Arial"/>
          <w:sz w:val="24"/>
          <w:szCs w:val="24"/>
        </w:rPr>
        <w:t xml:space="preserve">. </w:t>
      </w:r>
    </w:p>
    <w:tbl>
      <w:tblPr>
        <w:tblStyle w:val="GridTable1Light-Accent6"/>
        <w:tblW w:w="5000" w:type="pct"/>
        <w:tblLook w:val="04A0" w:firstRow="1" w:lastRow="0" w:firstColumn="1" w:lastColumn="0" w:noHBand="0" w:noVBand="1"/>
      </w:tblPr>
      <w:tblGrid>
        <w:gridCol w:w="1928"/>
        <w:gridCol w:w="1484"/>
        <w:gridCol w:w="1485"/>
        <w:gridCol w:w="1485"/>
        <w:gridCol w:w="1485"/>
        <w:gridCol w:w="1483"/>
      </w:tblGrid>
      <w:tr w:rsidR="00923F6C" w:rsidRPr="008A02BA" w14:paraId="297E34ED" w14:textId="77777777" w:rsidTr="002A47F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99F5FF"/>
            <w:noWrap/>
            <w:hideMark/>
          </w:tcPr>
          <w:p w14:paraId="227D6673"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BARRATT DEVELOPMENT PLC</w:t>
            </w:r>
          </w:p>
          <w:p w14:paraId="3FCFFF34" w14:textId="77777777" w:rsidR="00923F6C" w:rsidRPr="008A02BA" w:rsidRDefault="00923F6C" w:rsidP="002B72E8">
            <w:pPr>
              <w:spacing w:line="360" w:lineRule="auto"/>
              <w:jc w:val="center"/>
              <w:rPr>
                <w:rFonts w:ascii="Arial" w:eastAsia="Times New Roman" w:hAnsi="Arial" w:cs="Arial"/>
                <w:kern w:val="0"/>
                <w:sz w:val="20"/>
                <w:szCs w:val="20"/>
                <w14:ligatures w14:val="none"/>
              </w:rPr>
            </w:pPr>
            <w:r w:rsidRPr="00EF329E">
              <w:rPr>
                <w:rFonts w:ascii="Arial" w:eastAsia="Times New Roman" w:hAnsi="Arial" w:cs="Arial"/>
                <w:color w:val="FF0000"/>
                <w:kern w:val="0"/>
                <w:sz w:val="20"/>
                <w:szCs w:val="20"/>
                <w14:ligatures w14:val="none"/>
              </w:rPr>
              <w:t>LIQUIDITY RATIO</w:t>
            </w:r>
          </w:p>
        </w:tc>
      </w:tr>
      <w:tr w:rsidR="00923F6C" w:rsidRPr="008A02BA" w14:paraId="7190390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69C12310" w14:textId="77777777" w:rsidR="00923F6C" w:rsidRPr="008A02BA" w:rsidRDefault="00923F6C" w:rsidP="002B72E8">
            <w:pPr>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 xml:space="preserve">Ratios </w:t>
            </w:r>
          </w:p>
        </w:tc>
        <w:tc>
          <w:tcPr>
            <w:tcW w:w="794" w:type="pct"/>
            <w:noWrap/>
            <w:hideMark/>
          </w:tcPr>
          <w:p w14:paraId="316B1B25"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8A02BA">
              <w:rPr>
                <w:rFonts w:ascii="Arial" w:eastAsia="Times New Roman" w:hAnsi="Arial" w:cs="Arial"/>
                <w:b/>
                <w:bCs/>
                <w:color w:val="000000"/>
                <w:kern w:val="0"/>
                <w:sz w:val="20"/>
                <w:szCs w:val="20"/>
                <w14:ligatures w14:val="none"/>
              </w:rPr>
              <w:t>2023</w:t>
            </w:r>
          </w:p>
        </w:tc>
        <w:tc>
          <w:tcPr>
            <w:tcW w:w="794" w:type="pct"/>
            <w:noWrap/>
            <w:hideMark/>
          </w:tcPr>
          <w:p w14:paraId="74FD175B"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8A02BA">
              <w:rPr>
                <w:rFonts w:ascii="Arial" w:eastAsia="Times New Roman" w:hAnsi="Arial" w:cs="Arial"/>
                <w:b/>
                <w:bCs/>
                <w:color w:val="000000"/>
                <w:kern w:val="0"/>
                <w:sz w:val="20"/>
                <w:szCs w:val="20"/>
                <w14:ligatures w14:val="none"/>
              </w:rPr>
              <w:t>2022</w:t>
            </w:r>
          </w:p>
        </w:tc>
        <w:tc>
          <w:tcPr>
            <w:tcW w:w="794" w:type="pct"/>
            <w:noWrap/>
            <w:hideMark/>
          </w:tcPr>
          <w:p w14:paraId="2C75F1C0"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8A02BA">
              <w:rPr>
                <w:rFonts w:ascii="Arial" w:eastAsia="Times New Roman" w:hAnsi="Arial" w:cs="Arial"/>
                <w:b/>
                <w:bCs/>
                <w:color w:val="000000"/>
                <w:kern w:val="0"/>
                <w:sz w:val="20"/>
                <w:szCs w:val="20"/>
                <w14:ligatures w14:val="none"/>
              </w:rPr>
              <w:t>2021</w:t>
            </w:r>
          </w:p>
        </w:tc>
        <w:tc>
          <w:tcPr>
            <w:tcW w:w="794" w:type="pct"/>
            <w:noWrap/>
            <w:hideMark/>
          </w:tcPr>
          <w:p w14:paraId="43C8179C"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8A02BA">
              <w:rPr>
                <w:rFonts w:ascii="Arial" w:eastAsia="Times New Roman" w:hAnsi="Arial" w:cs="Arial"/>
                <w:b/>
                <w:bCs/>
                <w:color w:val="000000"/>
                <w:kern w:val="0"/>
                <w:sz w:val="20"/>
                <w:szCs w:val="20"/>
                <w14:ligatures w14:val="none"/>
              </w:rPr>
              <w:t>2020</w:t>
            </w:r>
          </w:p>
        </w:tc>
        <w:tc>
          <w:tcPr>
            <w:tcW w:w="794" w:type="pct"/>
            <w:noWrap/>
            <w:hideMark/>
          </w:tcPr>
          <w:p w14:paraId="6E3E92BC"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8A02BA">
              <w:rPr>
                <w:rFonts w:ascii="Arial" w:eastAsia="Times New Roman" w:hAnsi="Arial" w:cs="Arial"/>
                <w:b/>
                <w:bCs/>
                <w:color w:val="000000"/>
                <w:kern w:val="0"/>
                <w:sz w:val="20"/>
                <w:szCs w:val="20"/>
                <w14:ligatures w14:val="none"/>
              </w:rPr>
              <w:t>2019</w:t>
            </w:r>
          </w:p>
        </w:tc>
      </w:tr>
      <w:tr w:rsidR="00923F6C" w:rsidRPr="008A02BA" w14:paraId="2A9898A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44E959DA" w14:textId="77777777" w:rsidR="00923F6C" w:rsidRPr="008A02BA" w:rsidRDefault="00923F6C" w:rsidP="002B72E8">
            <w:pPr>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 xml:space="preserve">Current ratio </w:t>
            </w:r>
          </w:p>
        </w:tc>
        <w:tc>
          <w:tcPr>
            <w:tcW w:w="794" w:type="pct"/>
            <w:noWrap/>
            <w:hideMark/>
          </w:tcPr>
          <w:p w14:paraId="4728C79A"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4.6</w:t>
            </w:r>
          </w:p>
        </w:tc>
        <w:tc>
          <w:tcPr>
            <w:tcW w:w="794" w:type="pct"/>
            <w:noWrap/>
            <w:hideMark/>
          </w:tcPr>
          <w:p w14:paraId="027E3CC2"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4.0</w:t>
            </w:r>
          </w:p>
        </w:tc>
        <w:tc>
          <w:tcPr>
            <w:tcW w:w="794" w:type="pct"/>
            <w:noWrap/>
            <w:hideMark/>
          </w:tcPr>
          <w:p w14:paraId="3FEDA1D6"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4.</w:t>
            </w:r>
            <w:r>
              <w:rPr>
                <w:rFonts w:ascii="Arial" w:eastAsia="Times New Roman" w:hAnsi="Arial" w:cs="Arial"/>
                <w:color w:val="000000"/>
                <w:kern w:val="0"/>
                <w:sz w:val="20"/>
                <w:szCs w:val="20"/>
                <w14:ligatures w14:val="none"/>
              </w:rPr>
              <w:t>3</w:t>
            </w:r>
          </w:p>
        </w:tc>
        <w:tc>
          <w:tcPr>
            <w:tcW w:w="794" w:type="pct"/>
            <w:noWrap/>
            <w:hideMark/>
          </w:tcPr>
          <w:p w14:paraId="1A6673E6"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3.9</w:t>
            </w:r>
          </w:p>
        </w:tc>
        <w:tc>
          <w:tcPr>
            <w:tcW w:w="794" w:type="pct"/>
            <w:noWrap/>
            <w:hideMark/>
          </w:tcPr>
          <w:p w14:paraId="67791146"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3.3</w:t>
            </w:r>
          </w:p>
        </w:tc>
      </w:tr>
      <w:tr w:rsidR="00923F6C" w:rsidRPr="008A02BA" w14:paraId="5971CCE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3B24F990" w14:textId="77777777" w:rsidR="00923F6C" w:rsidRPr="008A02BA" w:rsidRDefault="00923F6C" w:rsidP="002B72E8">
            <w:pPr>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 xml:space="preserve">Quick ratio </w:t>
            </w:r>
          </w:p>
        </w:tc>
        <w:tc>
          <w:tcPr>
            <w:tcW w:w="794" w:type="pct"/>
            <w:noWrap/>
            <w:hideMark/>
          </w:tcPr>
          <w:p w14:paraId="1486DA50"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1.0</w:t>
            </w:r>
          </w:p>
        </w:tc>
        <w:tc>
          <w:tcPr>
            <w:tcW w:w="794" w:type="pct"/>
            <w:noWrap/>
            <w:hideMark/>
          </w:tcPr>
          <w:p w14:paraId="1471F01A"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0.9</w:t>
            </w:r>
          </w:p>
        </w:tc>
        <w:tc>
          <w:tcPr>
            <w:tcW w:w="794" w:type="pct"/>
            <w:noWrap/>
            <w:hideMark/>
          </w:tcPr>
          <w:p w14:paraId="7214E265"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1.1</w:t>
            </w:r>
          </w:p>
        </w:tc>
        <w:tc>
          <w:tcPr>
            <w:tcW w:w="794" w:type="pct"/>
            <w:noWrap/>
            <w:hideMark/>
          </w:tcPr>
          <w:p w14:paraId="263E2B70"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5</w:t>
            </w:r>
          </w:p>
        </w:tc>
        <w:tc>
          <w:tcPr>
            <w:tcW w:w="794" w:type="pct"/>
            <w:noWrap/>
            <w:hideMark/>
          </w:tcPr>
          <w:p w14:paraId="3A152D26"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0.7</w:t>
            </w:r>
          </w:p>
        </w:tc>
      </w:tr>
      <w:tr w:rsidR="00923F6C" w:rsidRPr="008A02BA" w14:paraId="22EDB95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7DCE289B" w14:textId="77777777" w:rsidR="00923F6C" w:rsidRPr="008A02BA" w:rsidRDefault="00923F6C" w:rsidP="002B72E8">
            <w:pPr>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Cashflow liquidity</w:t>
            </w:r>
          </w:p>
        </w:tc>
        <w:tc>
          <w:tcPr>
            <w:tcW w:w="794" w:type="pct"/>
            <w:noWrap/>
            <w:hideMark/>
          </w:tcPr>
          <w:p w14:paraId="68F8C415"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0.3</w:t>
            </w:r>
          </w:p>
        </w:tc>
        <w:tc>
          <w:tcPr>
            <w:tcW w:w="794" w:type="pct"/>
            <w:noWrap/>
            <w:hideMark/>
          </w:tcPr>
          <w:p w14:paraId="2A874A8C"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0.2</w:t>
            </w:r>
          </w:p>
        </w:tc>
        <w:tc>
          <w:tcPr>
            <w:tcW w:w="794" w:type="pct"/>
            <w:noWrap/>
            <w:hideMark/>
          </w:tcPr>
          <w:p w14:paraId="2343AC6F"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0.7</w:t>
            </w:r>
          </w:p>
        </w:tc>
        <w:tc>
          <w:tcPr>
            <w:tcW w:w="794" w:type="pct"/>
            <w:noWrap/>
            <w:hideMark/>
          </w:tcPr>
          <w:p w14:paraId="763AF46A"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1</w:t>
            </w:r>
          </w:p>
        </w:tc>
        <w:tc>
          <w:tcPr>
            <w:tcW w:w="794" w:type="pct"/>
            <w:noWrap/>
            <w:hideMark/>
          </w:tcPr>
          <w:p w14:paraId="4EBF7B65" w14:textId="77777777" w:rsidR="00923F6C" w:rsidRPr="008A02B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8A02BA">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2</w:t>
            </w:r>
          </w:p>
        </w:tc>
      </w:tr>
    </w:tbl>
    <w:p w14:paraId="14EB3A49" w14:textId="77777777" w:rsidR="00923F6C" w:rsidRDefault="00923F6C" w:rsidP="00923F6C">
      <w:pPr>
        <w:spacing w:line="360" w:lineRule="auto"/>
        <w:jc w:val="both"/>
        <w:rPr>
          <w:rFonts w:ascii="Arial" w:hAnsi="Arial" w:cs="Arial"/>
          <w:sz w:val="24"/>
          <w:szCs w:val="24"/>
        </w:rPr>
      </w:pPr>
    </w:p>
    <w:p w14:paraId="6DAC8971" w14:textId="77777777" w:rsidR="006A0411" w:rsidRPr="00FB647C" w:rsidRDefault="006A0411" w:rsidP="00923F6C">
      <w:pPr>
        <w:spacing w:line="360" w:lineRule="auto"/>
        <w:jc w:val="both"/>
        <w:rPr>
          <w:rFonts w:ascii="Arial" w:hAnsi="Arial" w:cs="Arial"/>
          <w:sz w:val="24"/>
          <w:szCs w:val="24"/>
        </w:rPr>
      </w:pPr>
    </w:p>
    <w:tbl>
      <w:tblPr>
        <w:tblStyle w:val="GridTable1Light-Accent2"/>
        <w:tblW w:w="5000" w:type="pct"/>
        <w:tblLook w:val="04A0" w:firstRow="1" w:lastRow="0" w:firstColumn="1" w:lastColumn="0" w:noHBand="0" w:noVBand="1"/>
      </w:tblPr>
      <w:tblGrid>
        <w:gridCol w:w="1928"/>
        <w:gridCol w:w="1484"/>
        <w:gridCol w:w="1485"/>
        <w:gridCol w:w="1485"/>
        <w:gridCol w:w="1485"/>
        <w:gridCol w:w="1483"/>
      </w:tblGrid>
      <w:tr w:rsidR="00923F6C" w:rsidRPr="005C6F9E" w14:paraId="7CFBDC9F" w14:textId="77777777" w:rsidTr="00C64D0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FADFF"/>
            <w:noWrap/>
            <w:hideMark/>
          </w:tcPr>
          <w:p w14:paraId="1F27BE8A"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THE BERKELEY GROUP HOLDINGS PLC</w:t>
            </w:r>
          </w:p>
          <w:p w14:paraId="52C57A91" w14:textId="77777777" w:rsidR="00923F6C" w:rsidRPr="005C6F9E" w:rsidRDefault="00923F6C" w:rsidP="002B72E8">
            <w:pPr>
              <w:spacing w:line="360" w:lineRule="auto"/>
              <w:jc w:val="center"/>
              <w:rPr>
                <w:rFonts w:ascii="Arial" w:eastAsia="Times New Roman" w:hAnsi="Arial" w:cs="Arial"/>
                <w:kern w:val="0"/>
                <w:sz w:val="20"/>
                <w:szCs w:val="20"/>
                <w14:ligatures w14:val="none"/>
              </w:rPr>
            </w:pPr>
            <w:r w:rsidRPr="00EF329E">
              <w:rPr>
                <w:rFonts w:ascii="Arial" w:eastAsia="Times New Roman" w:hAnsi="Arial" w:cs="Arial"/>
                <w:color w:val="FF0000"/>
                <w:kern w:val="0"/>
                <w:sz w:val="20"/>
                <w:szCs w:val="20"/>
                <w14:ligatures w14:val="none"/>
              </w:rPr>
              <w:t>LIQUIDITY RATIO</w:t>
            </w:r>
          </w:p>
        </w:tc>
      </w:tr>
      <w:tr w:rsidR="00923F6C" w:rsidRPr="005C6F9E" w14:paraId="19742E4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654BB8B2" w14:textId="77777777" w:rsidR="00923F6C" w:rsidRPr="005C6F9E" w:rsidRDefault="00923F6C" w:rsidP="002B72E8">
            <w:pPr>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 xml:space="preserve">Ratios </w:t>
            </w:r>
          </w:p>
        </w:tc>
        <w:tc>
          <w:tcPr>
            <w:tcW w:w="794" w:type="pct"/>
            <w:noWrap/>
            <w:hideMark/>
          </w:tcPr>
          <w:p w14:paraId="24F96519"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5C6F9E">
              <w:rPr>
                <w:rFonts w:ascii="Arial" w:eastAsia="Times New Roman" w:hAnsi="Arial" w:cs="Arial"/>
                <w:b/>
                <w:bCs/>
                <w:color w:val="000000"/>
                <w:kern w:val="0"/>
                <w:sz w:val="20"/>
                <w:szCs w:val="20"/>
                <w14:ligatures w14:val="none"/>
              </w:rPr>
              <w:t>2023</w:t>
            </w:r>
          </w:p>
        </w:tc>
        <w:tc>
          <w:tcPr>
            <w:tcW w:w="794" w:type="pct"/>
            <w:noWrap/>
            <w:hideMark/>
          </w:tcPr>
          <w:p w14:paraId="0EA84128"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5C6F9E">
              <w:rPr>
                <w:rFonts w:ascii="Arial" w:eastAsia="Times New Roman" w:hAnsi="Arial" w:cs="Arial"/>
                <w:b/>
                <w:bCs/>
                <w:color w:val="000000"/>
                <w:kern w:val="0"/>
                <w:sz w:val="20"/>
                <w:szCs w:val="20"/>
                <w14:ligatures w14:val="none"/>
              </w:rPr>
              <w:t>2022</w:t>
            </w:r>
          </w:p>
        </w:tc>
        <w:tc>
          <w:tcPr>
            <w:tcW w:w="794" w:type="pct"/>
            <w:noWrap/>
            <w:hideMark/>
          </w:tcPr>
          <w:p w14:paraId="67D86389"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5C6F9E">
              <w:rPr>
                <w:rFonts w:ascii="Arial" w:eastAsia="Times New Roman" w:hAnsi="Arial" w:cs="Arial"/>
                <w:b/>
                <w:bCs/>
                <w:color w:val="000000"/>
                <w:kern w:val="0"/>
                <w:sz w:val="20"/>
                <w:szCs w:val="20"/>
                <w14:ligatures w14:val="none"/>
              </w:rPr>
              <w:t>2021</w:t>
            </w:r>
          </w:p>
        </w:tc>
        <w:tc>
          <w:tcPr>
            <w:tcW w:w="794" w:type="pct"/>
            <w:noWrap/>
            <w:hideMark/>
          </w:tcPr>
          <w:p w14:paraId="736F6DF6"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5C6F9E">
              <w:rPr>
                <w:rFonts w:ascii="Arial" w:eastAsia="Times New Roman" w:hAnsi="Arial" w:cs="Arial"/>
                <w:b/>
                <w:bCs/>
                <w:color w:val="000000"/>
                <w:kern w:val="0"/>
                <w:sz w:val="20"/>
                <w:szCs w:val="20"/>
                <w14:ligatures w14:val="none"/>
              </w:rPr>
              <w:t>2020</w:t>
            </w:r>
          </w:p>
        </w:tc>
        <w:tc>
          <w:tcPr>
            <w:tcW w:w="793" w:type="pct"/>
            <w:noWrap/>
            <w:hideMark/>
          </w:tcPr>
          <w:p w14:paraId="14DA657D"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5C6F9E">
              <w:rPr>
                <w:rFonts w:ascii="Arial" w:eastAsia="Times New Roman" w:hAnsi="Arial" w:cs="Arial"/>
                <w:b/>
                <w:bCs/>
                <w:color w:val="000000"/>
                <w:kern w:val="0"/>
                <w:sz w:val="20"/>
                <w:szCs w:val="20"/>
                <w14:ligatures w14:val="none"/>
              </w:rPr>
              <w:t>2019</w:t>
            </w:r>
          </w:p>
        </w:tc>
      </w:tr>
      <w:tr w:rsidR="00923F6C" w:rsidRPr="005C6F9E" w14:paraId="4CD5F32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1920004F" w14:textId="77777777" w:rsidR="00923F6C" w:rsidRPr="005C6F9E" w:rsidRDefault="00923F6C" w:rsidP="002B72E8">
            <w:pPr>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 xml:space="preserve">Current ratio </w:t>
            </w:r>
          </w:p>
        </w:tc>
        <w:tc>
          <w:tcPr>
            <w:tcW w:w="794" w:type="pct"/>
            <w:noWrap/>
            <w:hideMark/>
          </w:tcPr>
          <w:p w14:paraId="7BB8981C"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3.4</w:t>
            </w:r>
          </w:p>
        </w:tc>
        <w:tc>
          <w:tcPr>
            <w:tcW w:w="794" w:type="pct"/>
            <w:noWrap/>
            <w:hideMark/>
          </w:tcPr>
          <w:p w14:paraId="73B059F6"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3.</w:t>
            </w:r>
            <w:r>
              <w:rPr>
                <w:rFonts w:ascii="Arial" w:eastAsia="Times New Roman" w:hAnsi="Arial" w:cs="Arial"/>
                <w:color w:val="000000"/>
                <w:kern w:val="0"/>
                <w:sz w:val="20"/>
                <w:szCs w:val="20"/>
                <w14:ligatures w14:val="none"/>
              </w:rPr>
              <w:t>2</w:t>
            </w:r>
          </w:p>
        </w:tc>
        <w:tc>
          <w:tcPr>
            <w:tcW w:w="794" w:type="pct"/>
            <w:noWrap/>
            <w:hideMark/>
          </w:tcPr>
          <w:p w14:paraId="4F7832DE"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3.</w:t>
            </w:r>
            <w:r>
              <w:rPr>
                <w:rFonts w:ascii="Arial" w:eastAsia="Times New Roman" w:hAnsi="Arial" w:cs="Arial"/>
                <w:color w:val="000000"/>
                <w:kern w:val="0"/>
                <w:sz w:val="20"/>
                <w:szCs w:val="20"/>
                <w14:ligatures w14:val="none"/>
              </w:rPr>
              <w:t>1</w:t>
            </w:r>
          </w:p>
        </w:tc>
        <w:tc>
          <w:tcPr>
            <w:tcW w:w="794" w:type="pct"/>
            <w:noWrap/>
            <w:hideMark/>
          </w:tcPr>
          <w:p w14:paraId="51445C45"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2.7</w:t>
            </w:r>
          </w:p>
        </w:tc>
        <w:tc>
          <w:tcPr>
            <w:tcW w:w="793" w:type="pct"/>
            <w:noWrap/>
            <w:hideMark/>
          </w:tcPr>
          <w:p w14:paraId="469492F1"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2.8</w:t>
            </w:r>
          </w:p>
        </w:tc>
      </w:tr>
      <w:tr w:rsidR="00923F6C" w:rsidRPr="005C6F9E" w14:paraId="3249CF3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46DE0392" w14:textId="77777777" w:rsidR="00923F6C" w:rsidRPr="005C6F9E" w:rsidRDefault="00923F6C" w:rsidP="002B72E8">
            <w:pPr>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 xml:space="preserve">Quick ratio </w:t>
            </w:r>
          </w:p>
        </w:tc>
        <w:tc>
          <w:tcPr>
            <w:tcW w:w="794" w:type="pct"/>
            <w:noWrap/>
            <w:hideMark/>
          </w:tcPr>
          <w:p w14:paraId="4E3BE12A"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0.6</w:t>
            </w:r>
          </w:p>
        </w:tc>
        <w:tc>
          <w:tcPr>
            <w:tcW w:w="794" w:type="pct"/>
            <w:noWrap/>
            <w:hideMark/>
          </w:tcPr>
          <w:p w14:paraId="6A39DC07"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0.5</w:t>
            </w:r>
          </w:p>
        </w:tc>
        <w:tc>
          <w:tcPr>
            <w:tcW w:w="794" w:type="pct"/>
            <w:noWrap/>
            <w:hideMark/>
          </w:tcPr>
          <w:p w14:paraId="48BAD53B"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9</w:t>
            </w:r>
          </w:p>
        </w:tc>
        <w:tc>
          <w:tcPr>
            <w:tcW w:w="794" w:type="pct"/>
            <w:noWrap/>
            <w:hideMark/>
          </w:tcPr>
          <w:p w14:paraId="4293065C"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9</w:t>
            </w:r>
          </w:p>
        </w:tc>
        <w:tc>
          <w:tcPr>
            <w:tcW w:w="793" w:type="pct"/>
            <w:noWrap/>
            <w:hideMark/>
          </w:tcPr>
          <w:p w14:paraId="1D67CDAB"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9</w:t>
            </w:r>
          </w:p>
        </w:tc>
      </w:tr>
      <w:tr w:rsidR="00923F6C" w:rsidRPr="005C6F9E" w14:paraId="50C8B13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1031" w:type="pct"/>
            <w:noWrap/>
            <w:hideMark/>
          </w:tcPr>
          <w:p w14:paraId="549F76BA" w14:textId="77777777" w:rsidR="00923F6C" w:rsidRPr="005C6F9E" w:rsidRDefault="00923F6C" w:rsidP="002B72E8">
            <w:pPr>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Cashflow liquidity</w:t>
            </w:r>
          </w:p>
        </w:tc>
        <w:tc>
          <w:tcPr>
            <w:tcW w:w="794" w:type="pct"/>
            <w:noWrap/>
            <w:hideMark/>
          </w:tcPr>
          <w:p w14:paraId="049AA02E"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2</w:t>
            </w:r>
          </w:p>
        </w:tc>
        <w:tc>
          <w:tcPr>
            <w:tcW w:w="794" w:type="pct"/>
            <w:noWrap/>
            <w:hideMark/>
          </w:tcPr>
          <w:p w14:paraId="3AFFB9B0"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1</w:t>
            </w:r>
          </w:p>
        </w:tc>
        <w:tc>
          <w:tcPr>
            <w:tcW w:w="794" w:type="pct"/>
            <w:noWrap/>
            <w:hideMark/>
          </w:tcPr>
          <w:p w14:paraId="7F835885"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2</w:t>
            </w:r>
          </w:p>
        </w:tc>
        <w:tc>
          <w:tcPr>
            <w:tcW w:w="794" w:type="pct"/>
            <w:noWrap/>
            <w:hideMark/>
          </w:tcPr>
          <w:p w14:paraId="6CE7E05F"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2</w:t>
            </w:r>
          </w:p>
        </w:tc>
        <w:tc>
          <w:tcPr>
            <w:tcW w:w="793" w:type="pct"/>
            <w:noWrap/>
            <w:hideMark/>
          </w:tcPr>
          <w:p w14:paraId="169798AC" w14:textId="77777777" w:rsidR="00923F6C" w:rsidRPr="005C6F9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5C6F9E">
              <w:rPr>
                <w:rFonts w:ascii="Arial" w:eastAsia="Times New Roman" w:hAnsi="Arial" w:cs="Arial"/>
                <w:color w:val="000000"/>
                <w:kern w:val="0"/>
                <w:sz w:val="20"/>
                <w:szCs w:val="20"/>
                <w14:ligatures w14:val="none"/>
              </w:rPr>
              <w:t>0.</w:t>
            </w:r>
            <w:r>
              <w:rPr>
                <w:rFonts w:ascii="Arial" w:eastAsia="Times New Roman" w:hAnsi="Arial" w:cs="Arial"/>
                <w:color w:val="000000"/>
                <w:kern w:val="0"/>
                <w:sz w:val="20"/>
                <w:szCs w:val="20"/>
                <w14:ligatures w14:val="none"/>
              </w:rPr>
              <w:t>4</w:t>
            </w:r>
          </w:p>
        </w:tc>
      </w:tr>
    </w:tbl>
    <w:p w14:paraId="3E433D55" w14:textId="77777777" w:rsidR="00923F6C" w:rsidRDefault="00923F6C" w:rsidP="00923F6C">
      <w:pPr>
        <w:tabs>
          <w:tab w:val="left" w:pos="4029"/>
        </w:tabs>
      </w:pPr>
    </w:p>
    <w:p w14:paraId="3494C21E" w14:textId="77777777" w:rsidR="00923F6C" w:rsidRDefault="00923F6C" w:rsidP="00923F6C">
      <w:pPr>
        <w:tabs>
          <w:tab w:val="left" w:pos="4029"/>
        </w:tabs>
      </w:pPr>
    </w:p>
    <w:p w14:paraId="49E7C360" w14:textId="2EF753D4" w:rsidR="00923F6C" w:rsidRDefault="00923F6C" w:rsidP="00923F6C">
      <w:pPr>
        <w:pStyle w:val="ListParagraph"/>
        <w:numPr>
          <w:ilvl w:val="0"/>
          <w:numId w:val="18"/>
        </w:numPr>
        <w:tabs>
          <w:tab w:val="left" w:pos="4029"/>
        </w:tabs>
        <w:spacing w:line="360" w:lineRule="auto"/>
        <w:jc w:val="both"/>
        <w:rPr>
          <w:rFonts w:ascii="Calibri" w:hAnsi="Calibri" w:cs="Calibri"/>
          <w:color w:val="000000" w:themeColor="text1"/>
          <w:sz w:val="24"/>
          <w:szCs w:val="24"/>
        </w:rPr>
      </w:pPr>
      <w:bookmarkStart w:id="12" w:name="_Toc165496489"/>
      <w:r w:rsidRPr="00AE6A95">
        <w:rPr>
          <w:rStyle w:val="Heading3Char"/>
          <w:rFonts w:ascii="Calibri" w:eastAsiaTheme="majorEastAsia" w:hAnsi="Calibri" w:cs="Calibri"/>
          <w:sz w:val="24"/>
          <w:szCs w:val="24"/>
        </w:rPr>
        <w:t>Current Ratio</w:t>
      </w:r>
      <w:bookmarkEnd w:id="12"/>
      <w:r w:rsidR="00B343D4">
        <w:rPr>
          <w:rFonts w:ascii="Calibri" w:hAnsi="Calibri" w:cs="Calibri"/>
          <w:color w:val="000000" w:themeColor="text1"/>
          <w:sz w:val="24"/>
          <w:szCs w:val="24"/>
        </w:rPr>
        <w:t>:</w:t>
      </w:r>
      <w:r w:rsidR="006A0411">
        <w:rPr>
          <w:rFonts w:ascii="Calibri" w:hAnsi="Calibri" w:cs="Calibri"/>
          <w:color w:val="000000" w:themeColor="text1"/>
          <w:sz w:val="24"/>
          <w:szCs w:val="24"/>
        </w:rPr>
        <w:t xml:space="preserve"> </w:t>
      </w:r>
      <w:r w:rsidRPr="000B63B3">
        <w:rPr>
          <w:rFonts w:ascii="Calibri" w:hAnsi="Calibri" w:cs="Calibri"/>
          <w:color w:val="000000" w:themeColor="text1"/>
          <w:sz w:val="24"/>
          <w:szCs w:val="24"/>
        </w:rPr>
        <w:t xml:space="preserve">Barratt Development PLC has a current ratio ranging from 3.3 in 2019 to 4.6 in 2023. This indicates a strong ability to cover short-term liabilities with current assets, which has improved over the years. </w:t>
      </w:r>
      <w:r>
        <w:rPr>
          <w:rFonts w:ascii="Calibri" w:hAnsi="Calibri" w:cs="Calibri"/>
          <w:color w:val="000000" w:themeColor="text1"/>
          <w:sz w:val="24"/>
          <w:szCs w:val="24"/>
        </w:rPr>
        <w:t>On the other hand,</w:t>
      </w:r>
      <w:r w:rsidRPr="000B63B3">
        <w:rPr>
          <w:rFonts w:ascii="Calibri" w:hAnsi="Calibri" w:cs="Calibri"/>
          <w:color w:val="000000" w:themeColor="text1"/>
          <w:sz w:val="24"/>
          <w:szCs w:val="24"/>
        </w:rPr>
        <w:t xml:space="preserve"> Berkeley Group Holdings PLC shows a lower current ratio than Barratt Development PLC over the same period, ranging from 2.7 in 2020 to 3.4 in 2023. It is also improving, but not as high as Barratt's, indicating a comparatively weaker but adequate short-term financial health.</w:t>
      </w:r>
    </w:p>
    <w:p w14:paraId="7C2C384F" w14:textId="77777777" w:rsidR="006A0411" w:rsidRDefault="006A0411" w:rsidP="006A0411">
      <w:pPr>
        <w:pStyle w:val="ListParagraph"/>
        <w:tabs>
          <w:tab w:val="left" w:pos="4029"/>
        </w:tabs>
        <w:spacing w:line="360" w:lineRule="auto"/>
        <w:ind w:left="360"/>
        <w:jc w:val="both"/>
        <w:rPr>
          <w:rFonts w:ascii="Calibri" w:hAnsi="Calibri" w:cs="Calibri"/>
          <w:color w:val="000000" w:themeColor="text1"/>
          <w:sz w:val="24"/>
          <w:szCs w:val="24"/>
        </w:rPr>
      </w:pPr>
    </w:p>
    <w:p w14:paraId="2642FEAA" w14:textId="77777777" w:rsidR="00520157" w:rsidRPr="000B63B3" w:rsidRDefault="00520157" w:rsidP="00520157">
      <w:pPr>
        <w:pStyle w:val="ListParagraph"/>
        <w:tabs>
          <w:tab w:val="left" w:pos="4029"/>
        </w:tabs>
        <w:spacing w:line="360" w:lineRule="auto"/>
        <w:ind w:left="360"/>
        <w:jc w:val="both"/>
        <w:rPr>
          <w:rFonts w:ascii="Calibri" w:hAnsi="Calibri" w:cs="Calibri"/>
          <w:color w:val="000000" w:themeColor="text1"/>
          <w:sz w:val="24"/>
          <w:szCs w:val="24"/>
        </w:rPr>
      </w:pPr>
    </w:p>
    <w:p w14:paraId="5B3F28D8" w14:textId="3C089AA7" w:rsidR="00923F6C" w:rsidRDefault="00923F6C" w:rsidP="00923F6C">
      <w:pPr>
        <w:pStyle w:val="ListParagraph"/>
        <w:numPr>
          <w:ilvl w:val="0"/>
          <w:numId w:val="18"/>
        </w:numPr>
        <w:spacing w:line="360" w:lineRule="auto"/>
        <w:jc w:val="both"/>
        <w:rPr>
          <w:rFonts w:ascii="Calibri" w:hAnsi="Calibri" w:cs="Calibri"/>
          <w:color w:val="000000" w:themeColor="text1"/>
          <w:sz w:val="24"/>
          <w:szCs w:val="24"/>
        </w:rPr>
      </w:pPr>
      <w:bookmarkStart w:id="13" w:name="_Toc165496490"/>
      <w:r w:rsidRPr="00AE6A95">
        <w:rPr>
          <w:rStyle w:val="Heading3Char"/>
          <w:rFonts w:ascii="Calibri" w:eastAsiaTheme="majorEastAsia" w:hAnsi="Calibri" w:cs="Calibri"/>
          <w:sz w:val="24"/>
          <w:szCs w:val="24"/>
        </w:rPr>
        <w:lastRenderedPageBreak/>
        <w:t>Quick Ratio</w:t>
      </w:r>
      <w:bookmarkEnd w:id="13"/>
      <w:r w:rsidRPr="000B63B3">
        <w:rPr>
          <w:rFonts w:ascii="Calibri" w:hAnsi="Calibri" w:cs="Calibri"/>
          <w:color w:val="000000" w:themeColor="text1"/>
          <w:sz w:val="24"/>
          <w:szCs w:val="24"/>
        </w:rPr>
        <w:t>: Barratt Development PLC has a quick ratio</w:t>
      </w:r>
      <w:r w:rsidR="00B343D4">
        <w:rPr>
          <w:rFonts w:ascii="Calibri" w:hAnsi="Calibri" w:cs="Calibri"/>
          <w:color w:val="000000" w:themeColor="text1"/>
          <w:sz w:val="24"/>
          <w:szCs w:val="24"/>
        </w:rPr>
        <w:t xml:space="preserve"> </w:t>
      </w:r>
      <w:r w:rsidRPr="000B63B3">
        <w:rPr>
          <w:rFonts w:ascii="Calibri" w:hAnsi="Calibri" w:cs="Calibri"/>
          <w:color w:val="000000" w:themeColor="text1"/>
          <w:sz w:val="24"/>
          <w:szCs w:val="24"/>
        </w:rPr>
        <w:t xml:space="preserve">starting at 0.7 in 2019 and rising to 1.0 in 2023. This indicates that even without inventory, the company can cover its short-term liabilities, but it's closer to the edge than when considering the current ratio. </w:t>
      </w:r>
      <w:r>
        <w:rPr>
          <w:rFonts w:ascii="Calibri" w:hAnsi="Calibri" w:cs="Calibri"/>
          <w:color w:val="000000" w:themeColor="text1"/>
          <w:sz w:val="24"/>
          <w:szCs w:val="24"/>
        </w:rPr>
        <w:t>On the other hand,</w:t>
      </w:r>
      <w:r w:rsidRPr="000B63B3">
        <w:rPr>
          <w:rFonts w:ascii="Calibri" w:hAnsi="Calibri" w:cs="Calibri"/>
          <w:color w:val="000000" w:themeColor="text1"/>
          <w:sz w:val="24"/>
          <w:szCs w:val="24"/>
        </w:rPr>
        <w:t xml:space="preserve"> Berkeley Group Holdings PLC has a quick ratio significantly lower than Barratt’s, moving from 0.5 in 2022 to 0.6 in 2023. This suggests that Berkeley's most liquid assets are less when it comes to covering short-term liabilities compared to Barratt.</w:t>
      </w:r>
    </w:p>
    <w:p w14:paraId="210EC0AF" w14:textId="77777777" w:rsidR="00923F6C" w:rsidRPr="000B63B3" w:rsidRDefault="00923F6C" w:rsidP="00923F6C">
      <w:pPr>
        <w:pStyle w:val="ListParagraph"/>
        <w:spacing w:line="360" w:lineRule="auto"/>
        <w:ind w:left="360"/>
        <w:jc w:val="both"/>
        <w:rPr>
          <w:rFonts w:ascii="Calibri" w:hAnsi="Calibri" w:cs="Calibri"/>
          <w:color w:val="000000" w:themeColor="text1"/>
          <w:sz w:val="24"/>
          <w:szCs w:val="24"/>
        </w:rPr>
      </w:pPr>
    </w:p>
    <w:p w14:paraId="52A51DE0" w14:textId="135F7EF6" w:rsidR="00026385" w:rsidRDefault="00923F6C" w:rsidP="00F374C3">
      <w:pPr>
        <w:pStyle w:val="ListParagraph"/>
        <w:numPr>
          <w:ilvl w:val="0"/>
          <w:numId w:val="18"/>
        </w:numPr>
        <w:spacing w:line="360" w:lineRule="auto"/>
        <w:jc w:val="both"/>
        <w:rPr>
          <w:rFonts w:ascii="Calibri" w:hAnsi="Calibri" w:cs="Calibri"/>
          <w:color w:val="000000" w:themeColor="text1"/>
          <w:sz w:val="24"/>
          <w:szCs w:val="24"/>
        </w:rPr>
      </w:pPr>
      <w:bookmarkStart w:id="14" w:name="_Toc165496491"/>
      <w:r w:rsidRPr="00AE6A95">
        <w:rPr>
          <w:rStyle w:val="Heading3Char"/>
          <w:rFonts w:ascii="Calibri" w:eastAsiaTheme="majorEastAsia" w:hAnsi="Calibri" w:cs="Calibri"/>
          <w:sz w:val="24"/>
          <w:szCs w:val="24"/>
        </w:rPr>
        <w:t>Cashflow Liquidity Ratio</w:t>
      </w:r>
      <w:bookmarkEnd w:id="14"/>
      <w:r w:rsidRPr="000B63B3">
        <w:rPr>
          <w:rFonts w:ascii="Calibri" w:hAnsi="Calibri" w:cs="Calibri"/>
          <w:color w:val="000000" w:themeColor="text1"/>
          <w:sz w:val="24"/>
          <w:szCs w:val="24"/>
        </w:rPr>
        <w:t xml:space="preserve">: Barratt Development PLC shows a rising trend from 0.2 in 2019 to 0.3 in 2023, except for a dip into negative territory in 2020. This indicates volatility in its ability to cover liabilities with cash from operations. </w:t>
      </w:r>
      <w:r>
        <w:rPr>
          <w:rFonts w:ascii="Calibri" w:hAnsi="Calibri" w:cs="Calibri"/>
          <w:color w:val="000000" w:themeColor="text1"/>
          <w:sz w:val="24"/>
          <w:szCs w:val="24"/>
        </w:rPr>
        <w:t>On the other hand,</w:t>
      </w:r>
      <w:r w:rsidRPr="000B63B3">
        <w:rPr>
          <w:rFonts w:ascii="Calibri" w:hAnsi="Calibri" w:cs="Calibri"/>
          <w:color w:val="000000" w:themeColor="text1"/>
          <w:sz w:val="24"/>
          <w:szCs w:val="24"/>
        </w:rPr>
        <w:t xml:space="preserve"> Berkeley Group Holdings PLC has a more variable cashflow liquidity ratio, with a negative value in 2022, suggesting it had issues covering liabilities with operating cash flow that year. In 2023, it has a ratio of 0.2, which is lower than Barratt's 0.3, indicating weaker performance in generating liquidity from operations.</w:t>
      </w:r>
    </w:p>
    <w:p w14:paraId="34E45760" w14:textId="77777777" w:rsidR="00F374C3" w:rsidRPr="00F374C3" w:rsidRDefault="00F374C3" w:rsidP="00F374C3">
      <w:pPr>
        <w:pStyle w:val="ListParagraph"/>
        <w:rPr>
          <w:rFonts w:ascii="Calibri" w:hAnsi="Calibri" w:cs="Calibri"/>
          <w:color w:val="000000" w:themeColor="text1"/>
          <w:sz w:val="24"/>
          <w:szCs w:val="24"/>
        </w:rPr>
      </w:pPr>
    </w:p>
    <w:p w14:paraId="0FAB2CDA" w14:textId="77777777" w:rsidR="00F374C3" w:rsidRPr="00F374C3" w:rsidRDefault="00F374C3" w:rsidP="00F374C3">
      <w:pPr>
        <w:pStyle w:val="ListParagraph"/>
        <w:spacing w:line="360" w:lineRule="auto"/>
        <w:ind w:left="360"/>
        <w:jc w:val="both"/>
        <w:rPr>
          <w:rFonts w:ascii="Calibri" w:hAnsi="Calibri" w:cs="Calibri"/>
          <w:color w:val="000000" w:themeColor="text1"/>
          <w:sz w:val="24"/>
          <w:szCs w:val="24"/>
        </w:rPr>
      </w:pPr>
    </w:p>
    <w:p w14:paraId="474F4628" w14:textId="66CDC96C" w:rsidR="00923F6C" w:rsidRDefault="00745DBF" w:rsidP="00923F6C">
      <w:pPr>
        <w:tabs>
          <w:tab w:val="left" w:pos="4029"/>
        </w:tabs>
        <w:spacing w:line="360" w:lineRule="auto"/>
        <w:jc w:val="both"/>
        <w:rPr>
          <w:rFonts w:ascii="Calibri" w:hAnsi="Calibri" w:cs="Calibri"/>
          <w:color w:val="000000" w:themeColor="text1"/>
          <w:sz w:val="24"/>
          <w:szCs w:val="24"/>
        </w:rPr>
      </w:pPr>
      <w:r>
        <w:rPr>
          <w:rFonts w:ascii="Calibri" w:hAnsi="Calibri" w:cs="Calibri"/>
          <w:color w:val="000000" w:themeColor="text1"/>
          <w:sz w:val="24"/>
          <w:szCs w:val="24"/>
        </w:rPr>
        <w:t xml:space="preserve">As shown in Figure 1, </w:t>
      </w:r>
      <w:r w:rsidR="00923F6C" w:rsidRPr="000B63B3">
        <w:rPr>
          <w:rFonts w:ascii="Calibri" w:hAnsi="Calibri" w:cs="Calibri"/>
          <w:color w:val="000000" w:themeColor="text1"/>
          <w:sz w:val="24"/>
          <w:szCs w:val="24"/>
        </w:rPr>
        <w:t xml:space="preserve">Barratt Development PLC generally shows stronger liquidity across all three ratios </w:t>
      </w:r>
      <w:r w:rsidR="00923F6C">
        <w:rPr>
          <w:rFonts w:ascii="Calibri" w:hAnsi="Calibri" w:cs="Calibri"/>
          <w:color w:val="000000" w:themeColor="text1"/>
          <w:sz w:val="24"/>
          <w:szCs w:val="24"/>
        </w:rPr>
        <w:t>than</w:t>
      </w:r>
      <w:r w:rsidR="00923F6C" w:rsidRPr="000B63B3">
        <w:rPr>
          <w:rFonts w:ascii="Calibri" w:hAnsi="Calibri" w:cs="Calibri"/>
          <w:color w:val="000000" w:themeColor="text1"/>
          <w:sz w:val="24"/>
          <w:szCs w:val="24"/>
        </w:rPr>
        <w:t xml:space="preserve"> The Berkeley Group Holdings PLC. Barratt has improved its liquidity position from 2019 to 2023, while Berkeley also shows improvement but to a lesser extent</w:t>
      </w:r>
      <w:r>
        <w:rPr>
          <w:rFonts w:ascii="Calibri" w:hAnsi="Calibri" w:cs="Calibri"/>
          <w:color w:val="000000" w:themeColor="text1"/>
          <w:sz w:val="24"/>
          <w:szCs w:val="24"/>
        </w:rPr>
        <w:t>, as shown in Figure 2</w:t>
      </w:r>
      <w:r w:rsidR="00923F6C" w:rsidRPr="000B63B3">
        <w:rPr>
          <w:rFonts w:ascii="Calibri" w:hAnsi="Calibri" w:cs="Calibri"/>
          <w:color w:val="000000" w:themeColor="text1"/>
          <w:sz w:val="24"/>
          <w:szCs w:val="24"/>
        </w:rPr>
        <w:t xml:space="preserve">. </w:t>
      </w:r>
      <w:r w:rsidR="00026385" w:rsidRPr="00026385">
        <w:rPr>
          <w:rFonts w:ascii="Calibri" w:hAnsi="Calibri" w:cs="Calibri"/>
          <w:color w:val="000000" w:themeColor="text1"/>
          <w:sz w:val="24"/>
          <w:szCs w:val="24"/>
        </w:rPr>
        <w:t>Barratt's greater quick ratio shows that the company is in a stronger position to pay its short-term debts, which is important during erratic economic times. For both businesses, the cash flow to liquidity ratio indicates fluctuations from year to year. Nevertheless, Barratt continues its upward trajectory, demonstrating a steadier capacity to produce cash flow to meet short-term obligations</w:t>
      </w:r>
      <w:r w:rsidR="00923F6C" w:rsidRPr="000B63B3">
        <w:rPr>
          <w:rFonts w:ascii="Calibri" w:hAnsi="Calibri" w:cs="Calibri"/>
          <w:color w:val="000000" w:themeColor="text1"/>
          <w:sz w:val="24"/>
          <w:szCs w:val="24"/>
        </w:rPr>
        <w:t>.</w:t>
      </w:r>
      <w:r w:rsidR="00923F6C">
        <w:rPr>
          <w:rFonts w:ascii="Calibri" w:hAnsi="Calibri" w:cs="Calibri"/>
          <w:color w:val="000000" w:themeColor="text1"/>
          <w:sz w:val="24"/>
          <w:szCs w:val="24"/>
        </w:rPr>
        <w:t xml:space="preserve"> T</w:t>
      </w:r>
      <w:r w:rsidR="00923F6C" w:rsidRPr="00B93CE5">
        <w:rPr>
          <w:rFonts w:ascii="Calibri" w:hAnsi="Calibri" w:cs="Calibri"/>
          <w:color w:val="000000" w:themeColor="text1"/>
          <w:sz w:val="24"/>
          <w:szCs w:val="24"/>
        </w:rPr>
        <w:t xml:space="preserve">he liquidity ratio of Barratt Development PLC </w:t>
      </w:r>
      <w:r w:rsidR="00520157" w:rsidRPr="00B93CE5">
        <w:rPr>
          <w:rFonts w:ascii="Calibri" w:hAnsi="Calibri" w:cs="Calibri"/>
          <w:color w:val="000000" w:themeColor="text1"/>
          <w:sz w:val="24"/>
          <w:szCs w:val="24"/>
        </w:rPr>
        <w:t>and Berkeley</w:t>
      </w:r>
      <w:r w:rsidR="00923F6C" w:rsidRPr="00B93CE5">
        <w:rPr>
          <w:rFonts w:ascii="Calibri" w:hAnsi="Calibri" w:cs="Calibri"/>
          <w:color w:val="000000" w:themeColor="text1"/>
          <w:sz w:val="24"/>
          <w:szCs w:val="24"/>
        </w:rPr>
        <w:t xml:space="preserve"> Group Holdings PLC </w:t>
      </w:r>
      <w:r w:rsidR="00026385">
        <w:rPr>
          <w:rFonts w:ascii="Calibri" w:hAnsi="Calibri" w:cs="Calibri"/>
          <w:color w:val="000000" w:themeColor="text1"/>
          <w:sz w:val="24"/>
          <w:szCs w:val="24"/>
        </w:rPr>
        <w:t>is</w:t>
      </w:r>
      <w:r w:rsidR="00923F6C" w:rsidRPr="00B93CE5">
        <w:rPr>
          <w:rFonts w:ascii="Calibri" w:hAnsi="Calibri" w:cs="Calibri"/>
          <w:color w:val="000000" w:themeColor="text1"/>
          <w:sz w:val="24"/>
          <w:szCs w:val="24"/>
        </w:rPr>
        <w:t xml:space="preserve"> likely influenced by a combination of factors related to their industry dynamics, operational efficiency, </w:t>
      </w:r>
      <w:r w:rsidR="00923F6C">
        <w:rPr>
          <w:rFonts w:ascii="Calibri" w:hAnsi="Calibri" w:cs="Calibri"/>
          <w:color w:val="000000" w:themeColor="text1"/>
          <w:sz w:val="24"/>
          <w:szCs w:val="24"/>
        </w:rPr>
        <w:t>higher profitability, efficient working capital</w:t>
      </w:r>
      <w:r w:rsidR="00923F6C" w:rsidRPr="00B93CE5">
        <w:rPr>
          <w:rFonts w:ascii="Calibri" w:hAnsi="Calibri" w:cs="Calibri"/>
          <w:color w:val="000000" w:themeColor="text1"/>
          <w:sz w:val="24"/>
          <w:szCs w:val="24"/>
        </w:rPr>
        <w:t xml:space="preserve"> managemen</w:t>
      </w:r>
      <w:r w:rsidR="00923F6C">
        <w:rPr>
          <w:rFonts w:ascii="Calibri" w:hAnsi="Calibri" w:cs="Calibri"/>
          <w:color w:val="000000" w:themeColor="text1"/>
          <w:sz w:val="24"/>
          <w:szCs w:val="24"/>
        </w:rPr>
        <w:t>t</w:t>
      </w:r>
      <w:r w:rsidR="00923F6C" w:rsidRPr="00B93CE5">
        <w:rPr>
          <w:rFonts w:ascii="Calibri" w:hAnsi="Calibri" w:cs="Calibri"/>
          <w:color w:val="000000" w:themeColor="text1"/>
          <w:sz w:val="24"/>
          <w:szCs w:val="24"/>
        </w:rPr>
        <w:t>, and market conditions</w:t>
      </w:r>
      <w:r w:rsidR="00923F6C">
        <w:rPr>
          <w:rFonts w:ascii="Calibri" w:hAnsi="Calibri" w:cs="Calibri"/>
          <w:color w:val="000000" w:themeColor="text1"/>
          <w:sz w:val="24"/>
          <w:szCs w:val="24"/>
        </w:rPr>
        <w:t>.</w:t>
      </w:r>
    </w:p>
    <w:p w14:paraId="09AAC0A2" w14:textId="77777777" w:rsidR="00026385" w:rsidRDefault="00026385" w:rsidP="00923F6C">
      <w:pPr>
        <w:tabs>
          <w:tab w:val="left" w:pos="4029"/>
        </w:tabs>
        <w:spacing w:line="360" w:lineRule="auto"/>
        <w:jc w:val="both"/>
        <w:rPr>
          <w:rFonts w:ascii="Calibri" w:hAnsi="Calibri" w:cs="Calibri"/>
          <w:color w:val="000000" w:themeColor="text1"/>
          <w:sz w:val="24"/>
          <w:szCs w:val="24"/>
        </w:rPr>
      </w:pPr>
    </w:p>
    <w:p w14:paraId="5B2D1D6B" w14:textId="77777777" w:rsidR="00026385" w:rsidRPr="00B407C6" w:rsidRDefault="00026385" w:rsidP="00923F6C">
      <w:pPr>
        <w:tabs>
          <w:tab w:val="left" w:pos="4029"/>
        </w:tabs>
        <w:spacing w:line="360" w:lineRule="auto"/>
        <w:jc w:val="both"/>
        <w:rPr>
          <w:rFonts w:ascii="Calibri" w:hAnsi="Calibri" w:cs="Calibri"/>
          <w:color w:val="000000" w:themeColor="text1"/>
          <w:sz w:val="24"/>
          <w:szCs w:val="24"/>
        </w:rPr>
      </w:pPr>
    </w:p>
    <w:p w14:paraId="47434D0A" w14:textId="5D1BC4AE" w:rsidR="00923F6C" w:rsidRPr="00B00849" w:rsidRDefault="00AE6A95" w:rsidP="00AE6A95">
      <w:pPr>
        <w:pStyle w:val="Heading3"/>
        <w:rPr>
          <w:rFonts w:ascii="Calibri" w:hAnsi="Calibri" w:cs="Calibri"/>
          <w:sz w:val="28"/>
          <w:szCs w:val="28"/>
        </w:rPr>
      </w:pPr>
      <w:bookmarkStart w:id="15" w:name="_Toc165495783"/>
      <w:bookmarkStart w:id="16" w:name="_Toc165496492"/>
      <w:r>
        <w:rPr>
          <w:rFonts w:ascii="Calibri" w:hAnsi="Calibri" w:cs="Calibri"/>
          <w:sz w:val="28"/>
          <w:szCs w:val="28"/>
        </w:rPr>
        <w:lastRenderedPageBreak/>
        <w:t>2.1.2 P</w:t>
      </w:r>
      <w:r w:rsidR="00923F6C" w:rsidRPr="00B00849">
        <w:rPr>
          <w:rFonts w:ascii="Calibri" w:hAnsi="Calibri" w:cs="Calibri"/>
          <w:sz w:val="28"/>
          <w:szCs w:val="28"/>
        </w:rPr>
        <w:t>ROFITABILITY RATIO</w:t>
      </w:r>
      <w:bookmarkEnd w:id="15"/>
      <w:bookmarkEnd w:id="16"/>
    </w:p>
    <w:p w14:paraId="7BEF50AC" w14:textId="6FDD0374" w:rsidR="00923F6C" w:rsidRPr="007C67C3" w:rsidRDefault="007F43D9" w:rsidP="00EF7E2C">
      <w:pPr>
        <w:tabs>
          <w:tab w:val="left" w:pos="4029"/>
        </w:tabs>
        <w:spacing w:line="360" w:lineRule="auto"/>
        <w:jc w:val="both"/>
        <w:rPr>
          <w:rFonts w:ascii="Calibri" w:hAnsi="Calibri" w:cs="Calibri"/>
          <w:sz w:val="24"/>
          <w:szCs w:val="24"/>
        </w:rPr>
      </w:pPr>
      <w:r>
        <w:rPr>
          <w:rFonts w:ascii="Calibri" w:hAnsi="Calibri" w:cs="Calibri"/>
          <w:sz w:val="24"/>
          <w:szCs w:val="24"/>
        </w:rPr>
        <w:t>Profitability ratios evaluate a company's capacity to turn a profit in relation to its revenue, operating costs, balance sheet assets, or shareholders' equity</w:t>
      </w:r>
      <w:r w:rsidR="00923F6C" w:rsidRPr="00ED2A9E">
        <w:rPr>
          <w:rFonts w:ascii="Calibri" w:hAnsi="Calibri" w:cs="Calibri"/>
          <w:sz w:val="24"/>
          <w:szCs w:val="24"/>
        </w:rPr>
        <w:t>.</w:t>
      </w:r>
      <w:r w:rsidR="00923F6C">
        <w:rPr>
          <w:rFonts w:ascii="Calibri" w:hAnsi="Calibri" w:cs="Calibri"/>
          <w:sz w:val="24"/>
          <w:szCs w:val="24"/>
        </w:rPr>
        <w:t xml:space="preserve"> </w:t>
      </w:r>
      <w:r w:rsidR="00923F6C" w:rsidRPr="00D074E7">
        <w:rPr>
          <w:rFonts w:ascii="Calibri" w:hAnsi="Calibri" w:cs="Calibri"/>
          <w:sz w:val="24"/>
          <w:szCs w:val="24"/>
        </w:rPr>
        <w:t xml:space="preserve">Berkeley Group Holdings PLC </w:t>
      </w:r>
      <w:r w:rsidR="00923F6C">
        <w:rPr>
          <w:rFonts w:ascii="Calibri" w:hAnsi="Calibri" w:cs="Calibri"/>
          <w:sz w:val="24"/>
          <w:szCs w:val="24"/>
        </w:rPr>
        <w:t>has demonstrated</w:t>
      </w:r>
      <w:r w:rsidR="00923F6C" w:rsidRPr="00D074E7">
        <w:rPr>
          <w:rFonts w:ascii="Calibri" w:hAnsi="Calibri" w:cs="Calibri"/>
          <w:sz w:val="24"/>
          <w:szCs w:val="24"/>
        </w:rPr>
        <w:t xml:space="preserve"> higher profitability ratios across almost all metrics </w:t>
      </w:r>
      <w:r w:rsidR="00923F6C">
        <w:rPr>
          <w:rFonts w:ascii="Calibri" w:hAnsi="Calibri" w:cs="Calibri"/>
          <w:sz w:val="24"/>
          <w:szCs w:val="24"/>
        </w:rPr>
        <w:t>over the years than</w:t>
      </w:r>
      <w:r w:rsidR="00923F6C" w:rsidRPr="00D074E7">
        <w:rPr>
          <w:rFonts w:ascii="Calibri" w:hAnsi="Calibri" w:cs="Calibri"/>
          <w:sz w:val="24"/>
          <w:szCs w:val="24"/>
        </w:rPr>
        <w:t xml:space="preserve"> Barratt Development PLC. While both companies have shown a declining trend in margins and returns, Berkeley has maintained a more robust profitability profile</w:t>
      </w:r>
      <w:r w:rsidR="00923F6C">
        <w:rPr>
          <w:rFonts w:ascii="Calibri" w:hAnsi="Calibri" w:cs="Calibri"/>
          <w:sz w:val="24"/>
          <w:szCs w:val="24"/>
        </w:rPr>
        <w:t>.</w:t>
      </w:r>
    </w:p>
    <w:tbl>
      <w:tblPr>
        <w:tblStyle w:val="GridTable1Light-Accent6"/>
        <w:tblW w:w="5000" w:type="pct"/>
        <w:tblLook w:val="04A0" w:firstRow="1" w:lastRow="0" w:firstColumn="1" w:lastColumn="0" w:noHBand="0" w:noVBand="1"/>
      </w:tblPr>
      <w:tblGrid>
        <w:gridCol w:w="3807"/>
        <w:gridCol w:w="1109"/>
        <w:gridCol w:w="1109"/>
        <w:gridCol w:w="1109"/>
        <w:gridCol w:w="1109"/>
        <w:gridCol w:w="1107"/>
      </w:tblGrid>
      <w:tr w:rsidR="00923F6C" w:rsidRPr="00B543EF" w14:paraId="10E19AD7"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99F5FF"/>
            <w:noWrap/>
          </w:tcPr>
          <w:p w14:paraId="26F6C0BC"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BARRATT DEVELOPMENT PLC</w:t>
            </w:r>
          </w:p>
          <w:p w14:paraId="634CB5A6" w14:textId="77777777" w:rsidR="00923F6C" w:rsidRPr="00B543EF"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PROFITABILITY</w:t>
            </w:r>
            <w:r w:rsidRPr="008A02BA">
              <w:rPr>
                <w:rFonts w:ascii="Arial" w:eastAsia="Times New Roman" w:hAnsi="Arial" w:cs="Arial"/>
                <w:color w:val="FF0000"/>
                <w:kern w:val="0"/>
                <w:sz w:val="20"/>
                <w:szCs w:val="20"/>
                <w14:ligatures w14:val="none"/>
              </w:rPr>
              <w:t xml:space="preserve"> RATIO</w:t>
            </w:r>
          </w:p>
        </w:tc>
      </w:tr>
      <w:tr w:rsidR="00923F6C" w:rsidRPr="00B543EF" w14:paraId="598F7B18"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39FDF569" w14:textId="77777777" w:rsidR="00923F6C" w:rsidRPr="00B543EF" w:rsidRDefault="00923F6C" w:rsidP="002B72E8">
            <w:pPr>
              <w:rPr>
                <w:rFonts w:ascii="Arial" w:eastAsia="Times New Roman" w:hAnsi="Arial" w:cs="Arial"/>
                <w:color w:val="000000" w:themeColor="text1"/>
                <w:kern w:val="0"/>
                <w:sz w:val="20"/>
                <w:szCs w:val="20"/>
                <w14:ligatures w14:val="none"/>
              </w:rPr>
            </w:pPr>
            <w:r w:rsidRPr="00B543EF">
              <w:rPr>
                <w:rFonts w:ascii="Arial" w:eastAsia="Times New Roman" w:hAnsi="Arial" w:cs="Arial"/>
                <w:color w:val="000000" w:themeColor="text1"/>
                <w:kern w:val="0"/>
                <w:sz w:val="20"/>
                <w:szCs w:val="20"/>
                <w14:ligatures w14:val="none"/>
              </w:rPr>
              <w:t xml:space="preserve">Ratios </w:t>
            </w:r>
          </w:p>
        </w:tc>
        <w:tc>
          <w:tcPr>
            <w:tcW w:w="593" w:type="pct"/>
            <w:noWrap/>
            <w:hideMark/>
          </w:tcPr>
          <w:p w14:paraId="5EBC85AC"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2023</w:t>
            </w:r>
          </w:p>
        </w:tc>
        <w:tc>
          <w:tcPr>
            <w:tcW w:w="593" w:type="pct"/>
            <w:noWrap/>
            <w:hideMark/>
          </w:tcPr>
          <w:p w14:paraId="01611119"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2022</w:t>
            </w:r>
          </w:p>
        </w:tc>
        <w:tc>
          <w:tcPr>
            <w:tcW w:w="593" w:type="pct"/>
            <w:noWrap/>
            <w:hideMark/>
          </w:tcPr>
          <w:p w14:paraId="03D997FE"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2021</w:t>
            </w:r>
          </w:p>
        </w:tc>
        <w:tc>
          <w:tcPr>
            <w:tcW w:w="593" w:type="pct"/>
            <w:noWrap/>
            <w:hideMark/>
          </w:tcPr>
          <w:p w14:paraId="4DA8AFAF"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2020</w:t>
            </w:r>
          </w:p>
        </w:tc>
        <w:tc>
          <w:tcPr>
            <w:tcW w:w="592" w:type="pct"/>
            <w:noWrap/>
            <w:hideMark/>
          </w:tcPr>
          <w:p w14:paraId="5B68ABB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2019</w:t>
            </w:r>
          </w:p>
        </w:tc>
      </w:tr>
      <w:tr w:rsidR="00923F6C" w:rsidRPr="00B543EF" w14:paraId="5ED3C888"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707220BB"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GPM (Gross Profit Margin)</w:t>
            </w:r>
          </w:p>
        </w:tc>
        <w:tc>
          <w:tcPr>
            <w:tcW w:w="593" w:type="pct"/>
            <w:noWrap/>
            <w:hideMark/>
          </w:tcPr>
          <w:p w14:paraId="655E9E0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21.2%</w:t>
            </w:r>
          </w:p>
        </w:tc>
        <w:tc>
          <w:tcPr>
            <w:tcW w:w="593" w:type="pct"/>
            <w:noWrap/>
            <w:hideMark/>
          </w:tcPr>
          <w:p w14:paraId="79E1EC6D"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24.8%</w:t>
            </w:r>
          </w:p>
        </w:tc>
        <w:tc>
          <w:tcPr>
            <w:tcW w:w="593" w:type="pct"/>
            <w:noWrap/>
            <w:hideMark/>
          </w:tcPr>
          <w:p w14:paraId="6B380908"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22.2%</w:t>
            </w:r>
          </w:p>
        </w:tc>
        <w:tc>
          <w:tcPr>
            <w:tcW w:w="593" w:type="pct"/>
            <w:noWrap/>
            <w:hideMark/>
          </w:tcPr>
          <w:p w14:paraId="5FBF666D"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21.4%</w:t>
            </w:r>
          </w:p>
        </w:tc>
        <w:tc>
          <w:tcPr>
            <w:tcW w:w="592" w:type="pct"/>
            <w:noWrap/>
            <w:hideMark/>
          </w:tcPr>
          <w:p w14:paraId="4CC93A7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22.8%</w:t>
            </w:r>
          </w:p>
        </w:tc>
      </w:tr>
      <w:tr w:rsidR="00923F6C" w:rsidRPr="00B543EF" w14:paraId="25295027"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7DC0EE2E"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OPM (Operating Profit Margin</w:t>
            </w:r>
          </w:p>
        </w:tc>
        <w:tc>
          <w:tcPr>
            <w:tcW w:w="593" w:type="pct"/>
            <w:noWrap/>
            <w:hideMark/>
          </w:tcPr>
          <w:p w14:paraId="6D7E66AD"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12.9%</w:t>
            </w:r>
          </w:p>
        </w:tc>
        <w:tc>
          <w:tcPr>
            <w:tcW w:w="593" w:type="pct"/>
            <w:noWrap/>
            <w:hideMark/>
          </w:tcPr>
          <w:p w14:paraId="2535E06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12.2%</w:t>
            </w:r>
          </w:p>
        </w:tc>
        <w:tc>
          <w:tcPr>
            <w:tcW w:w="593" w:type="pct"/>
            <w:noWrap/>
            <w:hideMark/>
          </w:tcPr>
          <w:p w14:paraId="1EEDA183"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16.9%</w:t>
            </w:r>
          </w:p>
        </w:tc>
        <w:tc>
          <w:tcPr>
            <w:tcW w:w="593" w:type="pct"/>
            <w:noWrap/>
            <w:hideMark/>
          </w:tcPr>
          <w:p w14:paraId="1D59E1E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14.4%</w:t>
            </w:r>
          </w:p>
        </w:tc>
        <w:tc>
          <w:tcPr>
            <w:tcW w:w="592" w:type="pct"/>
            <w:noWrap/>
            <w:hideMark/>
          </w:tcPr>
          <w:p w14:paraId="1C3B2C9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18.9%</w:t>
            </w:r>
          </w:p>
        </w:tc>
      </w:tr>
      <w:tr w:rsidR="00923F6C" w:rsidRPr="00B543EF" w14:paraId="4258874A"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3CF4B8B7"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NPM (Net Profit Margin)</w:t>
            </w:r>
          </w:p>
        </w:tc>
        <w:tc>
          <w:tcPr>
            <w:tcW w:w="593" w:type="pct"/>
            <w:noWrap/>
            <w:hideMark/>
          </w:tcPr>
          <w:p w14:paraId="135F287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10.0%</w:t>
            </w:r>
          </w:p>
        </w:tc>
        <w:tc>
          <w:tcPr>
            <w:tcW w:w="593" w:type="pct"/>
            <w:noWrap/>
            <w:hideMark/>
          </w:tcPr>
          <w:p w14:paraId="449F100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9.8%</w:t>
            </w:r>
          </w:p>
        </w:tc>
        <w:tc>
          <w:tcPr>
            <w:tcW w:w="593" w:type="pct"/>
            <w:noWrap/>
            <w:hideMark/>
          </w:tcPr>
          <w:p w14:paraId="2535BC8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13.7%</w:t>
            </w:r>
          </w:p>
        </w:tc>
        <w:tc>
          <w:tcPr>
            <w:tcW w:w="593" w:type="pct"/>
            <w:noWrap/>
            <w:hideMark/>
          </w:tcPr>
          <w:p w14:paraId="198D2E94"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11.7%</w:t>
            </w:r>
          </w:p>
        </w:tc>
        <w:tc>
          <w:tcPr>
            <w:tcW w:w="592" w:type="pct"/>
            <w:noWrap/>
            <w:hideMark/>
          </w:tcPr>
          <w:p w14:paraId="5840A07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15.5%</w:t>
            </w:r>
          </w:p>
        </w:tc>
      </w:tr>
      <w:tr w:rsidR="00923F6C" w:rsidRPr="00B543EF" w14:paraId="39769B8D"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594AF31B"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ROCE (Return on Capital Employed)</w:t>
            </w:r>
          </w:p>
        </w:tc>
        <w:tc>
          <w:tcPr>
            <w:tcW w:w="593" w:type="pct"/>
            <w:noWrap/>
            <w:hideMark/>
          </w:tcPr>
          <w:p w14:paraId="2B5D28C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10.4%</w:t>
            </w:r>
          </w:p>
        </w:tc>
        <w:tc>
          <w:tcPr>
            <w:tcW w:w="593" w:type="pct"/>
            <w:noWrap/>
            <w:hideMark/>
          </w:tcPr>
          <w:p w14:paraId="2FF134B4"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9.9%</w:t>
            </w:r>
          </w:p>
        </w:tc>
        <w:tc>
          <w:tcPr>
            <w:tcW w:w="593" w:type="pct"/>
            <w:noWrap/>
            <w:hideMark/>
          </w:tcPr>
          <w:p w14:paraId="537FA6E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13.6%</w:t>
            </w:r>
          </w:p>
        </w:tc>
        <w:tc>
          <w:tcPr>
            <w:tcW w:w="593" w:type="pct"/>
            <w:noWrap/>
            <w:hideMark/>
          </w:tcPr>
          <w:p w14:paraId="6332804C"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9.1%</w:t>
            </w:r>
          </w:p>
        </w:tc>
        <w:tc>
          <w:tcPr>
            <w:tcW w:w="592" w:type="pct"/>
            <w:noWrap/>
            <w:hideMark/>
          </w:tcPr>
          <w:p w14:paraId="2370CD09"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16.3%</w:t>
            </w:r>
          </w:p>
        </w:tc>
      </w:tr>
      <w:tr w:rsidR="00923F6C" w:rsidRPr="00B543EF" w14:paraId="49CD7B7A"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163A3C6D"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ROE (Return on Equity)</w:t>
            </w:r>
          </w:p>
        </w:tc>
        <w:tc>
          <w:tcPr>
            <w:tcW w:w="593" w:type="pct"/>
            <w:noWrap/>
            <w:hideMark/>
          </w:tcPr>
          <w:p w14:paraId="532CF10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9.5%</w:t>
            </w:r>
          </w:p>
        </w:tc>
        <w:tc>
          <w:tcPr>
            <w:tcW w:w="593" w:type="pct"/>
            <w:noWrap/>
            <w:hideMark/>
          </w:tcPr>
          <w:p w14:paraId="7E273B5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9.1%</w:t>
            </w:r>
          </w:p>
        </w:tc>
        <w:tc>
          <w:tcPr>
            <w:tcW w:w="593" w:type="pct"/>
            <w:noWrap/>
            <w:hideMark/>
          </w:tcPr>
          <w:p w14:paraId="421C2902"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12.1%</w:t>
            </w:r>
          </w:p>
        </w:tc>
        <w:tc>
          <w:tcPr>
            <w:tcW w:w="593" w:type="pct"/>
            <w:noWrap/>
            <w:hideMark/>
          </w:tcPr>
          <w:p w14:paraId="4D5E18C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8.3%</w:t>
            </w:r>
          </w:p>
        </w:tc>
        <w:tc>
          <w:tcPr>
            <w:tcW w:w="592" w:type="pct"/>
            <w:noWrap/>
            <w:hideMark/>
          </w:tcPr>
          <w:p w14:paraId="2DE87496"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15.2%</w:t>
            </w:r>
          </w:p>
        </w:tc>
      </w:tr>
      <w:tr w:rsidR="00923F6C" w:rsidRPr="00B543EF" w14:paraId="262C895C"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6B06E11E"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ROA (Return on Assets)</w:t>
            </w:r>
          </w:p>
        </w:tc>
        <w:tc>
          <w:tcPr>
            <w:tcW w:w="593" w:type="pct"/>
            <w:noWrap/>
            <w:hideMark/>
          </w:tcPr>
          <w:p w14:paraId="01F72806"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6.6%</w:t>
            </w:r>
          </w:p>
        </w:tc>
        <w:tc>
          <w:tcPr>
            <w:tcW w:w="593" w:type="pct"/>
            <w:noWrap/>
            <w:hideMark/>
          </w:tcPr>
          <w:p w14:paraId="01C725D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6.3%</w:t>
            </w:r>
          </w:p>
        </w:tc>
        <w:tc>
          <w:tcPr>
            <w:tcW w:w="593" w:type="pct"/>
            <w:noWrap/>
            <w:hideMark/>
          </w:tcPr>
          <w:p w14:paraId="5003F476"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8.8%</w:t>
            </w:r>
          </w:p>
        </w:tc>
        <w:tc>
          <w:tcPr>
            <w:tcW w:w="593" w:type="pct"/>
            <w:noWrap/>
            <w:hideMark/>
          </w:tcPr>
          <w:p w14:paraId="42C642A8"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5.8%</w:t>
            </w:r>
          </w:p>
        </w:tc>
        <w:tc>
          <w:tcPr>
            <w:tcW w:w="592" w:type="pct"/>
            <w:noWrap/>
            <w:hideMark/>
          </w:tcPr>
          <w:p w14:paraId="4AF7F987"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10.0%</w:t>
            </w:r>
          </w:p>
        </w:tc>
      </w:tr>
      <w:tr w:rsidR="00923F6C" w:rsidRPr="00B543EF" w14:paraId="5302D0AF"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159E55AE"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Earnings Quality (CFO/Net Income)</w:t>
            </w:r>
          </w:p>
        </w:tc>
        <w:tc>
          <w:tcPr>
            <w:tcW w:w="593" w:type="pct"/>
            <w:noWrap/>
            <w:hideMark/>
          </w:tcPr>
          <w:p w14:paraId="7649C41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0.9</w:t>
            </w:r>
          </w:p>
        </w:tc>
        <w:tc>
          <w:tcPr>
            <w:tcW w:w="593" w:type="pct"/>
            <w:noWrap/>
            <w:hideMark/>
          </w:tcPr>
          <w:p w14:paraId="06F44B99"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0.8</w:t>
            </w:r>
          </w:p>
        </w:tc>
        <w:tc>
          <w:tcPr>
            <w:tcW w:w="593" w:type="pct"/>
            <w:noWrap/>
            <w:hideMark/>
          </w:tcPr>
          <w:p w14:paraId="6504EAB2"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1.6</w:t>
            </w:r>
          </w:p>
        </w:tc>
        <w:tc>
          <w:tcPr>
            <w:tcW w:w="593" w:type="pct"/>
            <w:noWrap/>
            <w:hideMark/>
          </w:tcPr>
          <w:p w14:paraId="08AC9EC3"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-0.3</w:t>
            </w:r>
          </w:p>
        </w:tc>
        <w:tc>
          <w:tcPr>
            <w:tcW w:w="592" w:type="pct"/>
            <w:noWrap/>
            <w:hideMark/>
          </w:tcPr>
          <w:p w14:paraId="6153482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0.5</w:t>
            </w:r>
          </w:p>
        </w:tc>
      </w:tr>
    </w:tbl>
    <w:p w14:paraId="2E0CBA58" w14:textId="77777777" w:rsidR="00923F6C" w:rsidRDefault="00923F6C" w:rsidP="00923F6C">
      <w:pPr>
        <w:tabs>
          <w:tab w:val="left" w:pos="4029"/>
        </w:tabs>
        <w:spacing w:line="360" w:lineRule="auto"/>
        <w:jc w:val="both"/>
        <w:rPr>
          <w:rFonts w:ascii="Calibri" w:hAnsi="Calibri" w:cs="Calibri"/>
          <w:sz w:val="36"/>
          <w:szCs w:val="36"/>
        </w:rPr>
      </w:pPr>
    </w:p>
    <w:tbl>
      <w:tblPr>
        <w:tblStyle w:val="GridTable1Light-Accent2"/>
        <w:tblW w:w="5000" w:type="pct"/>
        <w:tblLook w:val="04A0" w:firstRow="1" w:lastRow="0" w:firstColumn="1" w:lastColumn="0" w:noHBand="0" w:noVBand="1"/>
      </w:tblPr>
      <w:tblGrid>
        <w:gridCol w:w="3807"/>
        <w:gridCol w:w="1109"/>
        <w:gridCol w:w="1109"/>
        <w:gridCol w:w="1109"/>
        <w:gridCol w:w="1109"/>
        <w:gridCol w:w="1107"/>
      </w:tblGrid>
      <w:tr w:rsidR="00923F6C" w:rsidRPr="00B543EF" w14:paraId="35AD1AB8"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FADFF"/>
            <w:noWrap/>
          </w:tcPr>
          <w:p w14:paraId="3955839B"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THE BERKELEY GROUP HOLDINGS PLC</w:t>
            </w:r>
          </w:p>
          <w:p w14:paraId="20A6AFA5" w14:textId="77777777" w:rsidR="00923F6C" w:rsidRPr="00B543EF"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PROFITABILITY</w:t>
            </w:r>
            <w:r w:rsidRPr="005C6F9E">
              <w:rPr>
                <w:rFonts w:ascii="Arial" w:eastAsia="Times New Roman" w:hAnsi="Arial" w:cs="Arial"/>
                <w:color w:val="FF0000"/>
                <w:kern w:val="0"/>
                <w:sz w:val="20"/>
                <w:szCs w:val="20"/>
                <w14:ligatures w14:val="none"/>
              </w:rPr>
              <w:t xml:space="preserve"> RATIO</w:t>
            </w:r>
          </w:p>
        </w:tc>
      </w:tr>
      <w:tr w:rsidR="00923F6C" w:rsidRPr="00B543EF" w14:paraId="43D006D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4CE6CD26" w14:textId="77777777" w:rsidR="00923F6C" w:rsidRPr="00B543EF" w:rsidRDefault="00923F6C" w:rsidP="002B72E8">
            <w:pPr>
              <w:rPr>
                <w:rFonts w:ascii="Arial" w:eastAsia="Times New Roman" w:hAnsi="Arial" w:cs="Arial"/>
                <w:color w:val="000000" w:themeColor="text1"/>
                <w:kern w:val="0"/>
                <w:sz w:val="20"/>
                <w:szCs w:val="20"/>
                <w14:ligatures w14:val="none"/>
              </w:rPr>
            </w:pPr>
            <w:r w:rsidRPr="00B543EF">
              <w:rPr>
                <w:rFonts w:ascii="Arial" w:eastAsia="Times New Roman" w:hAnsi="Arial" w:cs="Arial"/>
                <w:color w:val="000000" w:themeColor="text1"/>
                <w:kern w:val="0"/>
                <w:sz w:val="20"/>
                <w:szCs w:val="20"/>
                <w14:ligatures w14:val="none"/>
              </w:rPr>
              <w:t xml:space="preserve">Ratios </w:t>
            </w:r>
          </w:p>
        </w:tc>
        <w:tc>
          <w:tcPr>
            <w:tcW w:w="593" w:type="pct"/>
            <w:noWrap/>
            <w:hideMark/>
          </w:tcPr>
          <w:p w14:paraId="4D590F82"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2023</w:t>
            </w:r>
          </w:p>
        </w:tc>
        <w:tc>
          <w:tcPr>
            <w:tcW w:w="593" w:type="pct"/>
            <w:noWrap/>
            <w:hideMark/>
          </w:tcPr>
          <w:p w14:paraId="6CB4CCDC"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2022</w:t>
            </w:r>
          </w:p>
        </w:tc>
        <w:tc>
          <w:tcPr>
            <w:tcW w:w="593" w:type="pct"/>
            <w:noWrap/>
            <w:hideMark/>
          </w:tcPr>
          <w:p w14:paraId="6F23FD9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2021</w:t>
            </w:r>
          </w:p>
        </w:tc>
        <w:tc>
          <w:tcPr>
            <w:tcW w:w="593" w:type="pct"/>
            <w:noWrap/>
            <w:hideMark/>
          </w:tcPr>
          <w:p w14:paraId="52C3A85F"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2020</w:t>
            </w:r>
          </w:p>
        </w:tc>
        <w:tc>
          <w:tcPr>
            <w:tcW w:w="592" w:type="pct"/>
            <w:noWrap/>
            <w:hideMark/>
          </w:tcPr>
          <w:p w14:paraId="371F38BA"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B543EF">
              <w:rPr>
                <w:rFonts w:ascii="Arial" w:eastAsia="Times New Roman" w:hAnsi="Arial" w:cs="Arial"/>
                <w:b/>
                <w:bCs/>
                <w:color w:val="000000" w:themeColor="text1"/>
                <w:kern w:val="0"/>
                <w:sz w:val="20"/>
                <w:szCs w:val="20"/>
                <w14:ligatures w14:val="none"/>
              </w:rPr>
              <w:t>2019</w:t>
            </w:r>
          </w:p>
        </w:tc>
      </w:tr>
      <w:tr w:rsidR="00923F6C" w:rsidRPr="00B543EF" w14:paraId="508B141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1EA36D0E"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GPM (Gross Profit Margin)</w:t>
            </w:r>
          </w:p>
        </w:tc>
        <w:tc>
          <w:tcPr>
            <w:tcW w:w="593" w:type="pct"/>
            <w:noWrap/>
            <w:hideMark/>
          </w:tcPr>
          <w:p w14:paraId="7E9B6ABA"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27.3%</w:t>
            </w:r>
          </w:p>
        </w:tc>
        <w:tc>
          <w:tcPr>
            <w:tcW w:w="593" w:type="pct"/>
            <w:noWrap/>
            <w:hideMark/>
          </w:tcPr>
          <w:p w14:paraId="2B5A6E1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28.3%</w:t>
            </w:r>
          </w:p>
        </w:tc>
        <w:tc>
          <w:tcPr>
            <w:tcW w:w="593" w:type="pct"/>
            <w:noWrap/>
            <w:hideMark/>
          </w:tcPr>
          <w:p w14:paraId="473D2578"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28.8%</w:t>
            </w:r>
          </w:p>
        </w:tc>
        <w:tc>
          <w:tcPr>
            <w:tcW w:w="593" w:type="pct"/>
            <w:noWrap/>
            <w:hideMark/>
          </w:tcPr>
          <w:p w14:paraId="0FD33547"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33.2%</w:t>
            </w:r>
          </w:p>
        </w:tc>
        <w:tc>
          <w:tcPr>
            <w:tcW w:w="592" w:type="pct"/>
            <w:noWrap/>
            <w:hideMark/>
          </w:tcPr>
          <w:p w14:paraId="34AF9F9D"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31.3%</w:t>
            </w:r>
          </w:p>
        </w:tc>
      </w:tr>
      <w:tr w:rsidR="00923F6C" w:rsidRPr="00B543EF" w14:paraId="40875E6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028D9557"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OPM (Operating Profit Margin</w:t>
            </w:r>
          </w:p>
        </w:tc>
        <w:tc>
          <w:tcPr>
            <w:tcW w:w="593" w:type="pct"/>
            <w:noWrap/>
            <w:hideMark/>
          </w:tcPr>
          <w:p w14:paraId="0CA6D0D3"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20.3%</w:t>
            </w:r>
          </w:p>
        </w:tc>
        <w:tc>
          <w:tcPr>
            <w:tcW w:w="593" w:type="pct"/>
            <w:noWrap/>
            <w:hideMark/>
          </w:tcPr>
          <w:p w14:paraId="76A5D431"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21.6%</w:t>
            </w:r>
          </w:p>
        </w:tc>
        <w:tc>
          <w:tcPr>
            <w:tcW w:w="593" w:type="pct"/>
            <w:noWrap/>
            <w:hideMark/>
          </w:tcPr>
          <w:p w14:paraId="52CA4CB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22.8%</w:t>
            </w:r>
          </w:p>
        </w:tc>
        <w:tc>
          <w:tcPr>
            <w:tcW w:w="593" w:type="pct"/>
            <w:noWrap/>
            <w:hideMark/>
          </w:tcPr>
          <w:p w14:paraId="35EDA27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24.5%</w:t>
            </w:r>
          </w:p>
        </w:tc>
        <w:tc>
          <w:tcPr>
            <w:tcW w:w="592" w:type="pct"/>
            <w:noWrap/>
            <w:hideMark/>
          </w:tcPr>
          <w:p w14:paraId="787F23A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26.0%</w:t>
            </w:r>
          </w:p>
        </w:tc>
      </w:tr>
      <w:tr w:rsidR="00923F6C" w:rsidRPr="00B543EF" w14:paraId="2189120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243DCA86"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NPM (Net Profit Margin)</w:t>
            </w:r>
          </w:p>
        </w:tc>
        <w:tc>
          <w:tcPr>
            <w:tcW w:w="593" w:type="pct"/>
            <w:noWrap/>
            <w:hideMark/>
          </w:tcPr>
          <w:p w14:paraId="718F2B2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18.3%</w:t>
            </w:r>
          </w:p>
        </w:tc>
        <w:tc>
          <w:tcPr>
            <w:tcW w:w="593" w:type="pct"/>
            <w:noWrap/>
            <w:hideMark/>
          </w:tcPr>
          <w:p w14:paraId="1C767086"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20.5%</w:t>
            </w:r>
          </w:p>
        </w:tc>
        <w:tc>
          <w:tcPr>
            <w:tcW w:w="593" w:type="pct"/>
            <w:noWrap/>
            <w:hideMark/>
          </w:tcPr>
          <w:p w14:paraId="06C78EF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19.2%</w:t>
            </w:r>
          </w:p>
        </w:tc>
        <w:tc>
          <w:tcPr>
            <w:tcW w:w="593" w:type="pct"/>
            <w:noWrap/>
            <w:hideMark/>
          </w:tcPr>
          <w:p w14:paraId="30C340E4"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21.4%</w:t>
            </w:r>
          </w:p>
        </w:tc>
        <w:tc>
          <w:tcPr>
            <w:tcW w:w="592" w:type="pct"/>
            <w:noWrap/>
            <w:hideMark/>
          </w:tcPr>
          <w:p w14:paraId="4D9D2B0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21.2%</w:t>
            </w:r>
          </w:p>
        </w:tc>
      </w:tr>
      <w:tr w:rsidR="00923F6C" w:rsidRPr="00B543EF" w14:paraId="7B878D4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22853F88"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ROCE (Return on Capital Employed)</w:t>
            </w:r>
          </w:p>
        </w:tc>
        <w:tc>
          <w:tcPr>
            <w:tcW w:w="593" w:type="pct"/>
            <w:noWrap/>
            <w:hideMark/>
          </w:tcPr>
          <w:p w14:paraId="6CE30597"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10.4%</w:t>
            </w:r>
          </w:p>
        </w:tc>
        <w:tc>
          <w:tcPr>
            <w:tcW w:w="593" w:type="pct"/>
            <w:noWrap/>
            <w:hideMark/>
          </w:tcPr>
          <w:p w14:paraId="5C5A731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11.0%</w:t>
            </w:r>
          </w:p>
        </w:tc>
        <w:tc>
          <w:tcPr>
            <w:tcW w:w="593" w:type="pct"/>
            <w:noWrap/>
            <w:hideMark/>
          </w:tcPr>
          <w:p w14:paraId="14FEB963"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13.0%</w:t>
            </w:r>
          </w:p>
        </w:tc>
        <w:tc>
          <w:tcPr>
            <w:tcW w:w="593" w:type="pct"/>
            <w:noWrap/>
            <w:hideMark/>
          </w:tcPr>
          <w:p w14:paraId="0B1AD7FF"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12.6%</w:t>
            </w:r>
          </w:p>
        </w:tc>
        <w:tc>
          <w:tcPr>
            <w:tcW w:w="592" w:type="pct"/>
            <w:noWrap/>
            <w:hideMark/>
          </w:tcPr>
          <w:p w14:paraId="1FDCFAA0"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22.8%</w:t>
            </w:r>
          </w:p>
        </w:tc>
      </w:tr>
      <w:tr w:rsidR="00923F6C" w:rsidRPr="00B543EF" w14:paraId="34090AE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1A4510F4"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ROE (Return on Equity)</w:t>
            </w:r>
          </w:p>
        </w:tc>
        <w:tc>
          <w:tcPr>
            <w:tcW w:w="593" w:type="pct"/>
            <w:noWrap/>
            <w:hideMark/>
          </w:tcPr>
          <w:p w14:paraId="66A820DA"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14.0%</w:t>
            </w:r>
          </w:p>
        </w:tc>
        <w:tc>
          <w:tcPr>
            <w:tcW w:w="593" w:type="pct"/>
            <w:noWrap/>
            <w:hideMark/>
          </w:tcPr>
          <w:p w14:paraId="5B013E95"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15.4%</w:t>
            </w:r>
          </w:p>
        </w:tc>
        <w:tc>
          <w:tcPr>
            <w:tcW w:w="593" w:type="pct"/>
            <w:noWrap/>
            <w:hideMark/>
          </w:tcPr>
          <w:p w14:paraId="59CACFD7"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13.3%</w:t>
            </w:r>
          </w:p>
        </w:tc>
        <w:tc>
          <w:tcPr>
            <w:tcW w:w="593" w:type="pct"/>
            <w:noWrap/>
            <w:hideMark/>
          </w:tcPr>
          <w:p w14:paraId="549452A8"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13.2%</w:t>
            </w:r>
          </w:p>
        </w:tc>
        <w:tc>
          <w:tcPr>
            <w:tcW w:w="592" w:type="pct"/>
            <w:noWrap/>
            <w:hideMark/>
          </w:tcPr>
          <w:p w14:paraId="5933D1E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21.2%</w:t>
            </w:r>
          </w:p>
        </w:tc>
      </w:tr>
      <w:tr w:rsidR="00923F6C" w:rsidRPr="00B543EF" w14:paraId="3378D9F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59F2F96F"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ROA (Return on Assets)</w:t>
            </w:r>
          </w:p>
        </w:tc>
        <w:tc>
          <w:tcPr>
            <w:tcW w:w="593" w:type="pct"/>
            <w:noWrap/>
            <w:hideMark/>
          </w:tcPr>
          <w:p w14:paraId="5957EAC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6.8%</w:t>
            </w:r>
          </w:p>
        </w:tc>
        <w:tc>
          <w:tcPr>
            <w:tcW w:w="593" w:type="pct"/>
            <w:noWrap/>
            <w:hideMark/>
          </w:tcPr>
          <w:p w14:paraId="1CD754ED"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7.3%</w:t>
            </w:r>
          </w:p>
        </w:tc>
        <w:tc>
          <w:tcPr>
            <w:tcW w:w="593" w:type="pct"/>
            <w:noWrap/>
            <w:hideMark/>
          </w:tcPr>
          <w:p w14:paraId="0BE1C026"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7.6%</w:t>
            </w:r>
          </w:p>
        </w:tc>
        <w:tc>
          <w:tcPr>
            <w:tcW w:w="593" w:type="pct"/>
            <w:noWrap/>
            <w:hideMark/>
          </w:tcPr>
          <w:p w14:paraId="6E95202F"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7.3%</w:t>
            </w:r>
          </w:p>
        </w:tc>
        <w:tc>
          <w:tcPr>
            <w:tcW w:w="592" w:type="pct"/>
            <w:noWrap/>
            <w:hideMark/>
          </w:tcPr>
          <w:p w14:paraId="6A00959F"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12.7%</w:t>
            </w:r>
          </w:p>
        </w:tc>
      </w:tr>
      <w:tr w:rsidR="00923F6C" w:rsidRPr="00B543EF" w14:paraId="62E9525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036" w:type="pct"/>
            <w:noWrap/>
            <w:hideMark/>
          </w:tcPr>
          <w:p w14:paraId="3E4FA7F6" w14:textId="77777777" w:rsidR="00923F6C" w:rsidRPr="00B543EF" w:rsidRDefault="00923F6C" w:rsidP="002B72E8">
            <w:pPr>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Earnings Quality (CFO/Net Income)</w:t>
            </w:r>
          </w:p>
        </w:tc>
        <w:tc>
          <w:tcPr>
            <w:tcW w:w="593" w:type="pct"/>
            <w:noWrap/>
            <w:hideMark/>
          </w:tcPr>
          <w:p w14:paraId="10EB552C"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0.7</w:t>
            </w:r>
          </w:p>
        </w:tc>
        <w:tc>
          <w:tcPr>
            <w:tcW w:w="593" w:type="pct"/>
            <w:noWrap/>
            <w:hideMark/>
          </w:tcPr>
          <w:p w14:paraId="2F2F336E"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-0.3</w:t>
            </w:r>
          </w:p>
        </w:tc>
        <w:tc>
          <w:tcPr>
            <w:tcW w:w="593" w:type="pct"/>
            <w:noWrap/>
            <w:hideMark/>
          </w:tcPr>
          <w:p w14:paraId="40D4D083"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0.8</w:t>
            </w:r>
          </w:p>
        </w:tc>
        <w:tc>
          <w:tcPr>
            <w:tcW w:w="593" w:type="pct"/>
            <w:noWrap/>
            <w:hideMark/>
          </w:tcPr>
          <w:p w14:paraId="3F500B5B"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0.8</w:t>
            </w:r>
          </w:p>
        </w:tc>
        <w:tc>
          <w:tcPr>
            <w:tcW w:w="592" w:type="pct"/>
            <w:noWrap/>
            <w:hideMark/>
          </w:tcPr>
          <w:p w14:paraId="7CD06CC2" w14:textId="77777777" w:rsidR="00923F6C" w:rsidRPr="00B543EF"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B543EF">
              <w:rPr>
                <w:rFonts w:ascii="Arial" w:eastAsia="Times New Roman" w:hAnsi="Arial" w:cs="Arial"/>
                <w:color w:val="000000"/>
                <w:kern w:val="0"/>
                <w:sz w:val="20"/>
                <w:szCs w:val="20"/>
                <w14:ligatures w14:val="none"/>
              </w:rPr>
              <w:t>1.0</w:t>
            </w:r>
          </w:p>
        </w:tc>
      </w:tr>
    </w:tbl>
    <w:p w14:paraId="2C09148C" w14:textId="77777777" w:rsidR="00923F6C" w:rsidRDefault="00923F6C" w:rsidP="00923F6C">
      <w:pPr>
        <w:tabs>
          <w:tab w:val="left" w:pos="4029"/>
        </w:tabs>
        <w:spacing w:line="360" w:lineRule="auto"/>
        <w:jc w:val="both"/>
        <w:rPr>
          <w:rFonts w:ascii="Calibri" w:hAnsi="Calibri" w:cs="Calibri"/>
          <w:sz w:val="24"/>
          <w:szCs w:val="24"/>
        </w:rPr>
      </w:pPr>
    </w:p>
    <w:p w14:paraId="73660E21" w14:textId="44F8165D"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17" w:name="_Toc165496493"/>
      <w:r w:rsidRPr="00AE6A95">
        <w:rPr>
          <w:rStyle w:val="Heading3Char"/>
          <w:rFonts w:ascii="Calibri" w:eastAsiaTheme="majorEastAsia" w:hAnsi="Calibri" w:cs="Calibri"/>
        </w:rPr>
        <w:t>Gross Profit Margin (GPM)</w:t>
      </w:r>
      <w:bookmarkEnd w:id="17"/>
      <w:r w:rsidR="005D4892">
        <w:rPr>
          <w:rFonts w:ascii="Calibri" w:hAnsi="Calibri" w:cs="Calibri"/>
          <w:sz w:val="24"/>
          <w:szCs w:val="24"/>
        </w:rPr>
        <w:t>:</w:t>
      </w:r>
      <w:r>
        <w:rPr>
          <w:rFonts w:ascii="Calibri" w:hAnsi="Calibri" w:cs="Calibri"/>
          <w:sz w:val="24"/>
          <w:szCs w:val="24"/>
        </w:rPr>
        <w:t xml:space="preserve"> B</w:t>
      </w:r>
      <w:r w:rsidRPr="00E24F73">
        <w:rPr>
          <w:rFonts w:ascii="Calibri" w:hAnsi="Calibri" w:cs="Calibri"/>
          <w:sz w:val="24"/>
          <w:szCs w:val="24"/>
        </w:rPr>
        <w:t xml:space="preserve">arratt Development </w:t>
      </w:r>
      <w:r>
        <w:rPr>
          <w:rFonts w:ascii="Calibri" w:hAnsi="Calibri" w:cs="Calibri"/>
          <w:sz w:val="24"/>
          <w:szCs w:val="24"/>
        </w:rPr>
        <w:t>PLC's GPM fluctuated</w:t>
      </w:r>
      <w:r w:rsidRPr="00E24F73">
        <w:rPr>
          <w:rFonts w:ascii="Calibri" w:hAnsi="Calibri" w:cs="Calibri"/>
          <w:sz w:val="24"/>
          <w:szCs w:val="24"/>
        </w:rPr>
        <w:t xml:space="preserve"> between 21.2% and 24.8% over the five-year period. This indicates the percentage of revenue that exceeds the cost of goods sold (COGS). </w:t>
      </w:r>
      <w:r>
        <w:rPr>
          <w:rFonts w:ascii="Calibri" w:hAnsi="Calibri" w:cs="Calibri"/>
          <w:sz w:val="24"/>
          <w:szCs w:val="24"/>
        </w:rPr>
        <w:t>On the other hand,</w:t>
      </w:r>
      <w:r w:rsidRPr="00E24F73">
        <w:rPr>
          <w:rFonts w:ascii="Calibri" w:hAnsi="Calibri" w:cs="Calibri"/>
          <w:sz w:val="24"/>
          <w:szCs w:val="24"/>
        </w:rPr>
        <w:t xml:space="preserve"> Berkeley Group Holdings PLC consistently has a higher GPM than Barratt, ranging from 27.3% to 33.2%. </w:t>
      </w:r>
    </w:p>
    <w:p w14:paraId="2D390EF0" w14:textId="77777777" w:rsidR="00923F6C" w:rsidRPr="00B407C6" w:rsidRDefault="00923F6C" w:rsidP="00923F6C">
      <w:pPr>
        <w:pStyle w:val="ListParagraph"/>
        <w:tabs>
          <w:tab w:val="left" w:pos="4029"/>
        </w:tabs>
        <w:spacing w:line="360" w:lineRule="auto"/>
        <w:ind w:left="360"/>
        <w:jc w:val="both"/>
        <w:rPr>
          <w:rFonts w:ascii="Calibri" w:hAnsi="Calibri" w:cs="Calibri"/>
          <w:sz w:val="24"/>
          <w:szCs w:val="24"/>
        </w:rPr>
      </w:pPr>
      <w:r w:rsidRPr="00E24F73">
        <w:rPr>
          <w:rFonts w:ascii="Calibri" w:hAnsi="Calibri" w:cs="Calibri"/>
          <w:sz w:val="24"/>
          <w:szCs w:val="24"/>
        </w:rPr>
        <w:t xml:space="preserve">This </w:t>
      </w:r>
      <w:r w:rsidRPr="00AE6A95">
        <w:rPr>
          <w:rFonts w:ascii="Calibri" w:hAnsi="Calibri" w:cs="Calibri"/>
          <w:sz w:val="24"/>
          <w:szCs w:val="24"/>
        </w:rPr>
        <w:t>indicates</w:t>
      </w:r>
      <w:r w:rsidRPr="00E24F73">
        <w:rPr>
          <w:rFonts w:ascii="Calibri" w:hAnsi="Calibri" w:cs="Calibri"/>
          <w:sz w:val="24"/>
          <w:szCs w:val="24"/>
        </w:rPr>
        <w:t xml:space="preserve"> </w:t>
      </w:r>
      <w:r>
        <w:rPr>
          <w:rFonts w:ascii="Calibri" w:hAnsi="Calibri" w:cs="Calibri"/>
          <w:sz w:val="24"/>
          <w:szCs w:val="24"/>
        </w:rPr>
        <w:t>that Berkeley retains a larger portion of revenue after accounting for the COGS, which indicates</w:t>
      </w:r>
      <w:r w:rsidRPr="00E24F73">
        <w:rPr>
          <w:rFonts w:ascii="Calibri" w:hAnsi="Calibri" w:cs="Calibri"/>
          <w:sz w:val="24"/>
          <w:szCs w:val="24"/>
        </w:rPr>
        <w:t xml:space="preserve"> higher efficiency in controlling production or service delivery costs.</w:t>
      </w:r>
    </w:p>
    <w:p w14:paraId="00FEC5EA" w14:textId="363C41AC"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18" w:name="_Toc165496494"/>
      <w:r w:rsidRPr="00AE6A95">
        <w:rPr>
          <w:rStyle w:val="Heading3Char"/>
          <w:rFonts w:ascii="Calibri" w:eastAsiaTheme="majorEastAsia" w:hAnsi="Calibri" w:cs="Calibri"/>
          <w:sz w:val="24"/>
          <w:szCs w:val="24"/>
        </w:rPr>
        <w:lastRenderedPageBreak/>
        <w:t>Operating Profit Margin (OPM)</w:t>
      </w:r>
      <w:bookmarkEnd w:id="18"/>
      <w:r>
        <w:rPr>
          <w:rFonts w:ascii="Calibri" w:hAnsi="Calibri" w:cs="Calibri"/>
          <w:sz w:val="24"/>
          <w:szCs w:val="24"/>
        </w:rPr>
        <w:t xml:space="preserve">: The OPM </w:t>
      </w:r>
      <w:r w:rsidRPr="00ED2A9E">
        <w:rPr>
          <w:rFonts w:ascii="Calibri" w:hAnsi="Calibri" w:cs="Calibri"/>
          <w:sz w:val="24"/>
          <w:szCs w:val="24"/>
        </w:rPr>
        <w:t xml:space="preserve">indicates </w:t>
      </w:r>
      <w:r w:rsidR="005D4892">
        <w:rPr>
          <w:rFonts w:ascii="Calibri" w:hAnsi="Calibri" w:cs="Calibri"/>
          <w:sz w:val="24"/>
          <w:szCs w:val="24"/>
        </w:rPr>
        <w:t xml:space="preserve">the </w:t>
      </w:r>
      <w:r w:rsidRPr="00ED2A9E">
        <w:rPr>
          <w:rFonts w:ascii="Calibri" w:hAnsi="Calibri" w:cs="Calibri"/>
          <w:sz w:val="24"/>
          <w:szCs w:val="24"/>
        </w:rPr>
        <w:t>efficiency</w:t>
      </w:r>
      <w:r w:rsidR="005D4892">
        <w:rPr>
          <w:rFonts w:ascii="Calibri" w:hAnsi="Calibri" w:cs="Calibri"/>
          <w:sz w:val="24"/>
          <w:szCs w:val="24"/>
        </w:rPr>
        <w:t xml:space="preserve"> of a company</w:t>
      </w:r>
      <w:r w:rsidRPr="00ED2A9E">
        <w:rPr>
          <w:rFonts w:ascii="Calibri" w:hAnsi="Calibri" w:cs="Calibri"/>
          <w:sz w:val="24"/>
          <w:szCs w:val="24"/>
        </w:rPr>
        <w:t xml:space="preserve"> in controlling production and administrative costs.</w:t>
      </w:r>
      <w:r>
        <w:rPr>
          <w:rFonts w:ascii="Calibri" w:hAnsi="Calibri" w:cs="Calibri"/>
          <w:sz w:val="24"/>
          <w:szCs w:val="24"/>
        </w:rPr>
        <w:t xml:space="preserve"> </w:t>
      </w:r>
      <w:r w:rsidRPr="00D074E7">
        <w:rPr>
          <w:rFonts w:ascii="Calibri" w:hAnsi="Calibri" w:cs="Calibri"/>
          <w:sz w:val="24"/>
          <w:szCs w:val="24"/>
        </w:rPr>
        <w:t>Barratt Development PLC</w:t>
      </w:r>
      <w:r>
        <w:rPr>
          <w:rFonts w:ascii="Calibri" w:hAnsi="Calibri" w:cs="Calibri"/>
          <w:sz w:val="24"/>
          <w:szCs w:val="24"/>
        </w:rPr>
        <w:t>’s</w:t>
      </w:r>
      <w:r w:rsidRPr="00D074E7">
        <w:rPr>
          <w:rFonts w:ascii="Calibri" w:hAnsi="Calibri" w:cs="Calibri"/>
          <w:sz w:val="24"/>
          <w:szCs w:val="24"/>
        </w:rPr>
        <w:t xml:space="preserve"> OPM is lower </w:t>
      </w:r>
      <w:r>
        <w:rPr>
          <w:rFonts w:ascii="Calibri" w:hAnsi="Calibri" w:cs="Calibri"/>
          <w:sz w:val="24"/>
          <w:szCs w:val="24"/>
        </w:rPr>
        <w:t>than Berkeley's, ranging from 12.9% in 2023 to 18.9% in 2019. This implies that Barratt is less profitable</w:t>
      </w:r>
      <w:r w:rsidRPr="00D074E7">
        <w:rPr>
          <w:rFonts w:ascii="Calibri" w:hAnsi="Calibri" w:cs="Calibri"/>
          <w:sz w:val="24"/>
          <w:szCs w:val="24"/>
        </w:rPr>
        <w:t xml:space="preserve"> after accounting for operating expenses.</w:t>
      </w:r>
      <w:r>
        <w:rPr>
          <w:rFonts w:ascii="Calibri" w:hAnsi="Calibri" w:cs="Calibri"/>
          <w:sz w:val="24"/>
          <w:szCs w:val="24"/>
        </w:rPr>
        <w:t xml:space="preserve"> On the other hand,</w:t>
      </w:r>
      <w:r w:rsidRPr="00D074E7">
        <w:rPr>
          <w:rFonts w:ascii="Calibri" w:hAnsi="Calibri" w:cs="Calibri"/>
          <w:sz w:val="24"/>
          <w:szCs w:val="24"/>
        </w:rPr>
        <w:t xml:space="preserve"> Berkeley Group Holdings PLC</w:t>
      </w:r>
      <w:r>
        <w:rPr>
          <w:rFonts w:ascii="Calibri" w:hAnsi="Calibri" w:cs="Calibri"/>
          <w:sz w:val="24"/>
          <w:szCs w:val="24"/>
        </w:rPr>
        <w:t xml:space="preserve"> </w:t>
      </w:r>
      <w:r w:rsidRPr="00D074E7">
        <w:rPr>
          <w:rFonts w:ascii="Calibri" w:hAnsi="Calibri" w:cs="Calibri"/>
          <w:sz w:val="24"/>
          <w:szCs w:val="24"/>
        </w:rPr>
        <w:t>OPM is significantly higher, showing a more efficient operation, ranging from 20.3% in 2023 to 26.0% in 2019.</w:t>
      </w:r>
    </w:p>
    <w:p w14:paraId="39B69DA9" w14:textId="77777777" w:rsidR="005D4892" w:rsidRPr="00B407C6" w:rsidRDefault="005D4892" w:rsidP="005D4892">
      <w:pPr>
        <w:pStyle w:val="ListParagraph"/>
        <w:tabs>
          <w:tab w:val="left" w:pos="4029"/>
        </w:tabs>
        <w:spacing w:line="360" w:lineRule="auto"/>
        <w:ind w:left="360"/>
        <w:jc w:val="both"/>
        <w:rPr>
          <w:rFonts w:ascii="Calibri" w:hAnsi="Calibri" w:cs="Calibri"/>
          <w:sz w:val="24"/>
          <w:szCs w:val="24"/>
        </w:rPr>
      </w:pPr>
    </w:p>
    <w:p w14:paraId="48FB4260" w14:textId="22CF8946"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19" w:name="_Toc165496495"/>
      <w:r w:rsidRPr="00AE6A95">
        <w:rPr>
          <w:rStyle w:val="Heading3Char"/>
          <w:rFonts w:ascii="Calibri" w:eastAsiaTheme="majorEastAsia" w:hAnsi="Calibri" w:cs="Calibri"/>
          <w:sz w:val="24"/>
          <w:szCs w:val="24"/>
        </w:rPr>
        <w:t>Net Profit Margin (NPM)</w:t>
      </w:r>
      <w:bookmarkEnd w:id="19"/>
      <w:r>
        <w:rPr>
          <w:rFonts w:ascii="Calibri" w:hAnsi="Calibri" w:cs="Calibri"/>
          <w:sz w:val="24"/>
          <w:szCs w:val="24"/>
        </w:rPr>
        <w:t>: The NPM</w:t>
      </w:r>
      <w:r w:rsidR="005D4892">
        <w:rPr>
          <w:rFonts w:ascii="Calibri" w:hAnsi="Calibri" w:cs="Calibri"/>
          <w:sz w:val="24"/>
          <w:szCs w:val="24"/>
        </w:rPr>
        <w:t xml:space="preserve"> shows a </w:t>
      </w:r>
      <w:r w:rsidRPr="00ED2A9E">
        <w:rPr>
          <w:rFonts w:ascii="Calibri" w:hAnsi="Calibri" w:cs="Calibri"/>
          <w:sz w:val="24"/>
          <w:szCs w:val="24"/>
        </w:rPr>
        <w:t>company</w:t>
      </w:r>
      <w:r w:rsidR="005D4892">
        <w:rPr>
          <w:rFonts w:ascii="Calibri" w:hAnsi="Calibri" w:cs="Calibri"/>
          <w:sz w:val="24"/>
          <w:szCs w:val="24"/>
        </w:rPr>
        <w:t>’s profit</w:t>
      </w:r>
      <w:r w:rsidRPr="00ED2A9E">
        <w:rPr>
          <w:rFonts w:ascii="Calibri" w:hAnsi="Calibri" w:cs="Calibri"/>
          <w:sz w:val="24"/>
          <w:szCs w:val="24"/>
        </w:rPr>
        <w:t xml:space="preserve"> for every dollar of sales after all expenses, including taxes and interest, have been deducted.</w:t>
      </w:r>
      <w:r>
        <w:rPr>
          <w:rFonts w:ascii="Calibri" w:hAnsi="Calibri" w:cs="Calibri"/>
          <w:sz w:val="24"/>
          <w:szCs w:val="24"/>
        </w:rPr>
        <w:t xml:space="preserve"> </w:t>
      </w:r>
      <w:r w:rsidRPr="00D074E7">
        <w:rPr>
          <w:rFonts w:ascii="Calibri" w:hAnsi="Calibri" w:cs="Calibri"/>
          <w:sz w:val="24"/>
          <w:szCs w:val="24"/>
        </w:rPr>
        <w:t>Barratt Development PLC</w:t>
      </w:r>
      <w:r>
        <w:rPr>
          <w:rFonts w:ascii="Calibri" w:hAnsi="Calibri" w:cs="Calibri"/>
          <w:sz w:val="24"/>
          <w:szCs w:val="24"/>
        </w:rPr>
        <w:t>’s</w:t>
      </w:r>
      <w:r w:rsidRPr="00D074E7">
        <w:rPr>
          <w:rFonts w:ascii="Calibri" w:hAnsi="Calibri" w:cs="Calibri"/>
          <w:sz w:val="24"/>
          <w:szCs w:val="24"/>
        </w:rPr>
        <w:t xml:space="preserve"> NPM decreased from 15.5% in 2019 to 10.0% in 2023, indicating the company's net profitability has been reducing.</w:t>
      </w:r>
      <w:r>
        <w:rPr>
          <w:rFonts w:ascii="Calibri" w:hAnsi="Calibri" w:cs="Calibri"/>
          <w:sz w:val="24"/>
          <w:szCs w:val="24"/>
        </w:rPr>
        <w:t xml:space="preserve"> On the other hand,</w:t>
      </w:r>
      <w:r w:rsidRPr="00D074E7">
        <w:rPr>
          <w:rFonts w:ascii="Calibri" w:hAnsi="Calibri" w:cs="Calibri"/>
          <w:sz w:val="24"/>
          <w:szCs w:val="24"/>
        </w:rPr>
        <w:t xml:space="preserve"> Berkeley Group Holdings PLC maintains a higher NPM </w:t>
      </w:r>
      <w:r>
        <w:rPr>
          <w:rFonts w:ascii="Calibri" w:hAnsi="Calibri" w:cs="Calibri"/>
          <w:sz w:val="24"/>
          <w:szCs w:val="24"/>
        </w:rPr>
        <w:t>than Barratt, decreasing</w:t>
      </w:r>
      <w:r w:rsidRPr="00D074E7">
        <w:rPr>
          <w:rFonts w:ascii="Calibri" w:hAnsi="Calibri" w:cs="Calibri"/>
          <w:sz w:val="24"/>
          <w:szCs w:val="24"/>
        </w:rPr>
        <w:t xml:space="preserve"> from 21.2% in 2019 to 18.3% in 2023. Despite the decrease, Berkeley’s NPM remains strong and well above Barratt’s.</w:t>
      </w:r>
    </w:p>
    <w:p w14:paraId="71F03D62" w14:textId="77777777" w:rsidR="005D4892" w:rsidRPr="005D4892" w:rsidRDefault="005D4892" w:rsidP="005D4892">
      <w:pPr>
        <w:pStyle w:val="ListParagraph"/>
        <w:rPr>
          <w:rFonts w:ascii="Calibri" w:hAnsi="Calibri" w:cs="Calibri"/>
          <w:sz w:val="24"/>
          <w:szCs w:val="24"/>
        </w:rPr>
      </w:pPr>
    </w:p>
    <w:p w14:paraId="671A96E8" w14:textId="77777777" w:rsidR="005D4892" w:rsidRPr="00B407C6" w:rsidRDefault="005D4892" w:rsidP="005D4892">
      <w:pPr>
        <w:pStyle w:val="ListParagraph"/>
        <w:tabs>
          <w:tab w:val="left" w:pos="4029"/>
        </w:tabs>
        <w:spacing w:line="360" w:lineRule="auto"/>
        <w:ind w:left="360"/>
        <w:jc w:val="both"/>
        <w:rPr>
          <w:rFonts w:ascii="Calibri" w:hAnsi="Calibri" w:cs="Calibri"/>
          <w:sz w:val="24"/>
          <w:szCs w:val="24"/>
        </w:rPr>
      </w:pPr>
    </w:p>
    <w:p w14:paraId="6A2E48B2" w14:textId="261EB81F"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20" w:name="_Toc165496496"/>
      <w:r w:rsidRPr="00AE6A95">
        <w:rPr>
          <w:rStyle w:val="Heading3Char"/>
          <w:rFonts w:ascii="Calibri" w:eastAsiaTheme="majorEastAsia" w:hAnsi="Calibri" w:cs="Calibri"/>
          <w:sz w:val="24"/>
          <w:szCs w:val="24"/>
        </w:rPr>
        <w:t>Return on Capital Employed (ROCE</w:t>
      </w:r>
      <w:r w:rsidR="005D4892" w:rsidRPr="00AE6A95">
        <w:rPr>
          <w:rStyle w:val="Heading3Char"/>
          <w:rFonts w:ascii="Calibri" w:eastAsiaTheme="majorEastAsia" w:hAnsi="Calibri" w:cs="Calibri"/>
          <w:sz w:val="24"/>
          <w:szCs w:val="24"/>
        </w:rPr>
        <w:t>)</w:t>
      </w:r>
      <w:bookmarkEnd w:id="20"/>
      <w:r w:rsidR="005D4892">
        <w:rPr>
          <w:rStyle w:val="Heading4Char"/>
          <w:rFonts w:ascii="Calibri" w:hAnsi="Calibri" w:cs="Calibri"/>
          <w:b/>
          <w:bCs/>
          <w:i w:val="0"/>
          <w:iCs w:val="0"/>
          <w:color w:val="auto"/>
          <w:sz w:val="24"/>
          <w:szCs w:val="24"/>
        </w:rPr>
        <w:t>:</w:t>
      </w:r>
      <w:r>
        <w:rPr>
          <w:rFonts w:ascii="Calibri" w:hAnsi="Calibri" w:cs="Calibri"/>
          <w:sz w:val="24"/>
          <w:szCs w:val="24"/>
        </w:rPr>
        <w:t xml:space="preserve"> </w:t>
      </w:r>
      <w:r w:rsidRPr="00D074E7">
        <w:rPr>
          <w:rFonts w:ascii="Calibri" w:hAnsi="Calibri" w:cs="Calibri"/>
          <w:sz w:val="24"/>
          <w:szCs w:val="24"/>
        </w:rPr>
        <w:t>Barratt Development PLC</w:t>
      </w:r>
      <w:r>
        <w:rPr>
          <w:rFonts w:ascii="Calibri" w:hAnsi="Calibri" w:cs="Calibri"/>
          <w:sz w:val="24"/>
          <w:szCs w:val="24"/>
        </w:rPr>
        <w:t>’s</w:t>
      </w:r>
      <w:r w:rsidRPr="00D074E7">
        <w:rPr>
          <w:rFonts w:ascii="Calibri" w:hAnsi="Calibri" w:cs="Calibri"/>
          <w:sz w:val="24"/>
          <w:szCs w:val="24"/>
        </w:rPr>
        <w:t xml:space="preserve"> ROCE is lower than Berkeley's in most years, peaking at 16.3% in 2019 and 10.4% in 2023.</w:t>
      </w:r>
      <w:r>
        <w:rPr>
          <w:rFonts w:ascii="Calibri" w:hAnsi="Calibri" w:cs="Calibri"/>
          <w:sz w:val="24"/>
          <w:szCs w:val="24"/>
        </w:rPr>
        <w:t xml:space="preserve"> On the other hand, </w:t>
      </w:r>
      <w:r w:rsidRPr="00D074E7">
        <w:rPr>
          <w:rFonts w:ascii="Calibri" w:hAnsi="Calibri" w:cs="Calibri"/>
          <w:sz w:val="24"/>
          <w:szCs w:val="24"/>
        </w:rPr>
        <w:t>Berkeley Group Holdings PLC</w:t>
      </w:r>
      <w:r>
        <w:rPr>
          <w:rFonts w:ascii="Calibri" w:hAnsi="Calibri" w:cs="Calibri"/>
          <w:sz w:val="24"/>
          <w:szCs w:val="24"/>
        </w:rPr>
        <w:t xml:space="preserve">’s </w:t>
      </w:r>
      <w:r w:rsidRPr="00D074E7">
        <w:rPr>
          <w:rFonts w:ascii="Calibri" w:hAnsi="Calibri" w:cs="Calibri"/>
          <w:sz w:val="24"/>
          <w:szCs w:val="24"/>
        </w:rPr>
        <w:t>ROCE is very robust</w:t>
      </w:r>
      <w:r>
        <w:rPr>
          <w:rFonts w:ascii="Calibri" w:hAnsi="Calibri" w:cs="Calibri"/>
          <w:sz w:val="24"/>
          <w:szCs w:val="24"/>
        </w:rPr>
        <w:t xml:space="preserve">, with the highest at 22.8% in 2019, although it </w:t>
      </w:r>
      <w:r w:rsidRPr="00D074E7">
        <w:rPr>
          <w:rFonts w:ascii="Calibri" w:hAnsi="Calibri" w:cs="Calibri"/>
          <w:sz w:val="24"/>
          <w:szCs w:val="24"/>
        </w:rPr>
        <w:t>decreased to 10.4% in 2023, exactly matching Barratt’s ROCE for that year.</w:t>
      </w:r>
    </w:p>
    <w:p w14:paraId="67BFD4C2" w14:textId="77777777" w:rsidR="005D4892" w:rsidRPr="00B407C6" w:rsidRDefault="005D4892" w:rsidP="005D4892">
      <w:pPr>
        <w:pStyle w:val="ListParagraph"/>
        <w:tabs>
          <w:tab w:val="left" w:pos="4029"/>
        </w:tabs>
        <w:spacing w:line="360" w:lineRule="auto"/>
        <w:ind w:left="360"/>
        <w:jc w:val="both"/>
        <w:rPr>
          <w:rFonts w:ascii="Calibri" w:hAnsi="Calibri" w:cs="Calibri"/>
          <w:sz w:val="24"/>
          <w:szCs w:val="24"/>
        </w:rPr>
      </w:pPr>
    </w:p>
    <w:p w14:paraId="0CA7C895" w14:textId="00BD90D3"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21" w:name="_Toc165496497"/>
      <w:r w:rsidRPr="00AE6A95">
        <w:rPr>
          <w:rStyle w:val="Heading3Char"/>
          <w:rFonts w:ascii="Calibri" w:eastAsiaTheme="majorEastAsia" w:hAnsi="Calibri" w:cs="Calibri"/>
          <w:sz w:val="24"/>
          <w:szCs w:val="24"/>
        </w:rPr>
        <w:t>Return on Equity (ROE)</w:t>
      </w:r>
      <w:bookmarkEnd w:id="21"/>
      <w:r w:rsidR="005D4892">
        <w:rPr>
          <w:rFonts w:ascii="Calibri" w:hAnsi="Calibri" w:cs="Calibri"/>
          <w:sz w:val="24"/>
          <w:szCs w:val="24"/>
        </w:rPr>
        <w:t>:</w:t>
      </w:r>
      <w:r>
        <w:rPr>
          <w:rFonts w:ascii="Calibri" w:hAnsi="Calibri" w:cs="Calibri"/>
          <w:sz w:val="24"/>
          <w:szCs w:val="24"/>
        </w:rPr>
        <w:t xml:space="preserve"> </w:t>
      </w:r>
      <w:r w:rsidRPr="00D074E7">
        <w:rPr>
          <w:rFonts w:ascii="Calibri" w:hAnsi="Calibri" w:cs="Calibri"/>
          <w:sz w:val="24"/>
          <w:szCs w:val="24"/>
        </w:rPr>
        <w:t>Barratt Development PLC</w:t>
      </w:r>
      <w:r>
        <w:rPr>
          <w:rFonts w:ascii="Calibri" w:hAnsi="Calibri" w:cs="Calibri"/>
          <w:sz w:val="24"/>
          <w:szCs w:val="24"/>
        </w:rPr>
        <w:t>’s</w:t>
      </w:r>
      <w:r w:rsidRPr="00D074E7">
        <w:rPr>
          <w:rFonts w:ascii="Calibri" w:hAnsi="Calibri" w:cs="Calibri"/>
          <w:sz w:val="24"/>
          <w:szCs w:val="24"/>
        </w:rPr>
        <w:t xml:space="preserve"> ROE </w:t>
      </w:r>
      <w:r>
        <w:rPr>
          <w:rFonts w:ascii="Calibri" w:hAnsi="Calibri" w:cs="Calibri"/>
          <w:sz w:val="24"/>
          <w:szCs w:val="24"/>
        </w:rPr>
        <w:t xml:space="preserve">decreased from 15.2% in 2019 to 9.5% in 2023, suggesting a declining efficiency in generating profits from shareholders' equity. On the other hand, </w:t>
      </w:r>
      <w:r w:rsidRPr="00E24F73">
        <w:rPr>
          <w:rFonts w:ascii="Calibri" w:hAnsi="Calibri" w:cs="Calibri"/>
          <w:sz w:val="24"/>
          <w:szCs w:val="24"/>
        </w:rPr>
        <w:t>Berkeley Group Holdings PLC</w:t>
      </w:r>
      <w:r>
        <w:rPr>
          <w:rFonts w:ascii="Calibri" w:hAnsi="Calibri" w:cs="Calibri"/>
          <w:sz w:val="24"/>
          <w:szCs w:val="24"/>
        </w:rPr>
        <w:t>’s</w:t>
      </w:r>
      <w:r w:rsidRPr="00E24F73">
        <w:rPr>
          <w:rFonts w:ascii="Calibri" w:hAnsi="Calibri" w:cs="Calibri"/>
          <w:sz w:val="24"/>
          <w:szCs w:val="24"/>
        </w:rPr>
        <w:t xml:space="preserve"> ROE is consistently higher than Barratt’s, although it also shows a downward trend from 21.2% in 2019 to 14.0% in 2023.</w:t>
      </w:r>
    </w:p>
    <w:p w14:paraId="6E15CF83" w14:textId="77777777" w:rsidR="005D4892" w:rsidRPr="005D4892" w:rsidRDefault="005D4892" w:rsidP="005D4892">
      <w:pPr>
        <w:pStyle w:val="ListParagraph"/>
        <w:rPr>
          <w:rFonts w:ascii="Calibri" w:hAnsi="Calibri" w:cs="Calibri"/>
          <w:sz w:val="24"/>
          <w:szCs w:val="24"/>
        </w:rPr>
      </w:pPr>
    </w:p>
    <w:p w14:paraId="554B9ABE" w14:textId="77777777" w:rsidR="005D4892" w:rsidRPr="00B407C6" w:rsidRDefault="005D4892" w:rsidP="005D4892">
      <w:pPr>
        <w:pStyle w:val="ListParagraph"/>
        <w:tabs>
          <w:tab w:val="left" w:pos="4029"/>
        </w:tabs>
        <w:spacing w:line="360" w:lineRule="auto"/>
        <w:ind w:left="360"/>
        <w:jc w:val="both"/>
        <w:rPr>
          <w:rFonts w:ascii="Calibri" w:hAnsi="Calibri" w:cs="Calibri"/>
          <w:sz w:val="24"/>
          <w:szCs w:val="24"/>
        </w:rPr>
      </w:pPr>
    </w:p>
    <w:p w14:paraId="1BC6AF88" w14:textId="090CD46A"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22" w:name="_Toc165496498"/>
      <w:r w:rsidRPr="00AE6A95">
        <w:rPr>
          <w:rStyle w:val="Heading3Char"/>
          <w:rFonts w:ascii="Calibri" w:eastAsiaTheme="majorEastAsia" w:hAnsi="Calibri" w:cs="Calibri"/>
          <w:sz w:val="24"/>
          <w:szCs w:val="24"/>
        </w:rPr>
        <w:t>Return on Assets (ROA)</w:t>
      </w:r>
      <w:bookmarkEnd w:id="22"/>
      <w:r w:rsidR="006A0411">
        <w:rPr>
          <w:rFonts w:ascii="Calibri" w:hAnsi="Calibri" w:cs="Calibri"/>
          <w:sz w:val="24"/>
          <w:szCs w:val="24"/>
        </w:rPr>
        <w:t>:</w:t>
      </w:r>
      <w:r>
        <w:rPr>
          <w:rFonts w:ascii="Calibri" w:hAnsi="Calibri" w:cs="Calibri"/>
          <w:sz w:val="24"/>
          <w:szCs w:val="24"/>
        </w:rPr>
        <w:t xml:space="preserve"> </w:t>
      </w:r>
      <w:r w:rsidRPr="00E24F73">
        <w:rPr>
          <w:rFonts w:ascii="Calibri" w:hAnsi="Calibri" w:cs="Calibri"/>
          <w:sz w:val="24"/>
          <w:szCs w:val="24"/>
        </w:rPr>
        <w:t>Barratt Development PLC</w:t>
      </w:r>
      <w:r>
        <w:rPr>
          <w:rFonts w:ascii="Calibri" w:hAnsi="Calibri" w:cs="Calibri"/>
          <w:sz w:val="24"/>
          <w:szCs w:val="24"/>
        </w:rPr>
        <w:t>’s</w:t>
      </w:r>
      <w:r w:rsidRPr="00E24F73">
        <w:rPr>
          <w:rFonts w:ascii="Calibri" w:hAnsi="Calibri" w:cs="Calibri"/>
          <w:sz w:val="24"/>
          <w:szCs w:val="24"/>
        </w:rPr>
        <w:t xml:space="preserve"> ROA decreased from 10.0% in 2019 to 6.6% in 2023, indicating less profitability generated from the company’s total assets.</w:t>
      </w:r>
      <w:r>
        <w:rPr>
          <w:rFonts w:ascii="Calibri" w:hAnsi="Calibri" w:cs="Calibri"/>
          <w:sz w:val="24"/>
          <w:szCs w:val="24"/>
        </w:rPr>
        <w:t xml:space="preserve"> </w:t>
      </w:r>
    </w:p>
    <w:p w14:paraId="3048BF1C" w14:textId="77777777" w:rsidR="00923F6C" w:rsidRDefault="00923F6C" w:rsidP="00923F6C">
      <w:pPr>
        <w:pStyle w:val="ListParagraph"/>
        <w:tabs>
          <w:tab w:val="left" w:pos="4029"/>
        </w:tabs>
        <w:spacing w:line="360" w:lineRule="auto"/>
        <w:ind w:left="360"/>
        <w:jc w:val="both"/>
        <w:rPr>
          <w:rFonts w:ascii="Calibri" w:hAnsi="Calibri" w:cs="Calibri"/>
          <w:sz w:val="24"/>
          <w:szCs w:val="24"/>
        </w:rPr>
      </w:pPr>
      <w:r>
        <w:rPr>
          <w:rFonts w:ascii="Calibri" w:hAnsi="Calibri" w:cs="Calibri"/>
          <w:sz w:val="24"/>
          <w:szCs w:val="24"/>
        </w:rPr>
        <w:t>On the other hand,</w:t>
      </w:r>
      <w:r w:rsidRPr="00E24F73">
        <w:rPr>
          <w:rFonts w:ascii="Calibri" w:hAnsi="Calibri" w:cs="Calibri"/>
          <w:sz w:val="24"/>
          <w:szCs w:val="24"/>
        </w:rPr>
        <w:t xml:space="preserve"> Berkeley Group Holdings PLC</w:t>
      </w:r>
      <w:r>
        <w:rPr>
          <w:rFonts w:ascii="Calibri" w:hAnsi="Calibri" w:cs="Calibri"/>
          <w:sz w:val="24"/>
          <w:szCs w:val="24"/>
        </w:rPr>
        <w:t xml:space="preserve"> </w:t>
      </w:r>
      <w:r w:rsidRPr="00E24F73">
        <w:rPr>
          <w:rFonts w:ascii="Calibri" w:hAnsi="Calibri" w:cs="Calibri"/>
          <w:sz w:val="24"/>
          <w:szCs w:val="24"/>
        </w:rPr>
        <w:t>has a slightly higher ROA than Barratt in most years, with a decrease from 12.7% in 2019 to 6.8% in 2023.</w:t>
      </w:r>
    </w:p>
    <w:p w14:paraId="455CF714" w14:textId="77777777" w:rsidR="005D4892" w:rsidRPr="00B407C6" w:rsidRDefault="005D4892" w:rsidP="00923F6C">
      <w:pPr>
        <w:pStyle w:val="ListParagraph"/>
        <w:tabs>
          <w:tab w:val="left" w:pos="4029"/>
        </w:tabs>
        <w:spacing w:line="360" w:lineRule="auto"/>
        <w:ind w:left="360"/>
        <w:jc w:val="both"/>
        <w:rPr>
          <w:rFonts w:ascii="Calibri" w:hAnsi="Calibri" w:cs="Calibri"/>
          <w:sz w:val="24"/>
          <w:szCs w:val="24"/>
        </w:rPr>
      </w:pPr>
    </w:p>
    <w:p w14:paraId="71D872AE" w14:textId="08550875" w:rsidR="00923F6C" w:rsidRDefault="00923F6C" w:rsidP="00923F6C">
      <w:pPr>
        <w:pStyle w:val="ListParagraph"/>
        <w:numPr>
          <w:ilvl w:val="0"/>
          <w:numId w:val="19"/>
        </w:numPr>
        <w:tabs>
          <w:tab w:val="left" w:pos="4029"/>
        </w:tabs>
        <w:spacing w:line="360" w:lineRule="auto"/>
        <w:jc w:val="both"/>
        <w:rPr>
          <w:rFonts w:ascii="Calibri" w:hAnsi="Calibri" w:cs="Calibri"/>
          <w:sz w:val="24"/>
          <w:szCs w:val="24"/>
        </w:rPr>
      </w:pPr>
      <w:bookmarkStart w:id="23" w:name="_Toc165496499"/>
      <w:r w:rsidRPr="00AE6A95">
        <w:rPr>
          <w:rStyle w:val="Heading3Char"/>
          <w:rFonts w:ascii="Calibri" w:eastAsiaTheme="majorEastAsia" w:hAnsi="Calibri" w:cs="Calibri"/>
          <w:sz w:val="24"/>
          <w:szCs w:val="24"/>
        </w:rPr>
        <w:t>Earnings Quality (CFO/Net Income)</w:t>
      </w:r>
      <w:bookmarkEnd w:id="23"/>
      <w:r w:rsidRPr="00E24F73">
        <w:rPr>
          <w:rFonts w:ascii="Calibri" w:hAnsi="Calibri" w:cs="Calibri"/>
          <w:sz w:val="24"/>
          <w:szCs w:val="24"/>
        </w:rPr>
        <w:t>:</w:t>
      </w:r>
      <w:r>
        <w:rPr>
          <w:rFonts w:ascii="Calibri" w:hAnsi="Calibri" w:cs="Calibri"/>
          <w:sz w:val="24"/>
          <w:szCs w:val="24"/>
        </w:rPr>
        <w:t xml:space="preserve"> </w:t>
      </w:r>
      <w:r w:rsidRPr="00E24F73">
        <w:rPr>
          <w:rFonts w:ascii="Calibri" w:hAnsi="Calibri" w:cs="Calibri"/>
          <w:sz w:val="24"/>
          <w:szCs w:val="24"/>
        </w:rPr>
        <w:t xml:space="preserve">Barratt Development </w:t>
      </w:r>
      <w:r>
        <w:rPr>
          <w:rFonts w:ascii="Calibri" w:hAnsi="Calibri" w:cs="Calibri"/>
          <w:sz w:val="24"/>
          <w:szCs w:val="24"/>
        </w:rPr>
        <w:t>PLC's earning quality varies significantly, with a high of 1.6 in 2021 and a low of -0.3 in 2020, indicating some inconsistency in earnings quality. On the other hand, Berkeley Group Holdings PLC's</w:t>
      </w:r>
      <w:r w:rsidRPr="00E24F73">
        <w:rPr>
          <w:rFonts w:ascii="Calibri" w:hAnsi="Calibri" w:cs="Calibri"/>
          <w:sz w:val="24"/>
          <w:szCs w:val="24"/>
        </w:rPr>
        <w:t xml:space="preserve"> earning quality also shows variability, with a concerning figure of -0.3 in 2022. In 2023, the ratio is 0.7, which is lower than Barratt’s 0.9.</w:t>
      </w:r>
    </w:p>
    <w:p w14:paraId="712ADB25" w14:textId="77777777" w:rsidR="00520157" w:rsidRDefault="00520157" w:rsidP="00520157">
      <w:pPr>
        <w:pStyle w:val="ListParagraph"/>
        <w:tabs>
          <w:tab w:val="left" w:pos="4029"/>
        </w:tabs>
        <w:spacing w:line="360" w:lineRule="auto"/>
        <w:ind w:left="360"/>
        <w:jc w:val="both"/>
        <w:rPr>
          <w:rFonts w:ascii="Calibri" w:hAnsi="Calibri" w:cs="Calibri"/>
          <w:sz w:val="24"/>
          <w:szCs w:val="24"/>
        </w:rPr>
      </w:pPr>
    </w:p>
    <w:p w14:paraId="17B4716D" w14:textId="47ACC4C8" w:rsidR="00923F6C" w:rsidRDefault="005D4892" w:rsidP="00923F6C">
      <w:pPr>
        <w:tabs>
          <w:tab w:val="left" w:pos="4029"/>
        </w:tabs>
        <w:spacing w:line="360" w:lineRule="auto"/>
        <w:jc w:val="both"/>
        <w:rPr>
          <w:rFonts w:ascii="Calibri" w:hAnsi="Calibri" w:cs="Calibri"/>
          <w:sz w:val="24"/>
          <w:szCs w:val="24"/>
        </w:rPr>
      </w:pPr>
      <w:r w:rsidRPr="005D4892">
        <w:rPr>
          <w:rFonts w:ascii="Calibri" w:hAnsi="Calibri" w:cs="Calibri"/>
          <w:sz w:val="24"/>
          <w:szCs w:val="24"/>
        </w:rPr>
        <w:t>Barratt Developments PLC's profitability ratios have declined over the last five years, as seen in Figure 3. The company's net profit margin (NPM), operating profit margin (OPM), and gross profit margin (GPM) have all decreased</w:t>
      </w:r>
      <w:r w:rsidR="00923F6C">
        <w:rPr>
          <w:rFonts w:ascii="Calibri" w:hAnsi="Calibri" w:cs="Calibri"/>
          <w:sz w:val="24"/>
          <w:szCs w:val="24"/>
        </w:rPr>
        <w:t xml:space="preserve">. </w:t>
      </w:r>
      <w:r w:rsidR="00923F6C" w:rsidRPr="00B93CE5">
        <w:rPr>
          <w:rFonts w:ascii="Calibri" w:hAnsi="Calibri" w:cs="Calibri"/>
          <w:sz w:val="24"/>
          <w:szCs w:val="24"/>
        </w:rPr>
        <w:t>In 2023, Barratt's GPM stood at 21.2%, down from 22.8% in 2019, indicating that the company's gross profit has decreased relative to its revenue</w:t>
      </w:r>
      <w:r w:rsidR="00923F6C">
        <w:rPr>
          <w:rFonts w:ascii="Calibri" w:hAnsi="Calibri" w:cs="Calibri"/>
          <w:sz w:val="24"/>
          <w:szCs w:val="24"/>
        </w:rPr>
        <w:t xml:space="preserve">. </w:t>
      </w:r>
      <w:r w:rsidR="00923F6C" w:rsidRPr="00B93CE5">
        <w:rPr>
          <w:rFonts w:ascii="Calibri" w:hAnsi="Calibri" w:cs="Calibri"/>
          <w:sz w:val="24"/>
          <w:szCs w:val="24"/>
        </w:rPr>
        <w:t>Similarly, the company's OPM and NPM have declined from 18.9% and 15.5% in 2019 to 12.9% and 10.0% in 2023, respectively</w:t>
      </w:r>
      <w:r w:rsidR="00923F6C">
        <w:rPr>
          <w:rFonts w:ascii="Calibri" w:hAnsi="Calibri" w:cs="Calibri"/>
          <w:sz w:val="24"/>
          <w:szCs w:val="24"/>
        </w:rPr>
        <w:t xml:space="preserve">. </w:t>
      </w:r>
      <w:r w:rsidR="00923F6C" w:rsidRPr="00B93CE5">
        <w:rPr>
          <w:rFonts w:ascii="Calibri" w:hAnsi="Calibri" w:cs="Calibri"/>
          <w:sz w:val="24"/>
          <w:szCs w:val="24"/>
        </w:rPr>
        <w:t>The decline in Barratt's profitability ratios can be attributed to several factors, including increased costs, competitive pressures, and market conditions</w:t>
      </w:r>
      <w:r w:rsidR="00923F6C">
        <w:rPr>
          <w:rFonts w:ascii="Calibri" w:hAnsi="Calibri" w:cs="Calibri"/>
          <w:sz w:val="24"/>
          <w:szCs w:val="24"/>
        </w:rPr>
        <w:t xml:space="preserve">. </w:t>
      </w:r>
      <w:r w:rsidR="00923F6C" w:rsidRPr="00B407C6">
        <w:rPr>
          <w:rFonts w:ascii="Calibri" w:hAnsi="Calibri" w:cs="Calibri"/>
          <w:sz w:val="24"/>
          <w:szCs w:val="24"/>
        </w:rPr>
        <w:t xml:space="preserve">The company's annual report mentions that customers </w:t>
      </w:r>
      <w:r w:rsidR="00923F6C">
        <w:rPr>
          <w:rFonts w:ascii="Calibri" w:hAnsi="Calibri" w:cs="Calibri"/>
          <w:sz w:val="24"/>
          <w:szCs w:val="24"/>
        </w:rPr>
        <w:t>face</w:t>
      </w:r>
      <w:r w:rsidR="00923F6C" w:rsidRPr="00B407C6">
        <w:rPr>
          <w:rFonts w:ascii="Calibri" w:hAnsi="Calibri" w:cs="Calibri"/>
          <w:sz w:val="24"/>
          <w:szCs w:val="24"/>
        </w:rPr>
        <w:t xml:space="preserve"> cost of living and mortgage affordability challenges, which may have impacted demand and pricing</w:t>
      </w:r>
      <w:r w:rsidR="00923F6C">
        <w:rPr>
          <w:rFonts w:ascii="Calibri" w:hAnsi="Calibri" w:cs="Calibri"/>
          <w:sz w:val="24"/>
          <w:szCs w:val="24"/>
        </w:rPr>
        <w:t xml:space="preserve">. </w:t>
      </w:r>
      <w:r w:rsidR="00745DBF">
        <w:rPr>
          <w:rFonts w:ascii="Calibri" w:hAnsi="Calibri" w:cs="Calibri"/>
          <w:sz w:val="24"/>
          <w:szCs w:val="24"/>
        </w:rPr>
        <w:t xml:space="preserve">As shown in Figure 4, </w:t>
      </w:r>
      <w:r w:rsidR="00923F6C" w:rsidRPr="00B407C6">
        <w:rPr>
          <w:rFonts w:ascii="Calibri" w:hAnsi="Calibri" w:cs="Calibri"/>
          <w:sz w:val="24"/>
          <w:szCs w:val="24"/>
        </w:rPr>
        <w:t>Berkeley Group Holdings PLC has maintained relatively stable profitability ratios over the same period, with its GPM, OPM, and NPM remaining above 25%</w:t>
      </w:r>
      <w:r w:rsidR="00923F6C">
        <w:rPr>
          <w:rFonts w:ascii="Calibri" w:hAnsi="Calibri" w:cs="Calibri"/>
          <w:sz w:val="24"/>
          <w:szCs w:val="24"/>
        </w:rPr>
        <w:t xml:space="preserve">. </w:t>
      </w:r>
      <w:r w:rsidR="00923F6C" w:rsidRPr="00B407C6">
        <w:rPr>
          <w:rFonts w:ascii="Calibri" w:hAnsi="Calibri" w:cs="Calibri"/>
          <w:sz w:val="24"/>
          <w:szCs w:val="24"/>
        </w:rPr>
        <w:t xml:space="preserve"> However, Berkeley's profitability ratios have also declined from their peak in 2019, suggesting that the industry </w:t>
      </w:r>
      <w:proofErr w:type="gramStart"/>
      <w:r w:rsidR="00923F6C" w:rsidRPr="00B407C6">
        <w:rPr>
          <w:rFonts w:ascii="Calibri" w:hAnsi="Calibri" w:cs="Calibri"/>
          <w:sz w:val="24"/>
          <w:szCs w:val="24"/>
        </w:rPr>
        <w:t>as a whole is</w:t>
      </w:r>
      <w:proofErr w:type="gramEnd"/>
      <w:r w:rsidR="00923F6C" w:rsidRPr="00B407C6">
        <w:rPr>
          <w:rFonts w:ascii="Calibri" w:hAnsi="Calibri" w:cs="Calibri"/>
          <w:sz w:val="24"/>
          <w:szCs w:val="24"/>
        </w:rPr>
        <w:t xml:space="preserve"> facing challenges.</w:t>
      </w:r>
      <w:r w:rsidR="00923F6C">
        <w:rPr>
          <w:rFonts w:ascii="Calibri" w:hAnsi="Calibri" w:cs="Calibri"/>
          <w:sz w:val="24"/>
          <w:szCs w:val="24"/>
        </w:rPr>
        <w:t xml:space="preserve"> </w:t>
      </w:r>
      <w:r w:rsidR="00923F6C" w:rsidRPr="00B407C6">
        <w:rPr>
          <w:rFonts w:ascii="Calibri" w:hAnsi="Calibri" w:cs="Calibri"/>
          <w:sz w:val="24"/>
          <w:szCs w:val="24"/>
        </w:rPr>
        <w:t>Barratt's return on capital employed (ROCE), return on equity (ROE), and return on assets (ROA) have also declined,</w:t>
      </w:r>
      <w:r>
        <w:rPr>
          <w:rFonts w:ascii="Calibri" w:hAnsi="Calibri" w:cs="Calibri"/>
          <w:sz w:val="24"/>
          <w:szCs w:val="24"/>
        </w:rPr>
        <w:t xml:space="preserve"> which shows</w:t>
      </w:r>
      <w:r w:rsidR="00923F6C" w:rsidRPr="00B407C6">
        <w:rPr>
          <w:rFonts w:ascii="Calibri" w:hAnsi="Calibri" w:cs="Calibri"/>
          <w:sz w:val="24"/>
          <w:szCs w:val="24"/>
        </w:rPr>
        <w:t xml:space="preserve"> the company is generating lower returns on its invested capital, equity, and assets</w:t>
      </w:r>
      <w:r w:rsidR="00923F6C">
        <w:rPr>
          <w:rFonts w:ascii="Calibri" w:hAnsi="Calibri" w:cs="Calibri"/>
          <w:sz w:val="24"/>
          <w:szCs w:val="24"/>
        </w:rPr>
        <w:t xml:space="preserve">. </w:t>
      </w:r>
      <w:r w:rsidR="008C7C08" w:rsidRPr="008C7C08">
        <w:rPr>
          <w:rFonts w:ascii="Calibri" w:hAnsi="Calibri" w:cs="Calibri"/>
          <w:sz w:val="24"/>
          <w:szCs w:val="24"/>
        </w:rPr>
        <w:t>The company's earnings quality has also declined, as indicated by the ratio of cash flow from operations to net income, which raises the possibility that cash flow may not be keeping up with reported earnings</w:t>
      </w:r>
      <w:r w:rsidR="00520157">
        <w:rPr>
          <w:rFonts w:ascii="Calibri" w:hAnsi="Calibri" w:cs="Calibri"/>
          <w:sz w:val="24"/>
          <w:szCs w:val="24"/>
        </w:rPr>
        <w:t>.</w:t>
      </w:r>
    </w:p>
    <w:p w14:paraId="007031F3" w14:textId="77777777" w:rsidR="00923F6C" w:rsidRDefault="00923F6C" w:rsidP="00923F6C">
      <w:pPr>
        <w:tabs>
          <w:tab w:val="left" w:pos="4029"/>
        </w:tabs>
        <w:spacing w:line="360" w:lineRule="auto"/>
        <w:jc w:val="both"/>
        <w:rPr>
          <w:rFonts w:ascii="Calibri" w:hAnsi="Calibri" w:cs="Calibri"/>
          <w:sz w:val="24"/>
          <w:szCs w:val="24"/>
        </w:rPr>
      </w:pPr>
    </w:p>
    <w:p w14:paraId="725A6971" w14:textId="77777777" w:rsidR="006A0411" w:rsidRDefault="006A0411" w:rsidP="00923F6C">
      <w:pPr>
        <w:tabs>
          <w:tab w:val="left" w:pos="4029"/>
        </w:tabs>
        <w:spacing w:line="360" w:lineRule="auto"/>
        <w:jc w:val="both"/>
        <w:rPr>
          <w:rFonts w:ascii="Calibri" w:hAnsi="Calibri" w:cs="Calibri"/>
          <w:sz w:val="24"/>
          <w:szCs w:val="24"/>
        </w:rPr>
      </w:pPr>
    </w:p>
    <w:p w14:paraId="03A0C820" w14:textId="77777777" w:rsidR="00923F6C" w:rsidRDefault="00923F6C" w:rsidP="00923F6C">
      <w:pPr>
        <w:tabs>
          <w:tab w:val="left" w:pos="4029"/>
        </w:tabs>
        <w:spacing w:line="360" w:lineRule="auto"/>
        <w:jc w:val="both"/>
        <w:rPr>
          <w:rFonts w:ascii="Calibri" w:hAnsi="Calibri" w:cs="Calibri"/>
          <w:sz w:val="24"/>
          <w:szCs w:val="24"/>
        </w:rPr>
      </w:pPr>
    </w:p>
    <w:p w14:paraId="4A2A1904" w14:textId="24BE908E" w:rsidR="00923F6C" w:rsidRPr="00B00849" w:rsidRDefault="00AE6A95" w:rsidP="00B00849">
      <w:pPr>
        <w:pStyle w:val="Heading3"/>
        <w:rPr>
          <w:rFonts w:ascii="Calibri" w:hAnsi="Calibri" w:cs="Calibri"/>
          <w:sz w:val="28"/>
          <w:szCs w:val="28"/>
        </w:rPr>
      </w:pPr>
      <w:bookmarkStart w:id="24" w:name="_Toc165495784"/>
      <w:bookmarkStart w:id="25" w:name="_Toc165496500"/>
      <w:r>
        <w:rPr>
          <w:rFonts w:ascii="Calibri" w:hAnsi="Calibri" w:cs="Calibri"/>
          <w:sz w:val="28"/>
          <w:szCs w:val="28"/>
        </w:rPr>
        <w:lastRenderedPageBreak/>
        <w:t>2.1.3 GEARING</w:t>
      </w:r>
      <w:r w:rsidR="00923F6C" w:rsidRPr="00B00849">
        <w:rPr>
          <w:rFonts w:ascii="Calibri" w:hAnsi="Calibri" w:cs="Calibri"/>
          <w:sz w:val="28"/>
          <w:szCs w:val="28"/>
        </w:rPr>
        <w:t xml:space="preserve"> RATIO</w:t>
      </w:r>
      <w:bookmarkEnd w:id="24"/>
      <w:bookmarkEnd w:id="25"/>
    </w:p>
    <w:p w14:paraId="4E32BE6D" w14:textId="28CC7FAB" w:rsidR="003B048F" w:rsidRPr="00E60945" w:rsidRDefault="00923F6C" w:rsidP="00EF7E2C">
      <w:pPr>
        <w:tabs>
          <w:tab w:val="left" w:pos="4029"/>
        </w:tabs>
        <w:spacing w:line="360" w:lineRule="auto"/>
        <w:jc w:val="both"/>
        <w:rPr>
          <w:rFonts w:ascii="Calibri" w:hAnsi="Calibri" w:cs="Calibri"/>
          <w:sz w:val="24"/>
          <w:szCs w:val="24"/>
        </w:rPr>
      </w:pPr>
      <w:r w:rsidRPr="00135607">
        <w:rPr>
          <w:rFonts w:ascii="Calibri" w:hAnsi="Calibri" w:cs="Calibri"/>
          <w:sz w:val="24"/>
          <w:szCs w:val="24"/>
        </w:rPr>
        <w:t>Barratt Developments PLC has maintained a very low gearing ratio over the past five years</w:t>
      </w:r>
      <w:r w:rsidR="00993E2B">
        <w:rPr>
          <w:rFonts w:ascii="Calibri" w:hAnsi="Calibri" w:cs="Calibri"/>
          <w:sz w:val="24"/>
          <w:szCs w:val="24"/>
        </w:rPr>
        <w:t xml:space="preserve">, as shown in Figure 5, which </w:t>
      </w:r>
      <w:r w:rsidRPr="00135607">
        <w:rPr>
          <w:rFonts w:ascii="Calibri" w:hAnsi="Calibri" w:cs="Calibri"/>
          <w:sz w:val="24"/>
          <w:szCs w:val="24"/>
        </w:rPr>
        <w:t>indica</w:t>
      </w:r>
      <w:r w:rsidR="008C7C08">
        <w:rPr>
          <w:rFonts w:ascii="Calibri" w:hAnsi="Calibri" w:cs="Calibri"/>
          <w:sz w:val="24"/>
          <w:szCs w:val="24"/>
        </w:rPr>
        <w:t>tes</w:t>
      </w:r>
      <w:r w:rsidRPr="00135607">
        <w:rPr>
          <w:rFonts w:ascii="Calibri" w:hAnsi="Calibri" w:cs="Calibri"/>
          <w:sz w:val="24"/>
          <w:szCs w:val="24"/>
        </w:rPr>
        <w:t xml:space="preserve"> the company relies more o</w:t>
      </w:r>
      <w:r w:rsidR="00993E2B">
        <w:rPr>
          <w:rFonts w:ascii="Calibri" w:hAnsi="Calibri" w:cs="Calibri"/>
          <w:sz w:val="24"/>
          <w:szCs w:val="24"/>
        </w:rPr>
        <w:t>n</w:t>
      </w:r>
      <w:r w:rsidRPr="00135607">
        <w:rPr>
          <w:rFonts w:ascii="Calibri" w:hAnsi="Calibri" w:cs="Calibri"/>
          <w:sz w:val="24"/>
          <w:szCs w:val="24"/>
        </w:rPr>
        <w:t xml:space="preserve"> financing</w:t>
      </w:r>
      <w:r w:rsidR="00993E2B">
        <w:rPr>
          <w:rFonts w:ascii="Calibri" w:hAnsi="Calibri" w:cs="Calibri"/>
          <w:sz w:val="24"/>
          <w:szCs w:val="24"/>
        </w:rPr>
        <w:t xml:space="preserve"> equity</w:t>
      </w:r>
      <w:r w:rsidRPr="00135607">
        <w:rPr>
          <w:rFonts w:ascii="Calibri" w:hAnsi="Calibri" w:cs="Calibri"/>
          <w:sz w:val="24"/>
          <w:szCs w:val="24"/>
        </w:rPr>
        <w:t xml:space="preserve"> than debt</w:t>
      </w:r>
      <w:r>
        <w:rPr>
          <w:rFonts w:ascii="Calibri" w:hAnsi="Calibri" w:cs="Calibri"/>
          <w:sz w:val="24"/>
          <w:szCs w:val="24"/>
        </w:rPr>
        <w:t xml:space="preserve">. </w:t>
      </w:r>
      <w:r w:rsidR="00993E2B" w:rsidRPr="00993E2B">
        <w:rPr>
          <w:rFonts w:ascii="Calibri" w:hAnsi="Calibri" w:cs="Calibri"/>
          <w:sz w:val="24"/>
          <w:szCs w:val="24"/>
        </w:rPr>
        <w:t>Barratt's interest cover ratio, which gauges the capacity of the business to cover</w:t>
      </w:r>
      <w:r w:rsidR="00993E2B">
        <w:rPr>
          <w:rFonts w:ascii="Calibri" w:hAnsi="Calibri" w:cs="Calibri"/>
          <w:sz w:val="24"/>
          <w:szCs w:val="24"/>
        </w:rPr>
        <w:t xml:space="preserve"> its</w:t>
      </w:r>
      <w:r w:rsidR="00993E2B" w:rsidRPr="00993E2B">
        <w:rPr>
          <w:rFonts w:ascii="Calibri" w:hAnsi="Calibri" w:cs="Calibri"/>
          <w:sz w:val="24"/>
          <w:szCs w:val="24"/>
        </w:rPr>
        <w:t xml:space="preserve"> interest </w:t>
      </w:r>
      <w:r w:rsidR="00993E2B">
        <w:rPr>
          <w:rFonts w:ascii="Calibri" w:hAnsi="Calibri" w:cs="Calibri"/>
          <w:sz w:val="24"/>
          <w:szCs w:val="24"/>
        </w:rPr>
        <w:t>expenses</w:t>
      </w:r>
      <w:r w:rsidR="00993E2B" w:rsidRPr="00993E2B">
        <w:rPr>
          <w:rFonts w:ascii="Calibri" w:hAnsi="Calibri" w:cs="Calibri"/>
          <w:sz w:val="24"/>
          <w:szCs w:val="24"/>
        </w:rPr>
        <w:t>, has been high for a long time</w:t>
      </w:r>
      <w:r w:rsidR="00993E2B">
        <w:rPr>
          <w:rFonts w:ascii="Calibri" w:hAnsi="Calibri" w:cs="Calibri"/>
          <w:sz w:val="24"/>
          <w:szCs w:val="24"/>
        </w:rPr>
        <w:t>; it</w:t>
      </w:r>
      <w:r w:rsidR="00993E2B" w:rsidRPr="00993E2B">
        <w:rPr>
          <w:rFonts w:ascii="Calibri" w:hAnsi="Calibri" w:cs="Calibri"/>
          <w:sz w:val="24"/>
          <w:szCs w:val="24"/>
        </w:rPr>
        <w:t xml:space="preserve"> hit 62.2 in 2023</w:t>
      </w:r>
      <w:r>
        <w:rPr>
          <w:rFonts w:ascii="Calibri" w:hAnsi="Calibri" w:cs="Calibri"/>
          <w:sz w:val="24"/>
          <w:szCs w:val="24"/>
        </w:rPr>
        <w:t xml:space="preserve">. </w:t>
      </w:r>
      <w:r w:rsidR="00993E2B" w:rsidRPr="00993E2B">
        <w:rPr>
          <w:rFonts w:ascii="Calibri" w:hAnsi="Calibri" w:cs="Calibri"/>
          <w:sz w:val="24"/>
          <w:szCs w:val="24"/>
        </w:rPr>
        <w:t>This implies that the business is not overly dependent on debt financing and has the resources to pay its interest</w:t>
      </w:r>
      <w:r w:rsidRPr="00135607">
        <w:rPr>
          <w:rFonts w:ascii="Calibri" w:hAnsi="Calibri" w:cs="Calibri"/>
          <w:sz w:val="24"/>
          <w:szCs w:val="24"/>
        </w:rPr>
        <w:t>.</w:t>
      </w:r>
      <w:r>
        <w:rPr>
          <w:rFonts w:ascii="Calibri" w:hAnsi="Calibri" w:cs="Calibri"/>
          <w:sz w:val="24"/>
          <w:szCs w:val="24"/>
        </w:rPr>
        <w:t xml:space="preserve"> </w:t>
      </w:r>
      <w:r w:rsidRPr="00135607">
        <w:rPr>
          <w:rFonts w:ascii="Calibri" w:hAnsi="Calibri" w:cs="Calibri"/>
          <w:sz w:val="24"/>
          <w:szCs w:val="24"/>
        </w:rPr>
        <w:t xml:space="preserve">The company's long-term </w:t>
      </w:r>
      <w:r>
        <w:rPr>
          <w:rFonts w:ascii="Calibri" w:hAnsi="Calibri" w:cs="Calibri"/>
          <w:sz w:val="24"/>
          <w:szCs w:val="24"/>
        </w:rPr>
        <w:t>debt-to-equity</w:t>
      </w:r>
      <w:r w:rsidRPr="00135607">
        <w:rPr>
          <w:rFonts w:ascii="Calibri" w:hAnsi="Calibri" w:cs="Calibri"/>
          <w:sz w:val="24"/>
          <w:szCs w:val="24"/>
        </w:rPr>
        <w:t xml:space="preserve"> (D/E) ratio has been close to 0.0 in recent years</w:t>
      </w:r>
      <w:r>
        <w:rPr>
          <w:rFonts w:ascii="Calibri" w:hAnsi="Calibri" w:cs="Calibri"/>
          <w:sz w:val="24"/>
          <w:szCs w:val="24"/>
        </w:rPr>
        <w:t xml:space="preserve">. </w:t>
      </w:r>
      <w:r w:rsidRPr="00135607">
        <w:rPr>
          <w:rFonts w:ascii="Calibri" w:hAnsi="Calibri" w:cs="Calibri"/>
          <w:sz w:val="24"/>
          <w:szCs w:val="24"/>
        </w:rPr>
        <w:t>This means that Barratt has very little long-term debt compared to its equity capital, indicating a conservative approach to financing.</w:t>
      </w:r>
      <w:r>
        <w:rPr>
          <w:rFonts w:ascii="Calibri" w:hAnsi="Calibri" w:cs="Calibri"/>
          <w:sz w:val="24"/>
          <w:szCs w:val="24"/>
        </w:rPr>
        <w:t xml:space="preserve"> </w:t>
      </w:r>
      <w:r w:rsidRPr="00135607">
        <w:rPr>
          <w:rFonts w:ascii="Calibri" w:hAnsi="Calibri" w:cs="Calibri"/>
          <w:sz w:val="24"/>
          <w:szCs w:val="24"/>
        </w:rPr>
        <w:t>Barratt's cash flow ratio, which measures the company's ability to generate cash from operations to cover its total debt, has been positive in most years, reaching 0.2 in 2023</w:t>
      </w:r>
      <w:r>
        <w:rPr>
          <w:rFonts w:ascii="Calibri" w:hAnsi="Calibri" w:cs="Calibri"/>
          <w:sz w:val="24"/>
          <w:szCs w:val="24"/>
        </w:rPr>
        <w:t xml:space="preserve">. </w:t>
      </w:r>
      <w:r w:rsidRPr="00135607">
        <w:rPr>
          <w:rFonts w:ascii="Calibri" w:hAnsi="Calibri" w:cs="Calibri"/>
          <w:sz w:val="24"/>
          <w:szCs w:val="24"/>
        </w:rPr>
        <w:t>This implies that the company is generating sufficient cash from its operations to meet its debt obligations.</w:t>
      </w:r>
      <w:r>
        <w:rPr>
          <w:rFonts w:ascii="Calibri" w:hAnsi="Calibri" w:cs="Calibri"/>
          <w:sz w:val="24"/>
          <w:szCs w:val="24"/>
        </w:rPr>
        <w:t xml:space="preserve"> </w:t>
      </w:r>
      <w:r w:rsidRPr="00135607">
        <w:rPr>
          <w:rFonts w:ascii="Calibri" w:hAnsi="Calibri" w:cs="Calibri"/>
          <w:sz w:val="24"/>
          <w:szCs w:val="24"/>
        </w:rPr>
        <w:t xml:space="preserve">The company's cash interest coverage ratio, which measures </w:t>
      </w:r>
      <w:r w:rsidR="00437C32">
        <w:rPr>
          <w:rFonts w:ascii="Calibri" w:hAnsi="Calibri" w:cs="Calibri"/>
          <w:sz w:val="24"/>
          <w:szCs w:val="24"/>
        </w:rPr>
        <w:t>its</w:t>
      </w:r>
      <w:r w:rsidRPr="00135607">
        <w:rPr>
          <w:rFonts w:ascii="Calibri" w:hAnsi="Calibri" w:cs="Calibri"/>
          <w:sz w:val="24"/>
          <w:szCs w:val="24"/>
        </w:rPr>
        <w:t xml:space="preserve"> ability to cover its interest expenses with cash flow from operations, has also been strong, reaching 46.6 in 2023</w:t>
      </w:r>
      <w:r>
        <w:rPr>
          <w:rFonts w:ascii="Calibri" w:hAnsi="Calibri" w:cs="Calibri"/>
          <w:sz w:val="24"/>
          <w:szCs w:val="24"/>
        </w:rPr>
        <w:t xml:space="preserve">. </w:t>
      </w:r>
      <w:r w:rsidRPr="00135607">
        <w:rPr>
          <w:rFonts w:ascii="Calibri" w:hAnsi="Calibri" w:cs="Calibri"/>
          <w:sz w:val="24"/>
          <w:szCs w:val="24"/>
        </w:rPr>
        <w:t>This indicates that Barratt has ample resources to pay its interest expenses.</w:t>
      </w:r>
      <w:r>
        <w:rPr>
          <w:rFonts w:ascii="Calibri" w:hAnsi="Calibri" w:cs="Calibri"/>
          <w:sz w:val="24"/>
          <w:szCs w:val="24"/>
        </w:rPr>
        <w:t xml:space="preserve"> </w:t>
      </w:r>
      <w:r w:rsidRPr="00135607">
        <w:rPr>
          <w:rFonts w:ascii="Calibri" w:hAnsi="Calibri" w:cs="Calibri"/>
          <w:sz w:val="24"/>
          <w:szCs w:val="24"/>
        </w:rPr>
        <w:t xml:space="preserve">The Berkeley Group Holdings PLC, one of Barratt's competitors, has </w:t>
      </w:r>
      <w:r w:rsidR="00437C32">
        <w:rPr>
          <w:rFonts w:ascii="Calibri" w:hAnsi="Calibri" w:cs="Calibri"/>
          <w:sz w:val="24"/>
          <w:szCs w:val="24"/>
        </w:rPr>
        <w:t xml:space="preserve">maintained a relatively low gearing position but </w:t>
      </w:r>
      <w:r w:rsidRPr="00135607">
        <w:rPr>
          <w:rFonts w:ascii="Calibri" w:hAnsi="Calibri" w:cs="Calibri"/>
          <w:sz w:val="24"/>
          <w:szCs w:val="24"/>
        </w:rPr>
        <w:t>slightly higher ratios than Barratt in recent years</w:t>
      </w:r>
      <w:r w:rsidR="00745DBF">
        <w:rPr>
          <w:rFonts w:ascii="Calibri" w:hAnsi="Calibri" w:cs="Calibri"/>
          <w:sz w:val="24"/>
          <w:szCs w:val="24"/>
        </w:rPr>
        <w:t>, as shown in Figure 6</w:t>
      </w:r>
      <w:r>
        <w:rPr>
          <w:rFonts w:ascii="Calibri" w:hAnsi="Calibri" w:cs="Calibri"/>
          <w:sz w:val="24"/>
          <w:szCs w:val="24"/>
        </w:rPr>
        <w:t xml:space="preserve">. </w:t>
      </w:r>
      <w:r w:rsidRPr="00135607">
        <w:rPr>
          <w:rFonts w:ascii="Calibri" w:hAnsi="Calibri" w:cs="Calibri"/>
          <w:sz w:val="24"/>
          <w:szCs w:val="24"/>
        </w:rPr>
        <w:t>Barratt's low gearing ratios suggest that the company is in a strong financial position and has a low risk of financial distress</w:t>
      </w:r>
      <w:r>
        <w:rPr>
          <w:rFonts w:ascii="Calibri" w:hAnsi="Calibri" w:cs="Calibri"/>
          <w:sz w:val="24"/>
          <w:szCs w:val="24"/>
        </w:rPr>
        <w:t xml:space="preserve">. </w:t>
      </w:r>
      <w:r w:rsidRPr="00135607">
        <w:rPr>
          <w:rFonts w:ascii="Calibri" w:hAnsi="Calibri" w:cs="Calibri"/>
          <w:sz w:val="24"/>
          <w:szCs w:val="24"/>
        </w:rPr>
        <w:t>However, it</w:t>
      </w:r>
      <w:r w:rsidR="00993E2B">
        <w:rPr>
          <w:rFonts w:ascii="Calibri" w:hAnsi="Calibri" w:cs="Calibri"/>
          <w:sz w:val="24"/>
          <w:szCs w:val="24"/>
        </w:rPr>
        <w:t xml:space="preserve"> i</w:t>
      </w:r>
      <w:r w:rsidRPr="00135607">
        <w:rPr>
          <w:rFonts w:ascii="Calibri" w:hAnsi="Calibri" w:cs="Calibri"/>
          <w:sz w:val="24"/>
          <w:szCs w:val="24"/>
        </w:rPr>
        <w:t xml:space="preserve">s important to note that a very low gearing ratio </w:t>
      </w:r>
      <w:r w:rsidR="00993E2B">
        <w:rPr>
          <w:rFonts w:ascii="Calibri" w:hAnsi="Calibri" w:cs="Calibri"/>
          <w:sz w:val="24"/>
          <w:szCs w:val="24"/>
        </w:rPr>
        <w:t>can</w:t>
      </w:r>
      <w:r w:rsidRPr="00135607">
        <w:rPr>
          <w:rFonts w:ascii="Calibri" w:hAnsi="Calibri" w:cs="Calibri"/>
          <w:sz w:val="24"/>
          <w:szCs w:val="24"/>
        </w:rPr>
        <w:t xml:space="preserve"> also indicate that the company is not fully </w:t>
      </w:r>
      <w:proofErr w:type="spellStart"/>
      <w:r>
        <w:rPr>
          <w:rFonts w:ascii="Calibri" w:hAnsi="Calibri" w:cs="Calibri"/>
          <w:sz w:val="24"/>
          <w:szCs w:val="24"/>
        </w:rPr>
        <w:t>utilising</w:t>
      </w:r>
      <w:proofErr w:type="spellEnd"/>
      <w:r w:rsidRPr="00135607">
        <w:rPr>
          <w:rFonts w:ascii="Calibri" w:hAnsi="Calibri" w:cs="Calibri"/>
          <w:sz w:val="24"/>
          <w:szCs w:val="24"/>
        </w:rPr>
        <w:t xml:space="preserve"> its debt capacity and may be missing out on potential tax benefits associated with debt financing</w:t>
      </w:r>
      <w:r>
        <w:rPr>
          <w:rFonts w:ascii="Calibri" w:hAnsi="Calibri" w:cs="Calibri"/>
          <w:sz w:val="24"/>
          <w:szCs w:val="24"/>
        </w:rPr>
        <w:t xml:space="preserve"> </w:t>
      </w:r>
      <w:r w:rsidRPr="00135607">
        <w:rPr>
          <w:rFonts w:ascii="Calibri" w:hAnsi="Calibri" w:cs="Calibri"/>
          <w:sz w:val="24"/>
          <w:szCs w:val="24"/>
        </w:rPr>
        <w:t>(Boyte-White, 2024)</w:t>
      </w:r>
      <w:r>
        <w:rPr>
          <w:rFonts w:ascii="Calibri" w:hAnsi="Calibri" w:cs="Calibri"/>
          <w:sz w:val="24"/>
          <w:szCs w:val="24"/>
        </w:rPr>
        <w:t>.</w:t>
      </w:r>
    </w:p>
    <w:tbl>
      <w:tblPr>
        <w:tblStyle w:val="GridTable1Light-Accent6"/>
        <w:tblW w:w="5000" w:type="pct"/>
        <w:tblLook w:val="04A0" w:firstRow="1" w:lastRow="0" w:firstColumn="1" w:lastColumn="0" w:noHBand="0" w:noVBand="1"/>
      </w:tblPr>
      <w:tblGrid>
        <w:gridCol w:w="4284"/>
        <w:gridCol w:w="1013"/>
        <w:gridCol w:w="1013"/>
        <w:gridCol w:w="1014"/>
        <w:gridCol w:w="1014"/>
        <w:gridCol w:w="1012"/>
      </w:tblGrid>
      <w:tr w:rsidR="00923F6C" w:rsidRPr="00360BFB" w14:paraId="249B878E"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99F5FF"/>
            <w:noWrap/>
          </w:tcPr>
          <w:p w14:paraId="627BAED7"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BARRATT DEVELOPMENT PLC</w:t>
            </w:r>
          </w:p>
          <w:p w14:paraId="3DEF68FD" w14:textId="77777777" w:rsidR="00923F6C" w:rsidRPr="00360BFB"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GEARING</w:t>
            </w:r>
            <w:r w:rsidRPr="008A02BA">
              <w:rPr>
                <w:rFonts w:ascii="Arial" w:eastAsia="Times New Roman" w:hAnsi="Arial" w:cs="Arial"/>
                <w:color w:val="FF0000"/>
                <w:kern w:val="0"/>
                <w:sz w:val="20"/>
                <w:szCs w:val="20"/>
                <w14:ligatures w14:val="none"/>
              </w:rPr>
              <w:t xml:space="preserve"> RATIO</w:t>
            </w:r>
          </w:p>
        </w:tc>
      </w:tr>
      <w:tr w:rsidR="00923F6C" w:rsidRPr="00360BFB" w14:paraId="1608C7B4"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7DAC1DA9" w14:textId="77777777" w:rsidR="00923F6C" w:rsidRPr="00360BFB" w:rsidRDefault="00923F6C" w:rsidP="002B72E8">
            <w:pPr>
              <w:rPr>
                <w:rFonts w:ascii="Arial" w:eastAsia="Times New Roman" w:hAnsi="Arial" w:cs="Arial"/>
                <w:color w:val="000000" w:themeColor="text1"/>
                <w:kern w:val="0"/>
                <w:sz w:val="20"/>
                <w:szCs w:val="20"/>
                <w14:ligatures w14:val="none"/>
              </w:rPr>
            </w:pPr>
            <w:r w:rsidRPr="00360BFB">
              <w:rPr>
                <w:rFonts w:ascii="Arial" w:eastAsia="Times New Roman" w:hAnsi="Arial" w:cs="Arial"/>
                <w:color w:val="000000" w:themeColor="text1"/>
                <w:kern w:val="0"/>
                <w:sz w:val="20"/>
                <w:szCs w:val="20"/>
                <w14:ligatures w14:val="none"/>
              </w:rPr>
              <w:t xml:space="preserve">Ratios </w:t>
            </w:r>
          </w:p>
        </w:tc>
        <w:tc>
          <w:tcPr>
            <w:tcW w:w="542" w:type="pct"/>
            <w:noWrap/>
            <w:hideMark/>
          </w:tcPr>
          <w:p w14:paraId="4EFADCBF"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360BFB">
              <w:rPr>
                <w:rFonts w:ascii="Arial" w:eastAsia="Times New Roman" w:hAnsi="Arial" w:cs="Arial"/>
                <w:b/>
                <w:bCs/>
                <w:color w:val="000000" w:themeColor="text1"/>
                <w:kern w:val="0"/>
                <w:sz w:val="20"/>
                <w:szCs w:val="20"/>
                <w14:ligatures w14:val="none"/>
              </w:rPr>
              <w:t>2023</w:t>
            </w:r>
          </w:p>
        </w:tc>
        <w:tc>
          <w:tcPr>
            <w:tcW w:w="542" w:type="pct"/>
            <w:noWrap/>
            <w:hideMark/>
          </w:tcPr>
          <w:p w14:paraId="08F36B13"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360BFB">
              <w:rPr>
                <w:rFonts w:ascii="Arial" w:eastAsia="Times New Roman" w:hAnsi="Arial" w:cs="Arial"/>
                <w:b/>
                <w:bCs/>
                <w:color w:val="000000" w:themeColor="text1"/>
                <w:kern w:val="0"/>
                <w:sz w:val="20"/>
                <w:szCs w:val="20"/>
                <w14:ligatures w14:val="none"/>
              </w:rPr>
              <w:t>2022</w:t>
            </w:r>
          </w:p>
        </w:tc>
        <w:tc>
          <w:tcPr>
            <w:tcW w:w="542" w:type="pct"/>
            <w:noWrap/>
            <w:hideMark/>
          </w:tcPr>
          <w:p w14:paraId="7D5F69A7"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360BFB">
              <w:rPr>
                <w:rFonts w:ascii="Arial" w:eastAsia="Times New Roman" w:hAnsi="Arial" w:cs="Arial"/>
                <w:b/>
                <w:bCs/>
                <w:color w:val="000000" w:themeColor="text1"/>
                <w:kern w:val="0"/>
                <w:sz w:val="20"/>
                <w:szCs w:val="20"/>
                <w14:ligatures w14:val="none"/>
              </w:rPr>
              <w:t>2021</w:t>
            </w:r>
          </w:p>
        </w:tc>
        <w:tc>
          <w:tcPr>
            <w:tcW w:w="542" w:type="pct"/>
            <w:noWrap/>
            <w:hideMark/>
          </w:tcPr>
          <w:p w14:paraId="50651CE2"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360BFB">
              <w:rPr>
                <w:rFonts w:ascii="Arial" w:eastAsia="Times New Roman" w:hAnsi="Arial" w:cs="Arial"/>
                <w:b/>
                <w:bCs/>
                <w:color w:val="000000" w:themeColor="text1"/>
                <w:kern w:val="0"/>
                <w:sz w:val="20"/>
                <w:szCs w:val="20"/>
                <w14:ligatures w14:val="none"/>
              </w:rPr>
              <w:t>2020</w:t>
            </w:r>
          </w:p>
        </w:tc>
        <w:tc>
          <w:tcPr>
            <w:tcW w:w="542" w:type="pct"/>
            <w:noWrap/>
            <w:hideMark/>
          </w:tcPr>
          <w:p w14:paraId="5211F59F"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360BFB">
              <w:rPr>
                <w:rFonts w:ascii="Arial" w:eastAsia="Times New Roman" w:hAnsi="Arial" w:cs="Arial"/>
                <w:b/>
                <w:bCs/>
                <w:color w:val="000000" w:themeColor="text1"/>
                <w:kern w:val="0"/>
                <w:sz w:val="20"/>
                <w:szCs w:val="20"/>
                <w14:ligatures w14:val="none"/>
              </w:rPr>
              <w:t>2019</w:t>
            </w:r>
          </w:p>
        </w:tc>
      </w:tr>
      <w:tr w:rsidR="00923F6C" w:rsidRPr="00360BFB" w14:paraId="6398230F"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69E2104A" w14:textId="77777777" w:rsidR="00923F6C" w:rsidRPr="00360BFB" w:rsidRDefault="00923F6C" w:rsidP="002B72E8">
            <w:pPr>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Interest cover</w:t>
            </w:r>
          </w:p>
        </w:tc>
        <w:tc>
          <w:tcPr>
            <w:tcW w:w="542" w:type="pct"/>
            <w:noWrap/>
            <w:hideMark/>
          </w:tcPr>
          <w:p w14:paraId="2097E72A"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62.2</w:t>
            </w:r>
          </w:p>
        </w:tc>
        <w:tc>
          <w:tcPr>
            <w:tcW w:w="542" w:type="pct"/>
            <w:noWrap/>
            <w:hideMark/>
          </w:tcPr>
          <w:p w14:paraId="7E8BE888"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64.2</w:t>
            </w:r>
          </w:p>
        </w:tc>
        <w:tc>
          <w:tcPr>
            <w:tcW w:w="542" w:type="pct"/>
            <w:noWrap/>
            <w:hideMark/>
          </w:tcPr>
          <w:p w14:paraId="5864A509"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73.8</w:t>
            </w:r>
          </w:p>
        </w:tc>
        <w:tc>
          <w:tcPr>
            <w:tcW w:w="542" w:type="pct"/>
            <w:noWrap/>
            <w:hideMark/>
          </w:tcPr>
          <w:p w14:paraId="281C3F62"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41.1</w:t>
            </w:r>
          </w:p>
        </w:tc>
        <w:tc>
          <w:tcPr>
            <w:tcW w:w="542" w:type="pct"/>
            <w:noWrap/>
            <w:hideMark/>
          </w:tcPr>
          <w:p w14:paraId="5EB868C4"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92.7</w:t>
            </w:r>
          </w:p>
        </w:tc>
      </w:tr>
      <w:tr w:rsidR="00923F6C" w:rsidRPr="00360BFB" w14:paraId="54075365"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5E85D9F4" w14:textId="77777777" w:rsidR="00923F6C" w:rsidRPr="00360BFB" w:rsidRDefault="00923F6C" w:rsidP="002B72E8">
            <w:pPr>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D/E ratio (LT debt)</w:t>
            </w:r>
          </w:p>
        </w:tc>
        <w:tc>
          <w:tcPr>
            <w:tcW w:w="542" w:type="pct"/>
            <w:noWrap/>
            <w:hideMark/>
          </w:tcPr>
          <w:p w14:paraId="500747DF"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0.0</w:t>
            </w:r>
          </w:p>
        </w:tc>
        <w:tc>
          <w:tcPr>
            <w:tcW w:w="542" w:type="pct"/>
            <w:noWrap/>
            <w:hideMark/>
          </w:tcPr>
          <w:p w14:paraId="425D14DF"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0.0</w:t>
            </w:r>
          </w:p>
        </w:tc>
        <w:tc>
          <w:tcPr>
            <w:tcW w:w="542" w:type="pct"/>
            <w:noWrap/>
            <w:hideMark/>
          </w:tcPr>
          <w:p w14:paraId="07F68735"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0.0</w:t>
            </w:r>
          </w:p>
        </w:tc>
        <w:tc>
          <w:tcPr>
            <w:tcW w:w="542" w:type="pct"/>
            <w:noWrap/>
            <w:hideMark/>
          </w:tcPr>
          <w:p w14:paraId="17ADA7B7"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0.1</w:t>
            </w:r>
          </w:p>
        </w:tc>
        <w:tc>
          <w:tcPr>
            <w:tcW w:w="542" w:type="pct"/>
            <w:noWrap/>
            <w:hideMark/>
          </w:tcPr>
          <w:p w14:paraId="7C07D871"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0.1</w:t>
            </w:r>
          </w:p>
        </w:tc>
      </w:tr>
      <w:tr w:rsidR="00923F6C" w:rsidRPr="00360BFB" w14:paraId="572484A0"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38173CB5" w14:textId="77777777" w:rsidR="00923F6C" w:rsidRPr="00360BFB" w:rsidRDefault="00923F6C" w:rsidP="002B72E8">
            <w:pPr>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Cashflow Ratio (CFO/Total Debt)</w:t>
            </w:r>
          </w:p>
        </w:tc>
        <w:tc>
          <w:tcPr>
            <w:tcW w:w="542" w:type="pct"/>
            <w:noWrap/>
            <w:hideMark/>
          </w:tcPr>
          <w:p w14:paraId="6E80BE9F"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0.2</w:t>
            </w:r>
          </w:p>
        </w:tc>
        <w:tc>
          <w:tcPr>
            <w:tcW w:w="542" w:type="pct"/>
            <w:noWrap/>
            <w:hideMark/>
          </w:tcPr>
          <w:p w14:paraId="5C1DD5EB"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0.2</w:t>
            </w:r>
          </w:p>
        </w:tc>
        <w:tc>
          <w:tcPr>
            <w:tcW w:w="542" w:type="pct"/>
            <w:noWrap/>
            <w:hideMark/>
          </w:tcPr>
          <w:p w14:paraId="7FA47175"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0.5</w:t>
            </w:r>
          </w:p>
        </w:tc>
        <w:tc>
          <w:tcPr>
            <w:tcW w:w="542" w:type="pct"/>
            <w:noWrap/>
            <w:hideMark/>
          </w:tcPr>
          <w:p w14:paraId="62A19495"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-0.1</w:t>
            </w:r>
          </w:p>
        </w:tc>
        <w:tc>
          <w:tcPr>
            <w:tcW w:w="542" w:type="pct"/>
            <w:noWrap/>
            <w:hideMark/>
          </w:tcPr>
          <w:p w14:paraId="6BCDF45D"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0.1</w:t>
            </w:r>
          </w:p>
        </w:tc>
      </w:tr>
      <w:tr w:rsidR="00923F6C" w:rsidRPr="00360BFB" w14:paraId="27B76B3C"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2F00DD3F" w14:textId="77777777" w:rsidR="00923F6C" w:rsidRPr="00360BFB" w:rsidRDefault="00923F6C" w:rsidP="002B72E8">
            <w:pPr>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Cash Interest coverage (CFO/Interest Paid)</w:t>
            </w:r>
          </w:p>
        </w:tc>
        <w:tc>
          <w:tcPr>
            <w:tcW w:w="542" w:type="pct"/>
            <w:noWrap/>
            <w:hideMark/>
          </w:tcPr>
          <w:p w14:paraId="4F347BAC"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46.6</w:t>
            </w:r>
          </w:p>
        </w:tc>
        <w:tc>
          <w:tcPr>
            <w:tcW w:w="542" w:type="pct"/>
            <w:noWrap/>
            <w:hideMark/>
          </w:tcPr>
          <w:p w14:paraId="2B7961C2"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38.0</w:t>
            </w:r>
          </w:p>
        </w:tc>
        <w:tc>
          <w:tcPr>
            <w:tcW w:w="542" w:type="pct"/>
            <w:noWrap/>
            <w:hideMark/>
          </w:tcPr>
          <w:p w14:paraId="6AA81502"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98.4</w:t>
            </w:r>
          </w:p>
        </w:tc>
        <w:tc>
          <w:tcPr>
            <w:tcW w:w="542" w:type="pct"/>
            <w:noWrap/>
            <w:hideMark/>
          </w:tcPr>
          <w:p w14:paraId="4D3ADD25"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-10.1</w:t>
            </w:r>
          </w:p>
        </w:tc>
        <w:tc>
          <w:tcPr>
            <w:tcW w:w="542" w:type="pct"/>
            <w:noWrap/>
            <w:hideMark/>
          </w:tcPr>
          <w:p w14:paraId="6642B21A" w14:textId="77777777" w:rsidR="00923F6C" w:rsidRPr="00360BFB"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60BFB">
              <w:rPr>
                <w:rFonts w:ascii="Arial" w:eastAsia="Times New Roman" w:hAnsi="Arial" w:cs="Arial"/>
                <w:color w:val="000000"/>
                <w:kern w:val="0"/>
                <w:sz w:val="20"/>
                <w:szCs w:val="20"/>
                <w14:ligatures w14:val="none"/>
              </w:rPr>
              <w:t>30.1</w:t>
            </w:r>
          </w:p>
        </w:tc>
      </w:tr>
    </w:tbl>
    <w:p w14:paraId="1B2EDD5A" w14:textId="77777777" w:rsidR="00923F6C" w:rsidRDefault="00923F6C" w:rsidP="00923F6C">
      <w:pPr>
        <w:tabs>
          <w:tab w:val="left" w:pos="4029"/>
        </w:tabs>
        <w:spacing w:line="360" w:lineRule="auto"/>
        <w:jc w:val="both"/>
        <w:rPr>
          <w:rFonts w:ascii="Calibri" w:hAnsi="Calibri" w:cs="Calibri"/>
          <w:sz w:val="24"/>
          <w:szCs w:val="24"/>
        </w:rPr>
      </w:pPr>
    </w:p>
    <w:p w14:paraId="25003FB3" w14:textId="77777777" w:rsidR="003B048F" w:rsidRDefault="003B048F" w:rsidP="00923F6C">
      <w:pPr>
        <w:tabs>
          <w:tab w:val="left" w:pos="4029"/>
        </w:tabs>
        <w:spacing w:line="360" w:lineRule="auto"/>
        <w:jc w:val="both"/>
        <w:rPr>
          <w:rFonts w:ascii="Calibri" w:hAnsi="Calibri" w:cs="Calibri"/>
          <w:sz w:val="24"/>
          <w:szCs w:val="24"/>
        </w:rPr>
      </w:pPr>
    </w:p>
    <w:p w14:paraId="566242E9" w14:textId="77777777" w:rsidR="00B00849" w:rsidRDefault="00B00849" w:rsidP="00923F6C">
      <w:pPr>
        <w:tabs>
          <w:tab w:val="left" w:pos="4029"/>
        </w:tabs>
        <w:spacing w:line="360" w:lineRule="auto"/>
        <w:jc w:val="both"/>
        <w:rPr>
          <w:rFonts w:ascii="Calibri" w:hAnsi="Calibri" w:cs="Calibri"/>
          <w:sz w:val="24"/>
          <w:szCs w:val="24"/>
        </w:rPr>
      </w:pPr>
    </w:p>
    <w:tbl>
      <w:tblPr>
        <w:tblStyle w:val="GridTable1Light-Accent2"/>
        <w:tblW w:w="5000" w:type="pct"/>
        <w:tblLook w:val="04A0" w:firstRow="1" w:lastRow="0" w:firstColumn="1" w:lastColumn="0" w:noHBand="0" w:noVBand="1"/>
      </w:tblPr>
      <w:tblGrid>
        <w:gridCol w:w="4284"/>
        <w:gridCol w:w="1013"/>
        <w:gridCol w:w="1013"/>
        <w:gridCol w:w="1014"/>
        <w:gridCol w:w="1014"/>
        <w:gridCol w:w="1012"/>
      </w:tblGrid>
      <w:tr w:rsidR="00923F6C" w:rsidRPr="00F33BDE" w14:paraId="467AD53B"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FADFF"/>
            <w:noWrap/>
          </w:tcPr>
          <w:p w14:paraId="6FEE774C"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lastRenderedPageBreak/>
              <w:t>THE BERKELEY GROUP HOLDINGS PLC</w:t>
            </w:r>
          </w:p>
          <w:p w14:paraId="2A6381E4" w14:textId="77777777" w:rsidR="00923F6C" w:rsidRPr="00F33BDE"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GEARING</w:t>
            </w:r>
            <w:r w:rsidRPr="005C6F9E">
              <w:rPr>
                <w:rFonts w:ascii="Arial" w:eastAsia="Times New Roman" w:hAnsi="Arial" w:cs="Arial"/>
                <w:color w:val="FF0000"/>
                <w:kern w:val="0"/>
                <w:sz w:val="20"/>
                <w:szCs w:val="20"/>
                <w14:ligatures w14:val="none"/>
              </w:rPr>
              <w:t xml:space="preserve"> RATIO</w:t>
            </w:r>
          </w:p>
        </w:tc>
      </w:tr>
      <w:tr w:rsidR="00923F6C" w:rsidRPr="00F33BDE" w14:paraId="209F2B9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71530442" w14:textId="77777777" w:rsidR="00923F6C" w:rsidRPr="00F33BDE" w:rsidRDefault="00923F6C" w:rsidP="002B72E8">
            <w:pPr>
              <w:rPr>
                <w:rFonts w:ascii="Arial" w:eastAsia="Times New Roman" w:hAnsi="Arial" w:cs="Arial"/>
                <w:color w:val="000000" w:themeColor="text1"/>
                <w:kern w:val="0"/>
                <w:sz w:val="20"/>
                <w:szCs w:val="20"/>
                <w14:ligatures w14:val="none"/>
              </w:rPr>
            </w:pPr>
            <w:r w:rsidRPr="00F33BDE">
              <w:rPr>
                <w:rFonts w:ascii="Arial" w:eastAsia="Times New Roman" w:hAnsi="Arial" w:cs="Arial"/>
                <w:color w:val="000000" w:themeColor="text1"/>
                <w:kern w:val="0"/>
                <w:sz w:val="20"/>
                <w:szCs w:val="20"/>
                <w14:ligatures w14:val="none"/>
              </w:rPr>
              <w:t xml:space="preserve">Ratios </w:t>
            </w:r>
          </w:p>
        </w:tc>
        <w:tc>
          <w:tcPr>
            <w:tcW w:w="542" w:type="pct"/>
            <w:noWrap/>
            <w:hideMark/>
          </w:tcPr>
          <w:p w14:paraId="18D7514A"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F33BDE">
              <w:rPr>
                <w:rFonts w:ascii="Arial" w:eastAsia="Times New Roman" w:hAnsi="Arial" w:cs="Arial"/>
                <w:b/>
                <w:bCs/>
                <w:color w:val="000000" w:themeColor="text1"/>
                <w:kern w:val="0"/>
                <w:sz w:val="20"/>
                <w:szCs w:val="20"/>
                <w14:ligatures w14:val="none"/>
              </w:rPr>
              <w:t>2023</w:t>
            </w:r>
          </w:p>
        </w:tc>
        <w:tc>
          <w:tcPr>
            <w:tcW w:w="542" w:type="pct"/>
            <w:noWrap/>
            <w:hideMark/>
          </w:tcPr>
          <w:p w14:paraId="17563A5C"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F33BDE">
              <w:rPr>
                <w:rFonts w:ascii="Arial" w:eastAsia="Times New Roman" w:hAnsi="Arial" w:cs="Arial"/>
                <w:b/>
                <w:bCs/>
                <w:color w:val="000000" w:themeColor="text1"/>
                <w:kern w:val="0"/>
                <w:sz w:val="20"/>
                <w:szCs w:val="20"/>
                <w14:ligatures w14:val="none"/>
              </w:rPr>
              <w:t>2022</w:t>
            </w:r>
          </w:p>
        </w:tc>
        <w:tc>
          <w:tcPr>
            <w:tcW w:w="542" w:type="pct"/>
            <w:noWrap/>
            <w:hideMark/>
          </w:tcPr>
          <w:p w14:paraId="620990EB"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F33BDE">
              <w:rPr>
                <w:rFonts w:ascii="Arial" w:eastAsia="Times New Roman" w:hAnsi="Arial" w:cs="Arial"/>
                <w:b/>
                <w:bCs/>
                <w:color w:val="000000" w:themeColor="text1"/>
                <w:kern w:val="0"/>
                <w:sz w:val="20"/>
                <w:szCs w:val="20"/>
                <w14:ligatures w14:val="none"/>
              </w:rPr>
              <w:t>2021</w:t>
            </w:r>
          </w:p>
        </w:tc>
        <w:tc>
          <w:tcPr>
            <w:tcW w:w="542" w:type="pct"/>
            <w:noWrap/>
            <w:hideMark/>
          </w:tcPr>
          <w:p w14:paraId="24097BBD"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F33BDE">
              <w:rPr>
                <w:rFonts w:ascii="Arial" w:eastAsia="Times New Roman" w:hAnsi="Arial" w:cs="Arial"/>
                <w:b/>
                <w:bCs/>
                <w:color w:val="000000" w:themeColor="text1"/>
                <w:kern w:val="0"/>
                <w:sz w:val="20"/>
                <w:szCs w:val="20"/>
                <w14:ligatures w14:val="none"/>
              </w:rPr>
              <w:t>2020</w:t>
            </w:r>
          </w:p>
        </w:tc>
        <w:tc>
          <w:tcPr>
            <w:tcW w:w="542" w:type="pct"/>
            <w:noWrap/>
            <w:hideMark/>
          </w:tcPr>
          <w:p w14:paraId="1ADCB883"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F33BDE">
              <w:rPr>
                <w:rFonts w:ascii="Arial" w:eastAsia="Times New Roman" w:hAnsi="Arial" w:cs="Arial"/>
                <w:b/>
                <w:bCs/>
                <w:color w:val="000000" w:themeColor="text1"/>
                <w:kern w:val="0"/>
                <w:sz w:val="20"/>
                <w:szCs w:val="20"/>
                <w14:ligatures w14:val="none"/>
              </w:rPr>
              <w:t>2019</w:t>
            </w:r>
          </w:p>
        </w:tc>
      </w:tr>
      <w:tr w:rsidR="00923F6C" w:rsidRPr="00F33BDE" w14:paraId="0A2D9C5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15573970" w14:textId="77777777" w:rsidR="00923F6C" w:rsidRPr="00F33BDE" w:rsidRDefault="00923F6C" w:rsidP="002B72E8">
            <w:pPr>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Interest cover</w:t>
            </w:r>
          </w:p>
        </w:tc>
        <w:tc>
          <w:tcPr>
            <w:tcW w:w="542" w:type="pct"/>
            <w:noWrap/>
            <w:hideMark/>
          </w:tcPr>
          <w:p w14:paraId="4E433668"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21.6</w:t>
            </w:r>
          </w:p>
        </w:tc>
        <w:tc>
          <w:tcPr>
            <w:tcW w:w="542" w:type="pct"/>
            <w:noWrap/>
            <w:hideMark/>
          </w:tcPr>
          <w:p w14:paraId="038B20E1"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36.3</w:t>
            </w:r>
          </w:p>
        </w:tc>
        <w:tc>
          <w:tcPr>
            <w:tcW w:w="542" w:type="pct"/>
            <w:noWrap/>
            <w:hideMark/>
          </w:tcPr>
          <w:p w14:paraId="0B791D33"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58.4</w:t>
            </w:r>
          </w:p>
        </w:tc>
        <w:tc>
          <w:tcPr>
            <w:tcW w:w="542" w:type="pct"/>
            <w:noWrap/>
            <w:hideMark/>
          </w:tcPr>
          <w:p w14:paraId="4061EF9D"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42.7</w:t>
            </w:r>
          </w:p>
        </w:tc>
        <w:tc>
          <w:tcPr>
            <w:tcW w:w="542" w:type="pct"/>
            <w:noWrap/>
            <w:hideMark/>
          </w:tcPr>
          <w:p w14:paraId="08323BD2"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76.8</w:t>
            </w:r>
          </w:p>
        </w:tc>
      </w:tr>
      <w:tr w:rsidR="00923F6C" w:rsidRPr="00F33BDE" w14:paraId="30BC6AB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12D3802A" w14:textId="77777777" w:rsidR="00923F6C" w:rsidRPr="00F33BDE" w:rsidRDefault="00923F6C" w:rsidP="002B72E8">
            <w:pPr>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D/E ratio (LT debt)</w:t>
            </w:r>
          </w:p>
        </w:tc>
        <w:tc>
          <w:tcPr>
            <w:tcW w:w="542" w:type="pct"/>
            <w:noWrap/>
            <w:hideMark/>
          </w:tcPr>
          <w:p w14:paraId="56E87478"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0.2</w:t>
            </w:r>
          </w:p>
        </w:tc>
        <w:tc>
          <w:tcPr>
            <w:tcW w:w="542" w:type="pct"/>
            <w:noWrap/>
            <w:hideMark/>
          </w:tcPr>
          <w:p w14:paraId="2EC8F5B0"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0.2</w:t>
            </w:r>
          </w:p>
        </w:tc>
        <w:tc>
          <w:tcPr>
            <w:tcW w:w="542" w:type="pct"/>
            <w:noWrap/>
            <w:hideMark/>
          </w:tcPr>
          <w:p w14:paraId="6E862F76"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0.1</w:t>
            </w:r>
          </w:p>
        </w:tc>
        <w:tc>
          <w:tcPr>
            <w:tcW w:w="542" w:type="pct"/>
            <w:noWrap/>
            <w:hideMark/>
          </w:tcPr>
          <w:p w14:paraId="2CD7A97F"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0.2</w:t>
            </w:r>
          </w:p>
        </w:tc>
        <w:tc>
          <w:tcPr>
            <w:tcW w:w="542" w:type="pct"/>
            <w:noWrap/>
            <w:hideMark/>
          </w:tcPr>
          <w:p w14:paraId="688E28B4"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0.1</w:t>
            </w:r>
          </w:p>
        </w:tc>
      </w:tr>
      <w:tr w:rsidR="00923F6C" w:rsidRPr="00F33BDE" w14:paraId="3BB7B15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4757BD56" w14:textId="77777777" w:rsidR="00923F6C" w:rsidRPr="00F33BDE" w:rsidRDefault="00923F6C" w:rsidP="002B72E8">
            <w:pPr>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Cashflow Ratio (CFO/Total Debt)</w:t>
            </w:r>
          </w:p>
        </w:tc>
        <w:tc>
          <w:tcPr>
            <w:tcW w:w="542" w:type="pct"/>
            <w:noWrap/>
            <w:hideMark/>
          </w:tcPr>
          <w:p w14:paraId="0C075C92"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0.1</w:t>
            </w:r>
          </w:p>
        </w:tc>
        <w:tc>
          <w:tcPr>
            <w:tcW w:w="542" w:type="pct"/>
            <w:noWrap/>
            <w:hideMark/>
          </w:tcPr>
          <w:p w14:paraId="1176F5BA"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0.0</w:t>
            </w:r>
          </w:p>
        </w:tc>
        <w:tc>
          <w:tcPr>
            <w:tcW w:w="542" w:type="pct"/>
            <w:noWrap/>
            <w:hideMark/>
          </w:tcPr>
          <w:p w14:paraId="1BBDAC40"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0.1</w:t>
            </w:r>
          </w:p>
        </w:tc>
        <w:tc>
          <w:tcPr>
            <w:tcW w:w="542" w:type="pct"/>
            <w:noWrap/>
            <w:hideMark/>
          </w:tcPr>
          <w:p w14:paraId="5685D842"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0.1</w:t>
            </w:r>
          </w:p>
        </w:tc>
        <w:tc>
          <w:tcPr>
            <w:tcW w:w="542" w:type="pct"/>
            <w:noWrap/>
            <w:hideMark/>
          </w:tcPr>
          <w:p w14:paraId="67C640FA"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0.3</w:t>
            </w:r>
          </w:p>
        </w:tc>
      </w:tr>
      <w:tr w:rsidR="00923F6C" w:rsidRPr="00F33BDE" w14:paraId="21D5B4D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91" w:type="pct"/>
            <w:noWrap/>
            <w:hideMark/>
          </w:tcPr>
          <w:p w14:paraId="111ABCAF" w14:textId="77777777" w:rsidR="00923F6C" w:rsidRPr="00F33BDE" w:rsidRDefault="00923F6C" w:rsidP="002B72E8">
            <w:pPr>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Cash Interest coverage (CFO/Interest Paid)</w:t>
            </w:r>
          </w:p>
        </w:tc>
        <w:tc>
          <w:tcPr>
            <w:tcW w:w="542" w:type="pct"/>
            <w:noWrap/>
            <w:hideMark/>
          </w:tcPr>
          <w:p w14:paraId="49C53EE5"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16.0</w:t>
            </w:r>
          </w:p>
        </w:tc>
        <w:tc>
          <w:tcPr>
            <w:tcW w:w="542" w:type="pct"/>
            <w:noWrap/>
            <w:hideMark/>
          </w:tcPr>
          <w:p w14:paraId="2F0AAF4F"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-23.2</w:t>
            </w:r>
          </w:p>
        </w:tc>
        <w:tc>
          <w:tcPr>
            <w:tcW w:w="542" w:type="pct"/>
            <w:noWrap/>
            <w:hideMark/>
          </w:tcPr>
          <w:p w14:paraId="47F4348D"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40.0</w:t>
            </w:r>
          </w:p>
        </w:tc>
        <w:tc>
          <w:tcPr>
            <w:tcW w:w="542" w:type="pct"/>
            <w:noWrap/>
            <w:hideMark/>
          </w:tcPr>
          <w:p w14:paraId="7E90F0AB"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34.0</w:t>
            </w:r>
          </w:p>
        </w:tc>
        <w:tc>
          <w:tcPr>
            <w:tcW w:w="542" w:type="pct"/>
            <w:noWrap/>
            <w:hideMark/>
          </w:tcPr>
          <w:p w14:paraId="196DBC18" w14:textId="77777777" w:rsidR="00923F6C" w:rsidRPr="00F33BDE"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F33BDE">
              <w:rPr>
                <w:rFonts w:ascii="Arial" w:eastAsia="Times New Roman" w:hAnsi="Arial" w:cs="Arial"/>
                <w:color w:val="000000"/>
                <w:kern w:val="0"/>
                <w:sz w:val="20"/>
                <w:szCs w:val="20"/>
                <w14:ligatures w14:val="none"/>
              </w:rPr>
              <w:t>69.5</w:t>
            </w:r>
          </w:p>
        </w:tc>
      </w:tr>
    </w:tbl>
    <w:p w14:paraId="1E869670" w14:textId="77777777" w:rsidR="00923F6C" w:rsidRDefault="00923F6C" w:rsidP="00923F6C">
      <w:pPr>
        <w:tabs>
          <w:tab w:val="left" w:pos="4029"/>
        </w:tabs>
        <w:spacing w:line="360" w:lineRule="auto"/>
        <w:jc w:val="both"/>
        <w:rPr>
          <w:rFonts w:ascii="Calibri" w:hAnsi="Calibri" w:cs="Calibri"/>
          <w:sz w:val="24"/>
          <w:szCs w:val="24"/>
        </w:rPr>
      </w:pPr>
    </w:p>
    <w:p w14:paraId="2C45F85E" w14:textId="17DFF80B" w:rsidR="00923F6C" w:rsidRPr="00437C32" w:rsidRDefault="00923F6C" w:rsidP="00437C32">
      <w:pPr>
        <w:pStyle w:val="ListParagraph"/>
        <w:numPr>
          <w:ilvl w:val="0"/>
          <w:numId w:val="20"/>
        </w:numPr>
        <w:tabs>
          <w:tab w:val="left" w:pos="4029"/>
        </w:tabs>
        <w:spacing w:after="0" w:line="360" w:lineRule="auto"/>
        <w:jc w:val="both"/>
        <w:rPr>
          <w:rFonts w:ascii="Calibri" w:hAnsi="Calibri" w:cs="Calibri"/>
          <w:sz w:val="24"/>
          <w:szCs w:val="24"/>
        </w:rPr>
      </w:pPr>
      <w:bookmarkStart w:id="26" w:name="_Toc165496501"/>
      <w:r w:rsidRPr="00AE6A95">
        <w:rPr>
          <w:rStyle w:val="Heading3Char"/>
          <w:rFonts w:ascii="Calibri" w:eastAsiaTheme="majorEastAsia" w:hAnsi="Calibri" w:cs="Calibri"/>
          <w:sz w:val="24"/>
          <w:szCs w:val="24"/>
        </w:rPr>
        <w:t>Interest cover (Interest Coverage Ratio)</w:t>
      </w:r>
      <w:bookmarkEnd w:id="26"/>
      <w:r>
        <w:rPr>
          <w:rFonts w:ascii="Calibri" w:hAnsi="Calibri" w:cs="Calibri"/>
          <w:sz w:val="24"/>
          <w:szCs w:val="24"/>
        </w:rPr>
        <w:t xml:space="preserve">: </w:t>
      </w:r>
      <w:r w:rsidR="00993E2B" w:rsidRPr="00993E2B">
        <w:rPr>
          <w:rFonts w:ascii="Calibri" w:hAnsi="Calibri" w:cs="Calibri"/>
          <w:sz w:val="24"/>
          <w:szCs w:val="24"/>
        </w:rPr>
        <w:t>A company's capacity to pay interest is gauged by this ratio; the greater the number, the better</w:t>
      </w:r>
      <w:r w:rsidRPr="002D4423">
        <w:rPr>
          <w:rFonts w:ascii="Calibri" w:hAnsi="Calibri" w:cs="Calibri"/>
          <w:sz w:val="24"/>
          <w:szCs w:val="24"/>
        </w:rPr>
        <w:t>.</w:t>
      </w:r>
      <w:r>
        <w:rPr>
          <w:rFonts w:ascii="Calibri" w:hAnsi="Calibri" w:cs="Calibri"/>
          <w:sz w:val="24"/>
          <w:szCs w:val="24"/>
        </w:rPr>
        <w:t xml:space="preserve"> </w:t>
      </w:r>
      <w:r w:rsidRPr="002D4423">
        <w:rPr>
          <w:rFonts w:ascii="Calibri" w:hAnsi="Calibri" w:cs="Calibri"/>
          <w:sz w:val="24"/>
          <w:szCs w:val="24"/>
        </w:rPr>
        <w:t xml:space="preserve">Barratt Development PLC has extremely </w:t>
      </w:r>
      <w:r w:rsidR="00993E2B">
        <w:rPr>
          <w:rFonts w:ascii="Calibri" w:hAnsi="Calibri" w:cs="Calibri"/>
          <w:sz w:val="24"/>
          <w:szCs w:val="24"/>
        </w:rPr>
        <w:t>high-interest</w:t>
      </w:r>
      <w:r>
        <w:rPr>
          <w:rFonts w:ascii="Calibri" w:hAnsi="Calibri" w:cs="Calibri"/>
          <w:sz w:val="24"/>
          <w:szCs w:val="24"/>
        </w:rPr>
        <w:t xml:space="preserve"> </w:t>
      </w:r>
      <w:r w:rsidRPr="002D4423">
        <w:rPr>
          <w:rFonts w:ascii="Calibri" w:hAnsi="Calibri" w:cs="Calibri"/>
          <w:sz w:val="24"/>
          <w:szCs w:val="24"/>
        </w:rPr>
        <w:t>cover ratios, peaking at 92.7 in 2019 and reaching 62.2 in 2023</w:t>
      </w:r>
      <w:r>
        <w:rPr>
          <w:rFonts w:ascii="Calibri" w:hAnsi="Calibri" w:cs="Calibri"/>
          <w:sz w:val="24"/>
          <w:szCs w:val="24"/>
        </w:rPr>
        <w:t>, suggesting</w:t>
      </w:r>
      <w:r w:rsidRPr="002D4423">
        <w:rPr>
          <w:rFonts w:ascii="Calibri" w:hAnsi="Calibri" w:cs="Calibri"/>
          <w:sz w:val="24"/>
          <w:szCs w:val="24"/>
        </w:rPr>
        <w:t xml:space="preserve"> a strong ability to pay interest expenses.</w:t>
      </w:r>
      <w:r>
        <w:rPr>
          <w:rFonts w:ascii="Calibri" w:hAnsi="Calibri" w:cs="Calibri"/>
          <w:sz w:val="24"/>
          <w:szCs w:val="24"/>
        </w:rPr>
        <w:t xml:space="preserve"> On the other hand,</w:t>
      </w:r>
      <w:r w:rsidRPr="002D4423">
        <w:rPr>
          <w:rFonts w:ascii="Calibri" w:hAnsi="Calibri" w:cs="Calibri"/>
          <w:sz w:val="24"/>
          <w:szCs w:val="24"/>
        </w:rPr>
        <w:t xml:space="preserve"> Berkeley Group </w:t>
      </w:r>
      <w:r w:rsidRPr="00437C32">
        <w:rPr>
          <w:rFonts w:ascii="Calibri" w:hAnsi="Calibri" w:cs="Calibri"/>
          <w:sz w:val="24"/>
          <w:szCs w:val="24"/>
        </w:rPr>
        <w:t xml:space="preserve">Holdings PLC has lower ratios, although still healthy, ranging from 21.6 in 2023 to 76.8 in 2019. While Berkeley's ability to </w:t>
      </w:r>
      <w:r w:rsidR="00993E2B">
        <w:rPr>
          <w:rFonts w:ascii="Calibri" w:hAnsi="Calibri" w:cs="Calibri"/>
          <w:sz w:val="24"/>
          <w:szCs w:val="24"/>
        </w:rPr>
        <w:t xml:space="preserve">pay </w:t>
      </w:r>
      <w:r w:rsidR="00CC0EC8">
        <w:rPr>
          <w:rFonts w:ascii="Calibri" w:hAnsi="Calibri" w:cs="Calibri"/>
          <w:sz w:val="24"/>
          <w:szCs w:val="24"/>
        </w:rPr>
        <w:t>its</w:t>
      </w:r>
      <w:r w:rsidRPr="00437C32">
        <w:rPr>
          <w:rFonts w:ascii="Calibri" w:hAnsi="Calibri" w:cs="Calibri"/>
          <w:sz w:val="24"/>
          <w:szCs w:val="24"/>
        </w:rPr>
        <w:t xml:space="preserve"> interest is good, it's not as robust as Barratt's.</w:t>
      </w:r>
    </w:p>
    <w:p w14:paraId="1355F209" w14:textId="34F5D84E" w:rsidR="00923F6C" w:rsidRPr="00641987" w:rsidRDefault="00923F6C" w:rsidP="00437C32">
      <w:pPr>
        <w:pStyle w:val="ListParagraph"/>
        <w:numPr>
          <w:ilvl w:val="0"/>
          <w:numId w:val="20"/>
        </w:numPr>
        <w:tabs>
          <w:tab w:val="left" w:pos="4029"/>
        </w:tabs>
        <w:spacing w:after="0" w:line="360" w:lineRule="auto"/>
        <w:ind w:left="357" w:hanging="357"/>
        <w:jc w:val="both"/>
        <w:rPr>
          <w:rFonts w:ascii="Calibri" w:hAnsi="Calibri" w:cs="Calibri"/>
          <w:sz w:val="24"/>
          <w:szCs w:val="24"/>
        </w:rPr>
      </w:pPr>
      <w:bookmarkStart w:id="27" w:name="_Toc165496502"/>
      <w:r w:rsidRPr="00AE6A95">
        <w:rPr>
          <w:rStyle w:val="Heading3Char"/>
          <w:rFonts w:ascii="Calibri" w:eastAsiaTheme="majorEastAsia" w:hAnsi="Calibri" w:cs="Calibri"/>
          <w:sz w:val="24"/>
          <w:szCs w:val="24"/>
        </w:rPr>
        <w:t>Debt-to-Equity Ratio</w:t>
      </w:r>
      <w:r w:rsidR="00AE6A95" w:rsidRPr="00AE6A95">
        <w:rPr>
          <w:rStyle w:val="Heading3Char"/>
          <w:rFonts w:ascii="Calibri" w:eastAsiaTheme="majorEastAsia" w:hAnsi="Calibri" w:cs="Calibri"/>
          <w:sz w:val="24"/>
          <w:szCs w:val="24"/>
        </w:rPr>
        <w:t xml:space="preserve"> </w:t>
      </w:r>
      <w:r w:rsidRPr="00AE6A95">
        <w:rPr>
          <w:rStyle w:val="Heading3Char"/>
          <w:rFonts w:ascii="Calibri" w:eastAsiaTheme="majorEastAsia" w:hAnsi="Calibri" w:cs="Calibri"/>
          <w:sz w:val="24"/>
          <w:szCs w:val="24"/>
        </w:rPr>
        <w:t>(D/E Ratio)</w:t>
      </w:r>
      <w:bookmarkEnd w:id="27"/>
      <w:r>
        <w:rPr>
          <w:rFonts w:ascii="Calibri" w:hAnsi="Calibri" w:cs="Calibri"/>
          <w:sz w:val="24"/>
          <w:szCs w:val="24"/>
        </w:rPr>
        <w:t xml:space="preserve">: </w:t>
      </w:r>
      <w:r w:rsidR="00993E2B" w:rsidRPr="00993E2B">
        <w:rPr>
          <w:rFonts w:ascii="Calibri" w:hAnsi="Calibri" w:cs="Calibri"/>
          <w:sz w:val="24"/>
          <w:szCs w:val="24"/>
        </w:rPr>
        <w:t xml:space="preserve">This ratio calculates the proportion of debt and shareholders' equity that is </w:t>
      </w:r>
      <w:proofErr w:type="spellStart"/>
      <w:r w:rsidR="00993E2B" w:rsidRPr="00993E2B">
        <w:rPr>
          <w:rFonts w:ascii="Calibri" w:hAnsi="Calibri" w:cs="Calibri"/>
          <w:sz w:val="24"/>
          <w:szCs w:val="24"/>
        </w:rPr>
        <w:t>utilised</w:t>
      </w:r>
      <w:proofErr w:type="spellEnd"/>
      <w:r w:rsidR="00993E2B" w:rsidRPr="00993E2B">
        <w:rPr>
          <w:rFonts w:ascii="Calibri" w:hAnsi="Calibri" w:cs="Calibri"/>
          <w:sz w:val="24"/>
          <w:szCs w:val="24"/>
        </w:rPr>
        <w:t xml:space="preserve"> to finance an </w:t>
      </w:r>
      <w:proofErr w:type="spellStart"/>
      <w:r w:rsidR="00CC0EC8">
        <w:rPr>
          <w:rFonts w:ascii="Calibri" w:hAnsi="Calibri" w:cs="Calibri"/>
          <w:sz w:val="24"/>
          <w:szCs w:val="24"/>
        </w:rPr>
        <w:t>organisation's</w:t>
      </w:r>
      <w:proofErr w:type="spellEnd"/>
      <w:r w:rsidR="00993E2B" w:rsidRPr="00993E2B">
        <w:rPr>
          <w:rFonts w:ascii="Calibri" w:hAnsi="Calibri" w:cs="Calibri"/>
          <w:sz w:val="24"/>
          <w:szCs w:val="24"/>
        </w:rPr>
        <w:t xml:space="preserve"> assets</w:t>
      </w:r>
      <w:r w:rsidRPr="002D4423">
        <w:rPr>
          <w:rFonts w:ascii="Calibri" w:hAnsi="Calibri" w:cs="Calibri"/>
          <w:sz w:val="24"/>
          <w:szCs w:val="24"/>
        </w:rPr>
        <w:t>.</w:t>
      </w:r>
      <w:r>
        <w:rPr>
          <w:rFonts w:ascii="Calibri" w:hAnsi="Calibri" w:cs="Calibri"/>
          <w:sz w:val="24"/>
          <w:szCs w:val="24"/>
        </w:rPr>
        <w:t xml:space="preserve"> </w:t>
      </w:r>
      <w:r w:rsidRPr="002D4423">
        <w:rPr>
          <w:rFonts w:ascii="Calibri" w:hAnsi="Calibri" w:cs="Calibri"/>
          <w:sz w:val="24"/>
          <w:szCs w:val="24"/>
        </w:rPr>
        <w:t xml:space="preserve">Barratt Development </w:t>
      </w:r>
      <w:r>
        <w:rPr>
          <w:rFonts w:ascii="Calibri" w:hAnsi="Calibri" w:cs="Calibri"/>
          <w:sz w:val="24"/>
          <w:szCs w:val="24"/>
        </w:rPr>
        <w:t>PLC's D/E ratio has been 0.0 recently, rising slightly to 0.1 in 2020 and 2019, indicating</w:t>
      </w:r>
      <w:r w:rsidRPr="002D4423">
        <w:rPr>
          <w:rFonts w:ascii="Calibri" w:hAnsi="Calibri" w:cs="Calibri"/>
          <w:sz w:val="24"/>
          <w:szCs w:val="24"/>
        </w:rPr>
        <w:t xml:space="preserve"> negligible or no long-term debt.</w:t>
      </w:r>
      <w:r>
        <w:rPr>
          <w:rFonts w:ascii="Calibri" w:hAnsi="Calibri" w:cs="Calibri"/>
          <w:sz w:val="24"/>
          <w:szCs w:val="24"/>
        </w:rPr>
        <w:t xml:space="preserve"> On the other hand,</w:t>
      </w:r>
      <w:r w:rsidRPr="002D4423">
        <w:rPr>
          <w:rFonts w:ascii="Calibri" w:hAnsi="Calibri" w:cs="Calibri"/>
          <w:sz w:val="24"/>
          <w:szCs w:val="24"/>
        </w:rPr>
        <w:t xml:space="preserve"> Berkeley Group Holdings PLC shows a consistently higher D/E ratio</w:t>
      </w:r>
      <w:r w:rsidR="00437C32">
        <w:rPr>
          <w:rFonts w:ascii="Calibri" w:hAnsi="Calibri" w:cs="Calibri"/>
          <w:sz w:val="24"/>
          <w:szCs w:val="24"/>
        </w:rPr>
        <w:t>.</w:t>
      </w:r>
    </w:p>
    <w:p w14:paraId="63330C79" w14:textId="7B0B98E2" w:rsidR="00923F6C" w:rsidRPr="00641987" w:rsidRDefault="00923F6C" w:rsidP="00923F6C">
      <w:pPr>
        <w:pStyle w:val="ListParagraph"/>
        <w:numPr>
          <w:ilvl w:val="0"/>
          <w:numId w:val="20"/>
        </w:numPr>
        <w:tabs>
          <w:tab w:val="left" w:pos="4029"/>
        </w:tabs>
        <w:spacing w:line="360" w:lineRule="auto"/>
        <w:jc w:val="both"/>
        <w:rPr>
          <w:rFonts w:ascii="Calibri" w:hAnsi="Calibri" w:cs="Calibri"/>
          <w:sz w:val="24"/>
          <w:szCs w:val="24"/>
        </w:rPr>
      </w:pPr>
      <w:bookmarkStart w:id="28" w:name="_Toc165496503"/>
      <w:r w:rsidRPr="00AE6A95">
        <w:rPr>
          <w:rStyle w:val="Heading3Char"/>
          <w:rFonts w:ascii="Calibri" w:eastAsiaTheme="majorEastAsia" w:hAnsi="Calibri" w:cs="Calibri"/>
        </w:rPr>
        <w:t>Cashflow Ratio (CFO/Total Debt)</w:t>
      </w:r>
      <w:bookmarkEnd w:id="28"/>
      <w:r>
        <w:rPr>
          <w:rFonts w:ascii="Calibri" w:hAnsi="Calibri" w:cs="Calibri"/>
          <w:sz w:val="24"/>
          <w:szCs w:val="24"/>
        </w:rPr>
        <w:t xml:space="preserve">: </w:t>
      </w:r>
      <w:r w:rsidRPr="002D4423">
        <w:rPr>
          <w:rFonts w:ascii="Calibri" w:hAnsi="Calibri" w:cs="Calibri"/>
          <w:sz w:val="24"/>
          <w:szCs w:val="24"/>
        </w:rPr>
        <w:t xml:space="preserve">This ratio indicates </w:t>
      </w:r>
      <w:r w:rsidR="00CC0EC8">
        <w:rPr>
          <w:rFonts w:ascii="Calibri" w:hAnsi="Calibri" w:cs="Calibri"/>
          <w:sz w:val="24"/>
          <w:szCs w:val="24"/>
        </w:rPr>
        <w:t>the amount</w:t>
      </w:r>
      <w:r w:rsidRPr="002D4423">
        <w:rPr>
          <w:rFonts w:ascii="Calibri" w:hAnsi="Calibri" w:cs="Calibri"/>
          <w:sz w:val="24"/>
          <w:szCs w:val="24"/>
        </w:rPr>
        <w:t xml:space="preserve"> of the company's debt </w:t>
      </w:r>
      <w:r w:rsidR="00CC0EC8">
        <w:rPr>
          <w:rFonts w:ascii="Calibri" w:hAnsi="Calibri" w:cs="Calibri"/>
          <w:sz w:val="24"/>
          <w:szCs w:val="24"/>
        </w:rPr>
        <w:t xml:space="preserve">that </w:t>
      </w:r>
      <w:r w:rsidRPr="002D4423">
        <w:rPr>
          <w:rFonts w:ascii="Calibri" w:hAnsi="Calibri" w:cs="Calibri"/>
          <w:sz w:val="24"/>
          <w:szCs w:val="24"/>
        </w:rPr>
        <w:t>could be paid off with a year's worth of cash flow from operations.</w:t>
      </w:r>
      <w:r>
        <w:rPr>
          <w:rFonts w:ascii="Calibri" w:hAnsi="Calibri" w:cs="Calibri"/>
          <w:sz w:val="24"/>
          <w:szCs w:val="24"/>
        </w:rPr>
        <w:t xml:space="preserve"> </w:t>
      </w:r>
      <w:r w:rsidRPr="002D4423">
        <w:rPr>
          <w:rFonts w:ascii="Calibri" w:hAnsi="Calibri" w:cs="Calibri"/>
          <w:sz w:val="24"/>
          <w:szCs w:val="24"/>
        </w:rPr>
        <w:t>Barratt Development PLC's cashflow ratio ranges from 0.1 to 0.5, with a negative value in 2020, which suggest</w:t>
      </w:r>
      <w:r>
        <w:rPr>
          <w:rFonts w:ascii="Calibri" w:hAnsi="Calibri" w:cs="Calibri"/>
          <w:sz w:val="24"/>
          <w:szCs w:val="24"/>
        </w:rPr>
        <w:t>s</w:t>
      </w:r>
      <w:r w:rsidRPr="002D4423">
        <w:rPr>
          <w:rFonts w:ascii="Calibri" w:hAnsi="Calibri" w:cs="Calibri"/>
          <w:sz w:val="24"/>
          <w:szCs w:val="24"/>
        </w:rPr>
        <w:t xml:space="preserve"> some variability in its ability to pay off debt with its cash flow.</w:t>
      </w:r>
      <w:r>
        <w:rPr>
          <w:rFonts w:ascii="Calibri" w:hAnsi="Calibri" w:cs="Calibri"/>
          <w:sz w:val="24"/>
          <w:szCs w:val="24"/>
        </w:rPr>
        <w:t xml:space="preserve"> On the other hand,</w:t>
      </w:r>
      <w:r w:rsidRPr="002D4423">
        <w:rPr>
          <w:rFonts w:ascii="Calibri" w:hAnsi="Calibri" w:cs="Calibri"/>
          <w:sz w:val="24"/>
          <w:szCs w:val="24"/>
        </w:rPr>
        <w:t xml:space="preserve"> Berkeley Group Holdings PLC has a lower ratio, particularly in 2022</w:t>
      </w:r>
      <w:r>
        <w:rPr>
          <w:rFonts w:ascii="Calibri" w:hAnsi="Calibri" w:cs="Calibri"/>
          <w:sz w:val="24"/>
          <w:szCs w:val="24"/>
        </w:rPr>
        <w:t xml:space="preserve">, with a value of 0.0, which indicates that the company's annual cash flow was insufficient to cover the debt </w:t>
      </w:r>
      <w:r w:rsidRPr="002D4423">
        <w:rPr>
          <w:rFonts w:ascii="Calibri" w:hAnsi="Calibri" w:cs="Calibri"/>
          <w:sz w:val="24"/>
          <w:szCs w:val="24"/>
        </w:rPr>
        <w:t>that year.</w:t>
      </w:r>
    </w:p>
    <w:p w14:paraId="3872698E" w14:textId="77777777" w:rsidR="00923F6C" w:rsidRPr="00641987" w:rsidRDefault="00923F6C" w:rsidP="00923F6C">
      <w:pPr>
        <w:pStyle w:val="ListParagraph"/>
        <w:numPr>
          <w:ilvl w:val="0"/>
          <w:numId w:val="20"/>
        </w:numPr>
        <w:tabs>
          <w:tab w:val="left" w:pos="4029"/>
        </w:tabs>
        <w:spacing w:line="360" w:lineRule="auto"/>
        <w:jc w:val="both"/>
        <w:rPr>
          <w:rFonts w:ascii="Calibri" w:hAnsi="Calibri" w:cs="Calibri"/>
          <w:sz w:val="24"/>
          <w:szCs w:val="24"/>
        </w:rPr>
      </w:pPr>
      <w:bookmarkStart w:id="29" w:name="_Toc165496504"/>
      <w:r w:rsidRPr="00AE6A95">
        <w:rPr>
          <w:rStyle w:val="Heading3Char"/>
          <w:rFonts w:ascii="Calibri" w:eastAsiaTheme="majorEastAsia" w:hAnsi="Calibri" w:cs="Calibri"/>
          <w:sz w:val="24"/>
          <w:szCs w:val="24"/>
        </w:rPr>
        <w:t>Cash Interest Coverage (CFO/Interest Paid)</w:t>
      </w:r>
      <w:bookmarkEnd w:id="29"/>
      <w:r>
        <w:rPr>
          <w:rFonts w:ascii="Calibri" w:hAnsi="Calibri" w:cs="Calibri"/>
          <w:sz w:val="24"/>
          <w:szCs w:val="24"/>
        </w:rPr>
        <w:t xml:space="preserve">: </w:t>
      </w:r>
      <w:r w:rsidRPr="002D4423">
        <w:rPr>
          <w:rFonts w:ascii="Calibri" w:hAnsi="Calibri" w:cs="Calibri"/>
          <w:sz w:val="24"/>
          <w:szCs w:val="24"/>
        </w:rPr>
        <w:t>This ratio measures the ability to pay interest from operational cash flow.</w:t>
      </w:r>
      <w:r>
        <w:rPr>
          <w:rFonts w:ascii="Calibri" w:hAnsi="Calibri" w:cs="Calibri"/>
          <w:sz w:val="24"/>
          <w:szCs w:val="24"/>
        </w:rPr>
        <w:t xml:space="preserve"> </w:t>
      </w:r>
      <w:r w:rsidRPr="00983ADF">
        <w:rPr>
          <w:rFonts w:ascii="Calibri" w:hAnsi="Calibri" w:cs="Calibri"/>
          <w:sz w:val="24"/>
          <w:szCs w:val="24"/>
        </w:rPr>
        <w:t>Barratt Development PLC shows a high capacity to cover interest payments with its cash flow, especially in 2021</w:t>
      </w:r>
      <w:r>
        <w:rPr>
          <w:rFonts w:ascii="Calibri" w:hAnsi="Calibri" w:cs="Calibri"/>
          <w:sz w:val="24"/>
          <w:szCs w:val="24"/>
        </w:rPr>
        <w:t>,</w:t>
      </w:r>
      <w:r w:rsidRPr="00983ADF">
        <w:rPr>
          <w:rFonts w:ascii="Calibri" w:hAnsi="Calibri" w:cs="Calibri"/>
          <w:sz w:val="24"/>
          <w:szCs w:val="24"/>
        </w:rPr>
        <w:t xml:space="preserve"> with a ratio of 98.4, but the negative value in 2020 is a concern.</w:t>
      </w:r>
      <w:r>
        <w:rPr>
          <w:rFonts w:ascii="Calibri" w:hAnsi="Calibri" w:cs="Calibri"/>
          <w:sz w:val="24"/>
          <w:szCs w:val="24"/>
        </w:rPr>
        <w:t xml:space="preserve"> On the other hand,</w:t>
      </w:r>
      <w:r w:rsidRPr="00983ADF">
        <w:rPr>
          <w:rFonts w:ascii="Calibri" w:hAnsi="Calibri" w:cs="Calibri"/>
          <w:sz w:val="24"/>
          <w:szCs w:val="24"/>
        </w:rPr>
        <w:t xml:space="preserve"> Berkeley Group Holdings PLC presents a significant variability and even a negative ratio in 2022 (-23.2), suggesting that the company had issues covering its interest obligations from cash flow in that particular year</w:t>
      </w:r>
      <w:r>
        <w:rPr>
          <w:rFonts w:ascii="Calibri" w:hAnsi="Calibri" w:cs="Calibri"/>
          <w:sz w:val="24"/>
          <w:szCs w:val="24"/>
        </w:rPr>
        <w:t>.</w:t>
      </w:r>
    </w:p>
    <w:p w14:paraId="18484022" w14:textId="0AF6F566" w:rsidR="00923F6C" w:rsidRPr="00B00849" w:rsidRDefault="0087209B" w:rsidP="00B00849">
      <w:pPr>
        <w:pStyle w:val="Heading3"/>
        <w:rPr>
          <w:rFonts w:ascii="Calibri" w:hAnsi="Calibri" w:cs="Calibri"/>
          <w:sz w:val="28"/>
          <w:szCs w:val="28"/>
        </w:rPr>
      </w:pPr>
      <w:bookmarkStart w:id="30" w:name="_Toc165495785"/>
      <w:bookmarkStart w:id="31" w:name="_Toc165496505"/>
      <w:r>
        <w:rPr>
          <w:rFonts w:ascii="Calibri" w:hAnsi="Calibri" w:cs="Calibri"/>
          <w:sz w:val="28"/>
          <w:szCs w:val="28"/>
        </w:rPr>
        <w:lastRenderedPageBreak/>
        <w:t xml:space="preserve">2.1.4 </w:t>
      </w:r>
      <w:r w:rsidR="00923F6C" w:rsidRPr="00B00849">
        <w:rPr>
          <w:rFonts w:ascii="Calibri" w:hAnsi="Calibri" w:cs="Calibri"/>
          <w:sz w:val="28"/>
          <w:szCs w:val="28"/>
        </w:rPr>
        <w:t>EFFICIENCY RATIO</w:t>
      </w:r>
      <w:bookmarkEnd w:id="30"/>
      <w:bookmarkEnd w:id="31"/>
    </w:p>
    <w:p w14:paraId="26D12022" w14:textId="3DB763A1" w:rsidR="00923F6C" w:rsidRDefault="00923F6C" w:rsidP="00E02600">
      <w:pPr>
        <w:tabs>
          <w:tab w:val="left" w:pos="4029"/>
        </w:tabs>
        <w:spacing w:line="360" w:lineRule="auto"/>
        <w:jc w:val="both"/>
        <w:rPr>
          <w:rFonts w:ascii="Calibri" w:hAnsi="Calibri" w:cs="Calibri"/>
          <w:sz w:val="24"/>
          <w:szCs w:val="24"/>
        </w:rPr>
      </w:pPr>
      <w:r>
        <w:rPr>
          <w:rFonts w:ascii="Calibri" w:hAnsi="Calibri" w:cs="Calibri"/>
          <w:sz w:val="24"/>
          <w:szCs w:val="24"/>
        </w:rPr>
        <w:t>The efficiency ratio s</w:t>
      </w:r>
      <w:r w:rsidRPr="00DF718C">
        <w:rPr>
          <w:rFonts w:ascii="Calibri" w:hAnsi="Calibri" w:cs="Calibri"/>
          <w:sz w:val="24"/>
          <w:szCs w:val="24"/>
        </w:rPr>
        <w:t>how</w:t>
      </w:r>
      <w:r>
        <w:rPr>
          <w:rFonts w:ascii="Calibri" w:hAnsi="Calibri" w:cs="Calibri"/>
          <w:sz w:val="24"/>
          <w:szCs w:val="24"/>
        </w:rPr>
        <w:t>s how</w:t>
      </w:r>
      <w:r w:rsidRPr="00DF718C">
        <w:rPr>
          <w:rFonts w:ascii="Calibri" w:hAnsi="Calibri" w:cs="Calibri"/>
          <w:sz w:val="24"/>
          <w:szCs w:val="24"/>
        </w:rPr>
        <w:t xml:space="preserve"> well a company manages its assets and liabilities to generate </w:t>
      </w:r>
      <w:r>
        <w:rPr>
          <w:rFonts w:ascii="Calibri" w:hAnsi="Calibri" w:cs="Calibri"/>
          <w:sz w:val="24"/>
          <w:szCs w:val="24"/>
        </w:rPr>
        <w:t xml:space="preserve">income. </w:t>
      </w:r>
      <w:r w:rsidR="000A5837">
        <w:rPr>
          <w:rFonts w:ascii="Calibri" w:hAnsi="Calibri" w:cs="Calibri"/>
          <w:sz w:val="24"/>
          <w:szCs w:val="24"/>
        </w:rPr>
        <w:t xml:space="preserve"> As shown in Figure 7, </w:t>
      </w:r>
      <w:r>
        <w:rPr>
          <w:rFonts w:ascii="Calibri" w:hAnsi="Calibri" w:cs="Calibri"/>
          <w:sz w:val="24"/>
          <w:szCs w:val="24"/>
        </w:rPr>
        <w:t xml:space="preserve">Barratt Development PLC </w:t>
      </w:r>
      <w:r w:rsidRPr="00641987">
        <w:rPr>
          <w:rFonts w:ascii="Calibri" w:hAnsi="Calibri" w:cs="Calibri"/>
          <w:sz w:val="24"/>
          <w:szCs w:val="24"/>
        </w:rPr>
        <w:t xml:space="preserve">has maintained a relatively stable </w:t>
      </w:r>
      <w:r>
        <w:rPr>
          <w:rFonts w:ascii="Calibri" w:hAnsi="Calibri" w:cs="Calibri"/>
          <w:sz w:val="24"/>
          <w:szCs w:val="24"/>
        </w:rPr>
        <w:t xml:space="preserve">sales-to-capital employed ratio of </w:t>
      </w:r>
      <w:r w:rsidRPr="00641987">
        <w:rPr>
          <w:rFonts w:ascii="Calibri" w:hAnsi="Calibri" w:cs="Calibri"/>
          <w:sz w:val="24"/>
          <w:szCs w:val="24"/>
        </w:rPr>
        <w:t>around 0.8 over the past five years</w:t>
      </w:r>
      <w:r>
        <w:rPr>
          <w:rFonts w:ascii="Calibri" w:hAnsi="Calibri" w:cs="Calibri"/>
          <w:sz w:val="24"/>
          <w:szCs w:val="24"/>
        </w:rPr>
        <w:t xml:space="preserve">. </w:t>
      </w:r>
      <w:r w:rsidRPr="00C053A5">
        <w:rPr>
          <w:rFonts w:ascii="Calibri" w:hAnsi="Calibri" w:cs="Calibri"/>
          <w:sz w:val="24"/>
          <w:szCs w:val="24"/>
        </w:rPr>
        <w:t xml:space="preserve">This suggests that the company </w:t>
      </w:r>
      <w:r w:rsidR="00437C32">
        <w:rPr>
          <w:rFonts w:ascii="Calibri" w:hAnsi="Calibri" w:cs="Calibri"/>
          <w:sz w:val="24"/>
          <w:szCs w:val="24"/>
        </w:rPr>
        <w:t>generates</w:t>
      </w:r>
      <w:r w:rsidRPr="00C053A5">
        <w:rPr>
          <w:rFonts w:ascii="Calibri" w:hAnsi="Calibri" w:cs="Calibri"/>
          <w:sz w:val="24"/>
          <w:szCs w:val="24"/>
        </w:rPr>
        <w:t xml:space="preserve"> consistent revenue relative to its invested capital.</w:t>
      </w:r>
      <w:r>
        <w:rPr>
          <w:rFonts w:ascii="Calibri" w:hAnsi="Calibri" w:cs="Calibri"/>
          <w:sz w:val="24"/>
          <w:szCs w:val="24"/>
        </w:rPr>
        <w:t xml:space="preserve"> </w:t>
      </w:r>
      <w:r w:rsidRPr="00C053A5">
        <w:rPr>
          <w:rFonts w:ascii="Calibri" w:hAnsi="Calibri" w:cs="Calibri"/>
          <w:sz w:val="24"/>
          <w:szCs w:val="24"/>
        </w:rPr>
        <w:t>However, Barratt's efficiency ratios show some fluctuations</w:t>
      </w:r>
      <w:r>
        <w:rPr>
          <w:rFonts w:ascii="Calibri" w:hAnsi="Calibri" w:cs="Calibri"/>
          <w:sz w:val="24"/>
          <w:szCs w:val="24"/>
        </w:rPr>
        <w:t xml:space="preserve">. </w:t>
      </w:r>
      <w:r w:rsidRPr="00C053A5">
        <w:rPr>
          <w:rFonts w:ascii="Calibri" w:hAnsi="Calibri" w:cs="Calibri"/>
          <w:sz w:val="24"/>
          <w:szCs w:val="24"/>
        </w:rPr>
        <w:t>Debtor days (DSO) have decreased from 16.0 days in 2019 to 13.5 days in 2023, indicating the company is collecting receivables faster</w:t>
      </w:r>
      <w:r>
        <w:rPr>
          <w:rFonts w:ascii="Calibri" w:hAnsi="Calibri" w:cs="Calibri"/>
          <w:sz w:val="24"/>
          <w:szCs w:val="24"/>
        </w:rPr>
        <w:t xml:space="preserve"> </w:t>
      </w:r>
      <w:r w:rsidRPr="00C053A5">
        <w:rPr>
          <w:rFonts w:ascii="Calibri" w:hAnsi="Calibri" w:cs="Calibri"/>
          <w:sz w:val="24"/>
          <w:szCs w:val="24"/>
        </w:rPr>
        <w:t>(Research Prospect, 2023)</w:t>
      </w:r>
      <w:r>
        <w:rPr>
          <w:rFonts w:ascii="Calibri" w:hAnsi="Calibri" w:cs="Calibri"/>
          <w:sz w:val="24"/>
          <w:szCs w:val="24"/>
        </w:rPr>
        <w:t xml:space="preserve">. </w:t>
      </w:r>
      <w:r w:rsidRPr="00C053A5">
        <w:rPr>
          <w:rFonts w:ascii="Calibri" w:hAnsi="Calibri" w:cs="Calibri"/>
          <w:sz w:val="24"/>
          <w:szCs w:val="24"/>
        </w:rPr>
        <w:t>This could be due to improved credit management or changes in customer payment terms.</w:t>
      </w:r>
      <w:r>
        <w:rPr>
          <w:rFonts w:ascii="Calibri" w:hAnsi="Calibri" w:cs="Calibri"/>
          <w:sz w:val="24"/>
          <w:szCs w:val="24"/>
        </w:rPr>
        <w:t xml:space="preserve"> </w:t>
      </w:r>
      <w:r w:rsidRPr="00C053A5">
        <w:rPr>
          <w:rFonts w:ascii="Calibri" w:hAnsi="Calibri" w:cs="Calibri"/>
          <w:sz w:val="24"/>
          <w:szCs w:val="24"/>
        </w:rPr>
        <w:t>Inventory days (DIO) have remained high, reaching 456.2 days in 2023</w:t>
      </w:r>
      <w:r>
        <w:rPr>
          <w:rFonts w:ascii="Calibri" w:hAnsi="Calibri" w:cs="Calibri"/>
          <w:sz w:val="24"/>
          <w:szCs w:val="24"/>
        </w:rPr>
        <w:t xml:space="preserve">. </w:t>
      </w:r>
      <w:r w:rsidRPr="00C053A5">
        <w:rPr>
          <w:rFonts w:ascii="Calibri" w:hAnsi="Calibri" w:cs="Calibri"/>
          <w:sz w:val="24"/>
          <w:szCs w:val="24"/>
        </w:rPr>
        <w:t xml:space="preserve">This implies Barratt </w:t>
      </w:r>
      <w:r w:rsidR="00437C32">
        <w:rPr>
          <w:rFonts w:ascii="Calibri" w:hAnsi="Calibri" w:cs="Calibri"/>
          <w:sz w:val="24"/>
          <w:szCs w:val="24"/>
        </w:rPr>
        <w:t>holds</w:t>
      </w:r>
      <w:r w:rsidRPr="00C053A5">
        <w:rPr>
          <w:rFonts w:ascii="Calibri" w:hAnsi="Calibri" w:cs="Calibri"/>
          <w:sz w:val="24"/>
          <w:szCs w:val="24"/>
        </w:rPr>
        <w:t xml:space="preserve"> inventory for an extended period, </w:t>
      </w:r>
      <w:r w:rsidR="00437C32">
        <w:rPr>
          <w:rFonts w:ascii="Calibri" w:hAnsi="Calibri" w:cs="Calibri"/>
          <w:sz w:val="24"/>
          <w:szCs w:val="24"/>
        </w:rPr>
        <w:t>possibly</w:t>
      </w:r>
      <w:r w:rsidRPr="00C053A5">
        <w:rPr>
          <w:rFonts w:ascii="Calibri" w:hAnsi="Calibri" w:cs="Calibri"/>
          <w:sz w:val="24"/>
          <w:szCs w:val="24"/>
        </w:rPr>
        <w:t xml:space="preserve"> due to market conditions, production planning, or inventory management strategies. A high DIO may suggest carrying excess inventory.</w:t>
      </w:r>
      <w:r>
        <w:rPr>
          <w:rFonts w:ascii="Calibri" w:hAnsi="Calibri" w:cs="Calibri"/>
          <w:sz w:val="24"/>
          <w:szCs w:val="24"/>
        </w:rPr>
        <w:t xml:space="preserve"> </w:t>
      </w:r>
      <w:r w:rsidRPr="00C053A5">
        <w:rPr>
          <w:rFonts w:ascii="Calibri" w:hAnsi="Calibri" w:cs="Calibri"/>
          <w:sz w:val="24"/>
          <w:szCs w:val="24"/>
        </w:rPr>
        <w:t>Creditor days (DPO) have decreased from 92.2 days in 2019 to 55.0 days in 2023</w:t>
      </w:r>
      <w:r>
        <w:rPr>
          <w:rFonts w:ascii="Calibri" w:hAnsi="Calibri" w:cs="Calibri"/>
          <w:sz w:val="24"/>
          <w:szCs w:val="24"/>
        </w:rPr>
        <w:t xml:space="preserve">. </w:t>
      </w:r>
      <w:r w:rsidRPr="00C053A5">
        <w:rPr>
          <w:rFonts w:ascii="Calibri" w:hAnsi="Calibri" w:cs="Calibri"/>
          <w:sz w:val="24"/>
          <w:szCs w:val="24"/>
        </w:rPr>
        <w:t xml:space="preserve">This indicates Barratt is paying suppliers faster, possibly due to </w:t>
      </w:r>
      <w:r w:rsidR="00437C32">
        <w:rPr>
          <w:rFonts w:ascii="Calibri" w:hAnsi="Calibri" w:cs="Calibri"/>
          <w:sz w:val="24"/>
          <w:szCs w:val="24"/>
        </w:rPr>
        <w:t>payment terms or supplier relationship changes</w:t>
      </w:r>
      <w:r w:rsidRPr="00C053A5">
        <w:rPr>
          <w:rFonts w:ascii="Calibri" w:hAnsi="Calibri" w:cs="Calibri"/>
          <w:sz w:val="24"/>
          <w:szCs w:val="24"/>
        </w:rPr>
        <w:t>.</w:t>
      </w:r>
      <w:r>
        <w:rPr>
          <w:rFonts w:ascii="Calibri" w:hAnsi="Calibri" w:cs="Calibri"/>
          <w:sz w:val="24"/>
          <w:szCs w:val="24"/>
        </w:rPr>
        <w:t xml:space="preserve"> </w:t>
      </w:r>
      <w:r w:rsidRPr="00C053A5">
        <w:rPr>
          <w:rFonts w:ascii="Calibri" w:hAnsi="Calibri" w:cs="Calibri"/>
          <w:sz w:val="24"/>
          <w:szCs w:val="24"/>
        </w:rPr>
        <w:t>The cash conversion cycle (CCC) has remained high, reaching 414.7 days in 2023</w:t>
      </w:r>
      <w:r>
        <w:rPr>
          <w:rFonts w:ascii="Calibri" w:hAnsi="Calibri" w:cs="Calibri"/>
          <w:sz w:val="24"/>
          <w:szCs w:val="24"/>
        </w:rPr>
        <w:t xml:space="preserve">. </w:t>
      </w:r>
      <w:r w:rsidRPr="00C053A5">
        <w:rPr>
          <w:rFonts w:ascii="Calibri" w:hAnsi="Calibri" w:cs="Calibri"/>
          <w:sz w:val="24"/>
          <w:szCs w:val="24"/>
        </w:rPr>
        <w:t>A high CCC suggests it takes longer for the company to generate cash from operations, impacting liquidity and working capital management.</w:t>
      </w:r>
    </w:p>
    <w:p w14:paraId="6A57E71F" w14:textId="27BFA76F" w:rsidR="00437C32" w:rsidRPr="00E60945" w:rsidRDefault="000A5837" w:rsidP="00923F6C">
      <w:pPr>
        <w:tabs>
          <w:tab w:val="left" w:pos="4029"/>
        </w:tabs>
        <w:spacing w:line="360" w:lineRule="auto"/>
        <w:jc w:val="both"/>
        <w:rPr>
          <w:rFonts w:ascii="Calibri" w:hAnsi="Calibri" w:cs="Calibri"/>
          <w:sz w:val="24"/>
          <w:szCs w:val="24"/>
        </w:rPr>
      </w:pPr>
      <w:r>
        <w:rPr>
          <w:rFonts w:ascii="Calibri" w:hAnsi="Calibri" w:cs="Calibri"/>
          <w:sz w:val="24"/>
          <w:szCs w:val="24"/>
        </w:rPr>
        <w:t xml:space="preserve">As shown in Figure 8, </w:t>
      </w:r>
      <w:r w:rsidR="00923F6C" w:rsidRPr="00C053A5">
        <w:rPr>
          <w:rFonts w:ascii="Calibri" w:hAnsi="Calibri" w:cs="Calibri"/>
          <w:sz w:val="24"/>
          <w:szCs w:val="24"/>
        </w:rPr>
        <w:t>Berkeley Group has shown similar trends, with generally higher ratios than Barratt</w:t>
      </w:r>
      <w:r w:rsidR="00923F6C">
        <w:rPr>
          <w:rFonts w:ascii="Calibri" w:hAnsi="Calibri" w:cs="Calibri"/>
          <w:sz w:val="24"/>
          <w:szCs w:val="24"/>
        </w:rPr>
        <w:t xml:space="preserve">. </w:t>
      </w:r>
      <w:r w:rsidR="00923F6C" w:rsidRPr="00C053A5">
        <w:rPr>
          <w:rFonts w:ascii="Calibri" w:hAnsi="Calibri" w:cs="Calibri"/>
          <w:sz w:val="24"/>
          <w:szCs w:val="24"/>
        </w:rPr>
        <w:t xml:space="preserve">This indicates </w:t>
      </w:r>
      <w:r w:rsidR="00923F6C">
        <w:rPr>
          <w:rFonts w:ascii="Calibri" w:hAnsi="Calibri" w:cs="Calibri"/>
          <w:sz w:val="24"/>
          <w:szCs w:val="24"/>
        </w:rPr>
        <w:t xml:space="preserve">that </w:t>
      </w:r>
      <w:r w:rsidR="00923F6C" w:rsidRPr="00C053A5">
        <w:rPr>
          <w:rFonts w:ascii="Calibri" w:hAnsi="Calibri" w:cs="Calibri"/>
          <w:sz w:val="24"/>
          <w:szCs w:val="24"/>
        </w:rPr>
        <w:t>Berkeley may face more challenges managing working capital and inventory.</w:t>
      </w:r>
      <w:r w:rsidR="00923F6C">
        <w:rPr>
          <w:rFonts w:ascii="Calibri" w:hAnsi="Calibri" w:cs="Calibri"/>
          <w:sz w:val="24"/>
          <w:szCs w:val="24"/>
        </w:rPr>
        <w:t xml:space="preserve"> </w:t>
      </w:r>
      <w:r w:rsidR="00923F6C" w:rsidRPr="00C053A5">
        <w:rPr>
          <w:rFonts w:ascii="Calibri" w:hAnsi="Calibri" w:cs="Calibri"/>
          <w:sz w:val="24"/>
          <w:szCs w:val="24"/>
        </w:rPr>
        <w:t xml:space="preserve">Barratt's efficiency ratios suggest </w:t>
      </w:r>
      <w:r w:rsidR="00437C32">
        <w:rPr>
          <w:rFonts w:ascii="Calibri" w:hAnsi="Calibri" w:cs="Calibri"/>
          <w:sz w:val="24"/>
          <w:szCs w:val="24"/>
        </w:rPr>
        <w:t>that the company should improve</w:t>
      </w:r>
      <w:r w:rsidR="00923F6C" w:rsidRPr="00C053A5">
        <w:rPr>
          <w:rFonts w:ascii="Calibri" w:hAnsi="Calibri" w:cs="Calibri"/>
          <w:sz w:val="24"/>
          <w:szCs w:val="24"/>
        </w:rPr>
        <w:t xml:space="preserve"> inventory management, credit policies, and working capital strategies to enhance operational efficiency and cash flow </w:t>
      </w:r>
      <w:r w:rsidR="00437C32" w:rsidRPr="00C053A5">
        <w:rPr>
          <w:rFonts w:ascii="Calibri" w:hAnsi="Calibri" w:cs="Calibri"/>
          <w:sz w:val="24"/>
          <w:szCs w:val="24"/>
        </w:rPr>
        <w:t>generation.</w:t>
      </w:r>
    </w:p>
    <w:tbl>
      <w:tblPr>
        <w:tblStyle w:val="GridTable1Light-Accent6"/>
        <w:tblW w:w="5000" w:type="pct"/>
        <w:tblLook w:val="04A0" w:firstRow="1" w:lastRow="0" w:firstColumn="1" w:lastColumn="0" w:noHBand="0" w:noVBand="1"/>
      </w:tblPr>
      <w:tblGrid>
        <w:gridCol w:w="4918"/>
        <w:gridCol w:w="886"/>
        <w:gridCol w:w="886"/>
        <w:gridCol w:w="886"/>
        <w:gridCol w:w="886"/>
        <w:gridCol w:w="888"/>
      </w:tblGrid>
      <w:tr w:rsidR="00923F6C" w:rsidRPr="00C9088A" w14:paraId="35853FC6"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99F5FF"/>
            <w:noWrap/>
          </w:tcPr>
          <w:p w14:paraId="596872B2"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BARRATT DEVELOPMENT PLC</w:t>
            </w:r>
          </w:p>
          <w:p w14:paraId="1704FDB1" w14:textId="77777777" w:rsidR="00923F6C" w:rsidRPr="00C9088A"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EFFICIENCY</w:t>
            </w:r>
            <w:r w:rsidRPr="008A02BA">
              <w:rPr>
                <w:rFonts w:ascii="Arial" w:eastAsia="Times New Roman" w:hAnsi="Arial" w:cs="Arial"/>
                <w:color w:val="FF0000"/>
                <w:kern w:val="0"/>
                <w:sz w:val="20"/>
                <w:szCs w:val="20"/>
                <w14:ligatures w14:val="none"/>
              </w:rPr>
              <w:t xml:space="preserve"> RATIO</w:t>
            </w:r>
          </w:p>
        </w:tc>
      </w:tr>
      <w:tr w:rsidR="00923F6C" w:rsidRPr="00C9088A" w14:paraId="0EC9D9F9"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53EC6BEA" w14:textId="77777777" w:rsidR="00923F6C" w:rsidRPr="00C9088A" w:rsidRDefault="00923F6C" w:rsidP="002B72E8">
            <w:pPr>
              <w:rPr>
                <w:rFonts w:ascii="Arial" w:eastAsia="Times New Roman" w:hAnsi="Arial" w:cs="Arial"/>
                <w:color w:val="000000" w:themeColor="text1"/>
                <w:kern w:val="0"/>
                <w:sz w:val="20"/>
                <w:szCs w:val="20"/>
                <w14:ligatures w14:val="none"/>
              </w:rPr>
            </w:pPr>
            <w:r w:rsidRPr="00C9088A">
              <w:rPr>
                <w:rFonts w:ascii="Arial" w:eastAsia="Times New Roman" w:hAnsi="Arial" w:cs="Arial"/>
                <w:color w:val="000000" w:themeColor="text1"/>
                <w:kern w:val="0"/>
                <w:sz w:val="20"/>
                <w:szCs w:val="20"/>
                <w14:ligatures w14:val="none"/>
              </w:rPr>
              <w:t xml:space="preserve">Ratios </w:t>
            </w:r>
          </w:p>
        </w:tc>
        <w:tc>
          <w:tcPr>
            <w:tcW w:w="474" w:type="pct"/>
            <w:noWrap/>
            <w:hideMark/>
          </w:tcPr>
          <w:p w14:paraId="2FF4D9CF"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2023</w:t>
            </w:r>
          </w:p>
        </w:tc>
        <w:tc>
          <w:tcPr>
            <w:tcW w:w="474" w:type="pct"/>
            <w:noWrap/>
            <w:hideMark/>
          </w:tcPr>
          <w:p w14:paraId="5F549FF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2022</w:t>
            </w:r>
          </w:p>
        </w:tc>
        <w:tc>
          <w:tcPr>
            <w:tcW w:w="474" w:type="pct"/>
            <w:noWrap/>
            <w:hideMark/>
          </w:tcPr>
          <w:p w14:paraId="4C8957F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2021</w:t>
            </w:r>
          </w:p>
        </w:tc>
        <w:tc>
          <w:tcPr>
            <w:tcW w:w="474" w:type="pct"/>
            <w:noWrap/>
            <w:hideMark/>
          </w:tcPr>
          <w:p w14:paraId="4C00700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2020</w:t>
            </w:r>
          </w:p>
        </w:tc>
        <w:tc>
          <w:tcPr>
            <w:tcW w:w="474" w:type="pct"/>
            <w:noWrap/>
            <w:hideMark/>
          </w:tcPr>
          <w:p w14:paraId="47D69974"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2019</w:t>
            </w:r>
          </w:p>
        </w:tc>
      </w:tr>
      <w:tr w:rsidR="00923F6C" w:rsidRPr="00C9088A" w14:paraId="41C1FD57"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70BBEF55"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Sales to Capital Employed</w:t>
            </w:r>
          </w:p>
        </w:tc>
        <w:tc>
          <w:tcPr>
            <w:tcW w:w="474" w:type="pct"/>
            <w:noWrap/>
            <w:hideMark/>
          </w:tcPr>
          <w:p w14:paraId="74D993D3"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0.8</w:t>
            </w:r>
          </w:p>
        </w:tc>
        <w:tc>
          <w:tcPr>
            <w:tcW w:w="474" w:type="pct"/>
            <w:noWrap/>
            <w:hideMark/>
          </w:tcPr>
          <w:p w14:paraId="5A0900E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0.8</w:t>
            </w:r>
          </w:p>
        </w:tc>
        <w:tc>
          <w:tcPr>
            <w:tcW w:w="474" w:type="pct"/>
            <w:noWrap/>
            <w:hideMark/>
          </w:tcPr>
          <w:p w14:paraId="2674BCD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0.8</w:t>
            </w:r>
          </w:p>
        </w:tc>
        <w:tc>
          <w:tcPr>
            <w:tcW w:w="474" w:type="pct"/>
            <w:noWrap/>
            <w:hideMark/>
          </w:tcPr>
          <w:p w14:paraId="677D67E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0.6</w:t>
            </w:r>
          </w:p>
        </w:tc>
        <w:tc>
          <w:tcPr>
            <w:tcW w:w="474" w:type="pct"/>
            <w:noWrap/>
            <w:hideMark/>
          </w:tcPr>
          <w:p w14:paraId="51082D63"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0.9</w:t>
            </w:r>
          </w:p>
        </w:tc>
      </w:tr>
      <w:tr w:rsidR="00923F6C" w:rsidRPr="00C9088A" w14:paraId="28341F12"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4A20CC4B"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Debtor Days (DSO Days sales outstanding)</w:t>
            </w:r>
          </w:p>
        </w:tc>
        <w:tc>
          <w:tcPr>
            <w:tcW w:w="474" w:type="pct"/>
            <w:noWrap/>
            <w:hideMark/>
          </w:tcPr>
          <w:p w14:paraId="674A435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13.5</w:t>
            </w:r>
          </w:p>
        </w:tc>
        <w:tc>
          <w:tcPr>
            <w:tcW w:w="474" w:type="pct"/>
            <w:noWrap/>
            <w:hideMark/>
          </w:tcPr>
          <w:p w14:paraId="2706689A"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15.7</w:t>
            </w:r>
          </w:p>
        </w:tc>
        <w:tc>
          <w:tcPr>
            <w:tcW w:w="474" w:type="pct"/>
            <w:noWrap/>
            <w:hideMark/>
          </w:tcPr>
          <w:p w14:paraId="3BE7A96C"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12.5</w:t>
            </w:r>
          </w:p>
        </w:tc>
        <w:tc>
          <w:tcPr>
            <w:tcW w:w="474" w:type="pct"/>
            <w:noWrap/>
            <w:hideMark/>
          </w:tcPr>
          <w:p w14:paraId="415B670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7.5</w:t>
            </w:r>
          </w:p>
        </w:tc>
        <w:tc>
          <w:tcPr>
            <w:tcW w:w="474" w:type="pct"/>
            <w:noWrap/>
            <w:hideMark/>
          </w:tcPr>
          <w:p w14:paraId="6A8C6CBB"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16.0</w:t>
            </w:r>
          </w:p>
        </w:tc>
      </w:tr>
      <w:tr w:rsidR="00923F6C" w:rsidRPr="00C9088A" w14:paraId="411DFE81"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7298C6E9"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 xml:space="preserve">Inventory Days (DIO Days Inventory Outstanding) </w:t>
            </w:r>
          </w:p>
        </w:tc>
        <w:tc>
          <w:tcPr>
            <w:tcW w:w="474" w:type="pct"/>
            <w:noWrap/>
            <w:hideMark/>
          </w:tcPr>
          <w:p w14:paraId="6A13BC86"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456.2</w:t>
            </w:r>
          </w:p>
        </w:tc>
        <w:tc>
          <w:tcPr>
            <w:tcW w:w="474" w:type="pct"/>
            <w:noWrap/>
            <w:hideMark/>
          </w:tcPr>
          <w:p w14:paraId="12343F7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487.8</w:t>
            </w:r>
          </w:p>
        </w:tc>
        <w:tc>
          <w:tcPr>
            <w:tcW w:w="474" w:type="pct"/>
            <w:noWrap/>
            <w:hideMark/>
          </w:tcPr>
          <w:p w14:paraId="79738973"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453.1</w:t>
            </w:r>
          </w:p>
        </w:tc>
        <w:tc>
          <w:tcPr>
            <w:tcW w:w="474" w:type="pct"/>
            <w:noWrap/>
            <w:hideMark/>
          </w:tcPr>
          <w:p w14:paraId="606CFD1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682.7</w:t>
            </w:r>
          </w:p>
        </w:tc>
        <w:tc>
          <w:tcPr>
            <w:tcW w:w="474" w:type="pct"/>
            <w:noWrap/>
            <w:hideMark/>
          </w:tcPr>
          <w:p w14:paraId="5035F5A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479.0</w:t>
            </w:r>
          </w:p>
        </w:tc>
      </w:tr>
      <w:tr w:rsidR="00923F6C" w:rsidRPr="00C9088A" w14:paraId="75B0142E"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36B977DA"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Creditor Days (DPO Days Payables Outstanding)</w:t>
            </w:r>
          </w:p>
        </w:tc>
        <w:tc>
          <w:tcPr>
            <w:tcW w:w="474" w:type="pct"/>
            <w:noWrap/>
            <w:hideMark/>
          </w:tcPr>
          <w:p w14:paraId="0437A9A2"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55.0</w:t>
            </w:r>
          </w:p>
        </w:tc>
        <w:tc>
          <w:tcPr>
            <w:tcW w:w="474" w:type="pct"/>
            <w:noWrap/>
            <w:hideMark/>
          </w:tcPr>
          <w:p w14:paraId="6673719C"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75.8</w:t>
            </w:r>
          </w:p>
        </w:tc>
        <w:tc>
          <w:tcPr>
            <w:tcW w:w="474" w:type="pct"/>
            <w:noWrap/>
            <w:hideMark/>
          </w:tcPr>
          <w:p w14:paraId="75DA4BA1"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63.7</w:t>
            </w:r>
          </w:p>
        </w:tc>
        <w:tc>
          <w:tcPr>
            <w:tcW w:w="474" w:type="pct"/>
            <w:noWrap/>
            <w:hideMark/>
          </w:tcPr>
          <w:p w14:paraId="52945726"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92.3</w:t>
            </w:r>
          </w:p>
        </w:tc>
        <w:tc>
          <w:tcPr>
            <w:tcW w:w="474" w:type="pct"/>
            <w:noWrap/>
            <w:hideMark/>
          </w:tcPr>
          <w:p w14:paraId="1FE029CB"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92.2</w:t>
            </w:r>
          </w:p>
        </w:tc>
      </w:tr>
      <w:tr w:rsidR="00923F6C" w:rsidRPr="00C9088A" w14:paraId="5342F7D9" w14:textId="77777777" w:rsidTr="00437C32">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7F0314D4"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Cash conversion cycle (DIO+DSO-DPO)</w:t>
            </w:r>
          </w:p>
        </w:tc>
        <w:tc>
          <w:tcPr>
            <w:tcW w:w="474" w:type="pct"/>
            <w:noWrap/>
            <w:hideMark/>
          </w:tcPr>
          <w:p w14:paraId="34430D6A"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414.7</w:t>
            </w:r>
          </w:p>
        </w:tc>
        <w:tc>
          <w:tcPr>
            <w:tcW w:w="474" w:type="pct"/>
            <w:noWrap/>
            <w:hideMark/>
          </w:tcPr>
          <w:p w14:paraId="0B6673DA"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427.7</w:t>
            </w:r>
          </w:p>
        </w:tc>
        <w:tc>
          <w:tcPr>
            <w:tcW w:w="474" w:type="pct"/>
            <w:noWrap/>
            <w:hideMark/>
          </w:tcPr>
          <w:p w14:paraId="74772B96"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401.9</w:t>
            </w:r>
          </w:p>
        </w:tc>
        <w:tc>
          <w:tcPr>
            <w:tcW w:w="474" w:type="pct"/>
            <w:noWrap/>
            <w:hideMark/>
          </w:tcPr>
          <w:p w14:paraId="1AD01EF1"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597.9</w:t>
            </w:r>
          </w:p>
        </w:tc>
        <w:tc>
          <w:tcPr>
            <w:tcW w:w="474" w:type="pct"/>
            <w:noWrap/>
            <w:hideMark/>
          </w:tcPr>
          <w:p w14:paraId="3D3FCA5C"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402.8</w:t>
            </w:r>
          </w:p>
        </w:tc>
      </w:tr>
    </w:tbl>
    <w:p w14:paraId="4B2B2429" w14:textId="77777777" w:rsidR="00923F6C" w:rsidRDefault="00923F6C" w:rsidP="00923F6C">
      <w:pPr>
        <w:tabs>
          <w:tab w:val="left" w:pos="4029"/>
        </w:tabs>
        <w:spacing w:line="360" w:lineRule="auto"/>
        <w:jc w:val="both"/>
        <w:rPr>
          <w:rFonts w:ascii="Calibri" w:hAnsi="Calibri" w:cs="Calibri"/>
          <w:sz w:val="24"/>
          <w:szCs w:val="24"/>
        </w:rPr>
      </w:pPr>
    </w:p>
    <w:p w14:paraId="5CA0DF4C" w14:textId="77777777" w:rsidR="00437C32" w:rsidRDefault="00437C32" w:rsidP="00923F6C">
      <w:pPr>
        <w:tabs>
          <w:tab w:val="left" w:pos="4029"/>
        </w:tabs>
        <w:spacing w:line="360" w:lineRule="auto"/>
        <w:jc w:val="both"/>
        <w:rPr>
          <w:rFonts w:ascii="Calibri" w:hAnsi="Calibri" w:cs="Calibri"/>
          <w:sz w:val="24"/>
          <w:szCs w:val="24"/>
        </w:rPr>
      </w:pPr>
    </w:p>
    <w:tbl>
      <w:tblPr>
        <w:tblStyle w:val="GridTable1Light-Accent2"/>
        <w:tblW w:w="5000" w:type="pct"/>
        <w:tblLook w:val="04A0" w:firstRow="1" w:lastRow="0" w:firstColumn="1" w:lastColumn="0" w:noHBand="0" w:noVBand="1"/>
      </w:tblPr>
      <w:tblGrid>
        <w:gridCol w:w="4918"/>
        <w:gridCol w:w="886"/>
        <w:gridCol w:w="886"/>
        <w:gridCol w:w="886"/>
        <w:gridCol w:w="886"/>
        <w:gridCol w:w="888"/>
      </w:tblGrid>
      <w:tr w:rsidR="00923F6C" w:rsidRPr="00C9088A" w14:paraId="0092F85A" w14:textId="77777777" w:rsidTr="00437C3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FADFF"/>
            <w:noWrap/>
          </w:tcPr>
          <w:p w14:paraId="51171B0D" w14:textId="77777777" w:rsidR="00923F6C" w:rsidRDefault="00923F6C" w:rsidP="002B72E8">
            <w:pPr>
              <w:spacing w:line="360" w:lineRule="auto"/>
              <w:jc w:val="center"/>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lastRenderedPageBreak/>
              <w:t>THE BERKELEY GROUP HOLDINGS PLC</w:t>
            </w:r>
          </w:p>
          <w:p w14:paraId="7E75999C" w14:textId="77777777" w:rsidR="00923F6C" w:rsidRPr="00C9088A" w:rsidRDefault="00923F6C" w:rsidP="002B72E8">
            <w:pPr>
              <w:spacing w:line="360" w:lineRule="auto"/>
              <w:jc w:val="center"/>
              <w:rPr>
                <w:rFonts w:ascii="Arial" w:eastAsia="Times New Roman" w:hAnsi="Arial" w:cs="Arial"/>
                <w:b w:val="0"/>
                <w:bCs w:val="0"/>
                <w:color w:val="000000" w:themeColor="text1"/>
                <w:kern w:val="0"/>
                <w:sz w:val="20"/>
                <w:szCs w:val="20"/>
                <w14:ligatures w14:val="none"/>
              </w:rPr>
            </w:pPr>
            <w:r>
              <w:rPr>
                <w:rFonts w:ascii="Arial" w:eastAsia="Times New Roman" w:hAnsi="Arial" w:cs="Arial"/>
                <w:color w:val="FF0000"/>
                <w:kern w:val="0"/>
                <w:sz w:val="20"/>
                <w:szCs w:val="20"/>
                <w14:ligatures w14:val="none"/>
              </w:rPr>
              <w:t>EFFICIENCY</w:t>
            </w:r>
            <w:r w:rsidRPr="005C6F9E">
              <w:rPr>
                <w:rFonts w:ascii="Arial" w:eastAsia="Times New Roman" w:hAnsi="Arial" w:cs="Arial"/>
                <w:color w:val="FF0000"/>
                <w:kern w:val="0"/>
                <w:sz w:val="20"/>
                <w:szCs w:val="20"/>
                <w14:ligatures w14:val="none"/>
              </w:rPr>
              <w:t xml:space="preserve"> RATIO</w:t>
            </w:r>
          </w:p>
        </w:tc>
      </w:tr>
      <w:tr w:rsidR="00923F6C" w:rsidRPr="00C9088A" w14:paraId="77FB0E7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214E3FC8" w14:textId="77777777" w:rsidR="00923F6C" w:rsidRPr="00C9088A" w:rsidRDefault="00923F6C" w:rsidP="002B72E8">
            <w:pPr>
              <w:rPr>
                <w:rFonts w:ascii="Arial" w:eastAsia="Times New Roman" w:hAnsi="Arial" w:cs="Arial"/>
                <w:color w:val="000000" w:themeColor="text1"/>
                <w:kern w:val="0"/>
                <w:sz w:val="20"/>
                <w:szCs w:val="20"/>
                <w14:ligatures w14:val="none"/>
              </w:rPr>
            </w:pPr>
            <w:r w:rsidRPr="00C9088A">
              <w:rPr>
                <w:rFonts w:ascii="Arial" w:eastAsia="Times New Roman" w:hAnsi="Arial" w:cs="Arial"/>
                <w:color w:val="000000" w:themeColor="text1"/>
                <w:kern w:val="0"/>
                <w:sz w:val="20"/>
                <w:szCs w:val="20"/>
                <w14:ligatures w14:val="none"/>
              </w:rPr>
              <w:t xml:space="preserve">Ratios </w:t>
            </w:r>
          </w:p>
        </w:tc>
        <w:tc>
          <w:tcPr>
            <w:tcW w:w="474" w:type="pct"/>
            <w:noWrap/>
            <w:hideMark/>
          </w:tcPr>
          <w:p w14:paraId="51F1A024"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2023</w:t>
            </w:r>
          </w:p>
        </w:tc>
        <w:tc>
          <w:tcPr>
            <w:tcW w:w="474" w:type="pct"/>
            <w:noWrap/>
            <w:hideMark/>
          </w:tcPr>
          <w:p w14:paraId="3D996B2B"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2022</w:t>
            </w:r>
          </w:p>
        </w:tc>
        <w:tc>
          <w:tcPr>
            <w:tcW w:w="474" w:type="pct"/>
            <w:noWrap/>
            <w:hideMark/>
          </w:tcPr>
          <w:p w14:paraId="41B129F0"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2021</w:t>
            </w:r>
          </w:p>
        </w:tc>
        <w:tc>
          <w:tcPr>
            <w:tcW w:w="474" w:type="pct"/>
            <w:noWrap/>
            <w:hideMark/>
          </w:tcPr>
          <w:p w14:paraId="44A2A372"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2020</w:t>
            </w:r>
          </w:p>
        </w:tc>
        <w:tc>
          <w:tcPr>
            <w:tcW w:w="474" w:type="pct"/>
            <w:noWrap/>
            <w:hideMark/>
          </w:tcPr>
          <w:p w14:paraId="2E651C4A"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themeColor="text1"/>
                <w:kern w:val="0"/>
                <w:sz w:val="20"/>
                <w:szCs w:val="20"/>
                <w14:ligatures w14:val="none"/>
              </w:rPr>
            </w:pPr>
            <w:r w:rsidRPr="00C9088A">
              <w:rPr>
                <w:rFonts w:ascii="Arial" w:eastAsia="Times New Roman" w:hAnsi="Arial" w:cs="Arial"/>
                <w:b/>
                <w:bCs/>
                <w:color w:val="000000" w:themeColor="text1"/>
                <w:kern w:val="0"/>
                <w:sz w:val="20"/>
                <w:szCs w:val="20"/>
                <w14:ligatures w14:val="none"/>
              </w:rPr>
              <w:t>2019</w:t>
            </w:r>
          </w:p>
        </w:tc>
      </w:tr>
      <w:tr w:rsidR="00923F6C" w:rsidRPr="00C9088A" w14:paraId="7DE7FF6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75678F73"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Sales to Capital Employed</w:t>
            </w:r>
          </w:p>
        </w:tc>
        <w:tc>
          <w:tcPr>
            <w:tcW w:w="474" w:type="pct"/>
            <w:noWrap/>
            <w:hideMark/>
          </w:tcPr>
          <w:p w14:paraId="20F717E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0.5</w:t>
            </w:r>
          </w:p>
        </w:tc>
        <w:tc>
          <w:tcPr>
            <w:tcW w:w="474" w:type="pct"/>
            <w:noWrap/>
            <w:hideMark/>
          </w:tcPr>
          <w:p w14:paraId="425CCCC3"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0.5</w:t>
            </w:r>
          </w:p>
        </w:tc>
        <w:tc>
          <w:tcPr>
            <w:tcW w:w="474" w:type="pct"/>
            <w:noWrap/>
            <w:hideMark/>
          </w:tcPr>
          <w:p w14:paraId="7D28387E"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0.6</w:t>
            </w:r>
          </w:p>
        </w:tc>
        <w:tc>
          <w:tcPr>
            <w:tcW w:w="474" w:type="pct"/>
            <w:noWrap/>
            <w:hideMark/>
          </w:tcPr>
          <w:p w14:paraId="0B0C29F2"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0.5</w:t>
            </w:r>
          </w:p>
        </w:tc>
        <w:tc>
          <w:tcPr>
            <w:tcW w:w="474" w:type="pct"/>
            <w:noWrap/>
            <w:hideMark/>
          </w:tcPr>
          <w:p w14:paraId="6CB1D93E"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0.9</w:t>
            </w:r>
          </w:p>
        </w:tc>
      </w:tr>
      <w:tr w:rsidR="00923F6C" w:rsidRPr="00C9088A" w14:paraId="4E0DB89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483F0BFB"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Debtor Days (DSO Days sales outstanding)</w:t>
            </w:r>
          </w:p>
        </w:tc>
        <w:tc>
          <w:tcPr>
            <w:tcW w:w="474" w:type="pct"/>
            <w:noWrap/>
            <w:hideMark/>
          </w:tcPr>
          <w:p w14:paraId="35BB811D"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10.0</w:t>
            </w:r>
          </w:p>
        </w:tc>
        <w:tc>
          <w:tcPr>
            <w:tcW w:w="474" w:type="pct"/>
            <w:noWrap/>
            <w:hideMark/>
          </w:tcPr>
          <w:p w14:paraId="755502B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20.5</w:t>
            </w:r>
          </w:p>
        </w:tc>
        <w:tc>
          <w:tcPr>
            <w:tcW w:w="474" w:type="pct"/>
            <w:noWrap/>
            <w:hideMark/>
          </w:tcPr>
          <w:p w14:paraId="5955DD6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12.6</w:t>
            </w:r>
          </w:p>
        </w:tc>
        <w:tc>
          <w:tcPr>
            <w:tcW w:w="474" w:type="pct"/>
            <w:noWrap/>
            <w:hideMark/>
          </w:tcPr>
          <w:p w14:paraId="4E1B97CD"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11.2</w:t>
            </w:r>
          </w:p>
        </w:tc>
        <w:tc>
          <w:tcPr>
            <w:tcW w:w="474" w:type="pct"/>
            <w:noWrap/>
            <w:hideMark/>
          </w:tcPr>
          <w:p w14:paraId="139B761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7.3</w:t>
            </w:r>
          </w:p>
        </w:tc>
      </w:tr>
      <w:tr w:rsidR="00923F6C" w:rsidRPr="00C9088A" w14:paraId="5940DF0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7F6FD5E4"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 xml:space="preserve">Inventory Days (DIO Days Inventory Outstanding) </w:t>
            </w:r>
          </w:p>
        </w:tc>
        <w:tc>
          <w:tcPr>
            <w:tcW w:w="474" w:type="pct"/>
            <w:noWrap/>
            <w:hideMark/>
          </w:tcPr>
          <w:p w14:paraId="006D85E4"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1044.4</w:t>
            </w:r>
          </w:p>
        </w:tc>
        <w:tc>
          <w:tcPr>
            <w:tcW w:w="474" w:type="pct"/>
            <w:noWrap/>
            <w:hideMark/>
          </w:tcPr>
          <w:p w14:paraId="04B62B43"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1113.4</w:t>
            </w:r>
          </w:p>
        </w:tc>
        <w:tc>
          <w:tcPr>
            <w:tcW w:w="474" w:type="pct"/>
            <w:noWrap/>
            <w:hideMark/>
          </w:tcPr>
          <w:p w14:paraId="5BA65BFE"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850.9</w:t>
            </w:r>
          </w:p>
        </w:tc>
        <w:tc>
          <w:tcPr>
            <w:tcW w:w="474" w:type="pct"/>
            <w:noWrap/>
            <w:hideMark/>
          </w:tcPr>
          <w:p w14:paraId="1823FC8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1011.4</w:t>
            </w:r>
          </w:p>
        </w:tc>
        <w:tc>
          <w:tcPr>
            <w:tcW w:w="474" w:type="pct"/>
            <w:noWrap/>
            <w:hideMark/>
          </w:tcPr>
          <w:p w14:paraId="379B3B5B"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559.8</w:t>
            </w:r>
          </w:p>
        </w:tc>
      </w:tr>
      <w:tr w:rsidR="00923F6C" w:rsidRPr="00C9088A" w14:paraId="0F87528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28B83E79"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Creditor Days (DPO Days Payables Outstanding)</w:t>
            </w:r>
          </w:p>
        </w:tc>
        <w:tc>
          <w:tcPr>
            <w:tcW w:w="474" w:type="pct"/>
            <w:noWrap/>
            <w:hideMark/>
          </w:tcPr>
          <w:p w14:paraId="3F416D44"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118.8</w:t>
            </w:r>
          </w:p>
        </w:tc>
        <w:tc>
          <w:tcPr>
            <w:tcW w:w="474" w:type="pct"/>
            <w:noWrap/>
            <w:hideMark/>
          </w:tcPr>
          <w:p w14:paraId="4C09A43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137.9</w:t>
            </w:r>
          </w:p>
        </w:tc>
        <w:tc>
          <w:tcPr>
            <w:tcW w:w="474" w:type="pct"/>
            <w:noWrap/>
            <w:hideMark/>
          </w:tcPr>
          <w:p w14:paraId="28EDBC01"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118.6</w:t>
            </w:r>
          </w:p>
        </w:tc>
        <w:tc>
          <w:tcPr>
            <w:tcW w:w="474" w:type="pct"/>
            <w:noWrap/>
            <w:hideMark/>
          </w:tcPr>
          <w:p w14:paraId="43524D07"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166.7</w:t>
            </w:r>
          </w:p>
        </w:tc>
        <w:tc>
          <w:tcPr>
            <w:tcW w:w="474" w:type="pct"/>
            <w:noWrap/>
            <w:hideMark/>
          </w:tcPr>
          <w:p w14:paraId="4761D724"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111.6</w:t>
            </w:r>
          </w:p>
        </w:tc>
      </w:tr>
      <w:tr w:rsidR="00923F6C" w:rsidRPr="00C9088A" w14:paraId="7986839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629" w:type="pct"/>
            <w:noWrap/>
            <w:hideMark/>
          </w:tcPr>
          <w:p w14:paraId="5574CAD8" w14:textId="77777777" w:rsidR="00923F6C" w:rsidRPr="00C9088A" w:rsidRDefault="00923F6C" w:rsidP="002B72E8">
            <w:pPr>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Cash conversion cycle (DIO+DSO-DPO)</w:t>
            </w:r>
          </w:p>
        </w:tc>
        <w:tc>
          <w:tcPr>
            <w:tcW w:w="474" w:type="pct"/>
            <w:noWrap/>
            <w:hideMark/>
          </w:tcPr>
          <w:p w14:paraId="7C96B235"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935.6</w:t>
            </w:r>
          </w:p>
        </w:tc>
        <w:tc>
          <w:tcPr>
            <w:tcW w:w="474" w:type="pct"/>
            <w:noWrap/>
            <w:hideMark/>
          </w:tcPr>
          <w:p w14:paraId="3C3F911E"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996.0</w:t>
            </w:r>
          </w:p>
        </w:tc>
        <w:tc>
          <w:tcPr>
            <w:tcW w:w="474" w:type="pct"/>
            <w:noWrap/>
            <w:hideMark/>
          </w:tcPr>
          <w:p w14:paraId="6DAEFB18"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744.9</w:t>
            </w:r>
          </w:p>
        </w:tc>
        <w:tc>
          <w:tcPr>
            <w:tcW w:w="474" w:type="pct"/>
            <w:noWrap/>
            <w:hideMark/>
          </w:tcPr>
          <w:p w14:paraId="6CE3C7B2"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855.9</w:t>
            </w:r>
          </w:p>
        </w:tc>
        <w:tc>
          <w:tcPr>
            <w:tcW w:w="474" w:type="pct"/>
            <w:noWrap/>
            <w:hideMark/>
          </w:tcPr>
          <w:p w14:paraId="7970DACB" w14:textId="77777777" w:rsidR="00923F6C" w:rsidRPr="00C9088A" w:rsidRDefault="00923F6C" w:rsidP="002B72E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9088A">
              <w:rPr>
                <w:rFonts w:ascii="Arial" w:eastAsia="Times New Roman" w:hAnsi="Arial" w:cs="Arial"/>
                <w:color w:val="000000"/>
                <w:kern w:val="0"/>
                <w:sz w:val="20"/>
                <w:szCs w:val="20"/>
                <w14:ligatures w14:val="none"/>
              </w:rPr>
              <w:t>455.5</w:t>
            </w:r>
          </w:p>
        </w:tc>
      </w:tr>
    </w:tbl>
    <w:p w14:paraId="3872728C" w14:textId="77777777" w:rsidR="00923F6C" w:rsidRDefault="00923F6C" w:rsidP="00923F6C">
      <w:pPr>
        <w:tabs>
          <w:tab w:val="left" w:pos="4029"/>
        </w:tabs>
        <w:spacing w:line="360" w:lineRule="auto"/>
        <w:jc w:val="both"/>
        <w:rPr>
          <w:rFonts w:ascii="Calibri" w:hAnsi="Calibri" w:cs="Calibri"/>
          <w:sz w:val="24"/>
          <w:szCs w:val="24"/>
        </w:rPr>
      </w:pPr>
    </w:p>
    <w:p w14:paraId="19A13E1A" w14:textId="67F65DB0" w:rsidR="00923F6C" w:rsidRPr="00C053A5" w:rsidRDefault="00923F6C" w:rsidP="00923F6C">
      <w:pPr>
        <w:pStyle w:val="ListParagraph"/>
        <w:numPr>
          <w:ilvl w:val="0"/>
          <w:numId w:val="21"/>
        </w:numPr>
        <w:tabs>
          <w:tab w:val="left" w:pos="4029"/>
        </w:tabs>
        <w:spacing w:line="360" w:lineRule="auto"/>
        <w:jc w:val="both"/>
        <w:rPr>
          <w:rFonts w:ascii="Calibri" w:hAnsi="Calibri" w:cs="Calibri"/>
          <w:sz w:val="24"/>
          <w:szCs w:val="24"/>
        </w:rPr>
      </w:pPr>
      <w:bookmarkStart w:id="32" w:name="_Toc165496506"/>
      <w:r w:rsidRPr="00AE6A95">
        <w:rPr>
          <w:rStyle w:val="Heading3Char"/>
          <w:rFonts w:ascii="Calibri" w:eastAsiaTheme="majorEastAsia" w:hAnsi="Calibri" w:cs="Calibri"/>
          <w:sz w:val="24"/>
          <w:szCs w:val="24"/>
        </w:rPr>
        <w:t>Sales to Capital Employed</w:t>
      </w:r>
      <w:bookmarkEnd w:id="32"/>
      <w:r>
        <w:rPr>
          <w:rFonts w:ascii="Calibri" w:hAnsi="Calibri" w:cs="Calibri"/>
          <w:sz w:val="24"/>
          <w:szCs w:val="24"/>
        </w:rPr>
        <w:t xml:space="preserve">: </w:t>
      </w:r>
      <w:r w:rsidRPr="00446D88">
        <w:rPr>
          <w:rFonts w:ascii="Calibri" w:hAnsi="Calibri" w:cs="Calibri"/>
          <w:sz w:val="24"/>
          <w:szCs w:val="24"/>
        </w:rPr>
        <w:t xml:space="preserve">Barratt Development PLC </w:t>
      </w:r>
      <w:r>
        <w:rPr>
          <w:rFonts w:ascii="Calibri" w:hAnsi="Calibri" w:cs="Calibri"/>
          <w:sz w:val="24"/>
          <w:szCs w:val="24"/>
        </w:rPr>
        <w:t>maintained a consistent ratio of around 0.8 from 2021 to 2023, with a slight dip in 2020. This suggests a steady use of capital to generate</w:t>
      </w:r>
      <w:r w:rsidRPr="00446D88">
        <w:rPr>
          <w:rFonts w:ascii="Calibri" w:hAnsi="Calibri" w:cs="Calibri"/>
          <w:sz w:val="24"/>
          <w:szCs w:val="24"/>
        </w:rPr>
        <w:t xml:space="preserve"> sales.</w:t>
      </w:r>
      <w:r>
        <w:rPr>
          <w:rFonts w:ascii="Calibri" w:hAnsi="Calibri" w:cs="Calibri"/>
          <w:sz w:val="24"/>
          <w:szCs w:val="24"/>
        </w:rPr>
        <w:t xml:space="preserve"> On the other hand,</w:t>
      </w:r>
      <w:r w:rsidRPr="00651B7A">
        <w:rPr>
          <w:rFonts w:ascii="Calibri" w:hAnsi="Calibri" w:cs="Calibri"/>
          <w:sz w:val="24"/>
          <w:szCs w:val="24"/>
        </w:rPr>
        <w:t xml:space="preserve"> Berkeley Group Holdings PLC shows a lower ratio, at 0.5 for most years except 2019 and 2021, where it reached 0.6 and 0.9, respectively. </w:t>
      </w:r>
      <w:r w:rsidR="00CC0EC8" w:rsidRPr="00CC0EC8">
        <w:rPr>
          <w:rFonts w:ascii="Calibri" w:hAnsi="Calibri" w:cs="Calibri"/>
          <w:sz w:val="24"/>
          <w:szCs w:val="24"/>
        </w:rPr>
        <w:t>This suggests that Barratt outperforms Berkeley in terms of generating sales fr</w:t>
      </w:r>
      <w:r w:rsidR="00CC0EC8">
        <w:rPr>
          <w:rFonts w:ascii="Calibri" w:hAnsi="Calibri" w:cs="Calibri"/>
          <w:sz w:val="24"/>
          <w:szCs w:val="24"/>
        </w:rPr>
        <w:t>om its capital employed</w:t>
      </w:r>
      <w:r w:rsidRPr="00651B7A">
        <w:rPr>
          <w:rFonts w:ascii="Calibri" w:hAnsi="Calibri" w:cs="Calibri"/>
          <w:sz w:val="24"/>
          <w:szCs w:val="24"/>
        </w:rPr>
        <w:t>.</w:t>
      </w:r>
    </w:p>
    <w:p w14:paraId="59D82BBC" w14:textId="7C84AFAD" w:rsidR="00923F6C" w:rsidRPr="00641987" w:rsidRDefault="00923F6C" w:rsidP="00923F6C">
      <w:pPr>
        <w:pStyle w:val="ListParagraph"/>
        <w:numPr>
          <w:ilvl w:val="0"/>
          <w:numId w:val="21"/>
        </w:numPr>
        <w:tabs>
          <w:tab w:val="left" w:pos="4029"/>
        </w:tabs>
        <w:spacing w:line="360" w:lineRule="auto"/>
        <w:jc w:val="both"/>
        <w:rPr>
          <w:rFonts w:ascii="Calibri" w:hAnsi="Calibri" w:cs="Calibri"/>
          <w:sz w:val="24"/>
          <w:szCs w:val="24"/>
        </w:rPr>
      </w:pPr>
      <w:bookmarkStart w:id="33" w:name="_Toc165496507"/>
      <w:r w:rsidRPr="00AE6A95">
        <w:rPr>
          <w:rStyle w:val="Heading3Char"/>
          <w:rFonts w:ascii="Calibri" w:eastAsiaTheme="majorEastAsia" w:hAnsi="Calibri" w:cs="Calibri"/>
          <w:sz w:val="24"/>
          <w:szCs w:val="24"/>
        </w:rPr>
        <w:t>Debtor Days (Days Sales Outstanding</w:t>
      </w:r>
      <w:r w:rsidR="00B00849" w:rsidRPr="00AE6A95">
        <w:rPr>
          <w:rStyle w:val="Heading3Char"/>
          <w:rFonts w:ascii="Calibri" w:eastAsiaTheme="majorEastAsia" w:hAnsi="Calibri" w:cs="Calibri"/>
          <w:sz w:val="24"/>
          <w:szCs w:val="24"/>
        </w:rPr>
        <w:t xml:space="preserve"> - </w:t>
      </w:r>
      <w:r w:rsidRPr="00AE6A95">
        <w:rPr>
          <w:rStyle w:val="Heading3Char"/>
          <w:rFonts w:ascii="Calibri" w:eastAsiaTheme="majorEastAsia" w:hAnsi="Calibri" w:cs="Calibri"/>
          <w:sz w:val="24"/>
          <w:szCs w:val="24"/>
        </w:rPr>
        <w:t>DSO)</w:t>
      </w:r>
      <w:bookmarkEnd w:id="33"/>
      <w:r w:rsidR="005137E1">
        <w:rPr>
          <w:rFonts w:ascii="Calibri" w:hAnsi="Calibri" w:cs="Calibri"/>
          <w:sz w:val="24"/>
          <w:szCs w:val="24"/>
        </w:rPr>
        <w:t>:</w:t>
      </w:r>
      <w:r w:rsidRPr="00651B7A">
        <w:rPr>
          <w:rFonts w:ascii="Calibri" w:hAnsi="Calibri" w:cs="Calibri"/>
          <w:sz w:val="24"/>
          <w:szCs w:val="24"/>
        </w:rPr>
        <w:t xml:space="preserve"> Barratt Development PLC's debtor days have varied but remained relatively low, suggesting it collects receivables relatively quickly. On the other hand, Berkeley Group Holdings PLC has shown more variability and had a higher DSO in 2022 but has otherwise maintained lower DSO figures than Barratt, which suggests a more efficient collection process in most years.</w:t>
      </w:r>
    </w:p>
    <w:p w14:paraId="55129F4A" w14:textId="0AF1F6C4" w:rsidR="00923F6C" w:rsidRPr="00641987" w:rsidRDefault="00923F6C" w:rsidP="00923F6C">
      <w:pPr>
        <w:pStyle w:val="ListParagraph"/>
        <w:numPr>
          <w:ilvl w:val="0"/>
          <w:numId w:val="21"/>
        </w:numPr>
        <w:tabs>
          <w:tab w:val="left" w:pos="4029"/>
        </w:tabs>
        <w:spacing w:line="360" w:lineRule="auto"/>
        <w:jc w:val="both"/>
        <w:rPr>
          <w:rFonts w:ascii="Calibri" w:hAnsi="Calibri" w:cs="Calibri"/>
          <w:sz w:val="24"/>
          <w:szCs w:val="24"/>
        </w:rPr>
      </w:pPr>
      <w:bookmarkStart w:id="34" w:name="_Toc165496508"/>
      <w:r w:rsidRPr="00AE6A95">
        <w:rPr>
          <w:rStyle w:val="Heading3Char"/>
          <w:rFonts w:ascii="Calibri" w:eastAsiaTheme="majorEastAsia" w:hAnsi="Calibri" w:cs="Calibri"/>
          <w:sz w:val="24"/>
          <w:szCs w:val="24"/>
        </w:rPr>
        <w:t>Inventory Days (Days Inventory Outstanding - DIO)</w:t>
      </w:r>
      <w:bookmarkEnd w:id="34"/>
      <w:r w:rsidRPr="00651B7A">
        <w:rPr>
          <w:rFonts w:ascii="Calibri" w:hAnsi="Calibri" w:cs="Calibri"/>
          <w:sz w:val="24"/>
          <w:szCs w:val="24"/>
        </w:rPr>
        <w:t>:</w:t>
      </w:r>
      <w:r>
        <w:rPr>
          <w:rFonts w:ascii="Calibri" w:hAnsi="Calibri" w:cs="Calibri"/>
          <w:sz w:val="24"/>
          <w:szCs w:val="24"/>
        </w:rPr>
        <w:t xml:space="preserve"> </w:t>
      </w:r>
      <w:r w:rsidRPr="00651B7A">
        <w:rPr>
          <w:rFonts w:ascii="Calibri" w:hAnsi="Calibri" w:cs="Calibri"/>
          <w:sz w:val="24"/>
          <w:szCs w:val="24"/>
        </w:rPr>
        <w:t>Barratt Development PLC has high inventory days, particularly in 2020, which may reflect slow-moving inventory or a strategic decision to hold more inventory.</w:t>
      </w:r>
      <w:r>
        <w:rPr>
          <w:rFonts w:ascii="Calibri" w:hAnsi="Calibri" w:cs="Calibri"/>
          <w:sz w:val="24"/>
          <w:szCs w:val="24"/>
        </w:rPr>
        <w:t xml:space="preserve"> On the other hand,</w:t>
      </w:r>
      <w:r w:rsidRPr="00651B7A">
        <w:rPr>
          <w:rFonts w:ascii="Calibri" w:hAnsi="Calibri" w:cs="Calibri"/>
          <w:sz w:val="24"/>
          <w:szCs w:val="24"/>
        </w:rPr>
        <w:t xml:space="preserve"> Berkeley Group Holdings PLC has significantly higher inventory days, especially in recent years, indicating a much slower turnover of inventory, which could tie up capital and affect cash flow.</w:t>
      </w:r>
    </w:p>
    <w:p w14:paraId="4675CB79" w14:textId="7B74833C" w:rsidR="00923F6C" w:rsidRPr="00641987" w:rsidRDefault="00923F6C" w:rsidP="00923F6C">
      <w:pPr>
        <w:pStyle w:val="ListParagraph"/>
        <w:numPr>
          <w:ilvl w:val="0"/>
          <w:numId w:val="21"/>
        </w:numPr>
        <w:tabs>
          <w:tab w:val="left" w:pos="4029"/>
        </w:tabs>
        <w:spacing w:line="360" w:lineRule="auto"/>
        <w:jc w:val="both"/>
        <w:rPr>
          <w:rFonts w:ascii="Calibri" w:hAnsi="Calibri" w:cs="Calibri"/>
          <w:sz w:val="24"/>
          <w:szCs w:val="24"/>
        </w:rPr>
      </w:pPr>
      <w:bookmarkStart w:id="35" w:name="_Toc165496509"/>
      <w:r w:rsidRPr="00AE6A95">
        <w:rPr>
          <w:rStyle w:val="Heading3Char"/>
          <w:rFonts w:ascii="Calibri" w:eastAsiaTheme="majorEastAsia" w:hAnsi="Calibri" w:cs="Calibri"/>
          <w:sz w:val="24"/>
          <w:szCs w:val="24"/>
        </w:rPr>
        <w:t>Creditor Days (Days Payables Outstanding - DPO)</w:t>
      </w:r>
      <w:bookmarkEnd w:id="35"/>
      <w:r>
        <w:rPr>
          <w:rFonts w:ascii="Calibri" w:hAnsi="Calibri" w:cs="Calibri"/>
          <w:sz w:val="24"/>
          <w:szCs w:val="24"/>
        </w:rPr>
        <w:t xml:space="preserve">: </w:t>
      </w:r>
      <w:r w:rsidRPr="00651B7A">
        <w:rPr>
          <w:rFonts w:ascii="Calibri" w:hAnsi="Calibri" w:cs="Calibri"/>
          <w:sz w:val="24"/>
          <w:szCs w:val="24"/>
        </w:rPr>
        <w:t>Barratt Development PLC has a decreasing trend in creditor days,</w:t>
      </w:r>
      <w:r>
        <w:rPr>
          <w:rFonts w:ascii="Calibri" w:hAnsi="Calibri" w:cs="Calibri"/>
          <w:sz w:val="24"/>
          <w:szCs w:val="24"/>
        </w:rPr>
        <w:t xml:space="preserve"> which suggests</w:t>
      </w:r>
      <w:r w:rsidRPr="00651B7A">
        <w:rPr>
          <w:rFonts w:ascii="Calibri" w:hAnsi="Calibri" w:cs="Calibri"/>
          <w:sz w:val="24"/>
          <w:szCs w:val="24"/>
        </w:rPr>
        <w:t xml:space="preserve"> it</w:t>
      </w:r>
      <w:r>
        <w:rPr>
          <w:rFonts w:ascii="Calibri" w:hAnsi="Calibri" w:cs="Calibri"/>
          <w:sz w:val="24"/>
          <w:szCs w:val="24"/>
        </w:rPr>
        <w:t xml:space="preserve"> is</w:t>
      </w:r>
      <w:r w:rsidRPr="00651B7A">
        <w:rPr>
          <w:rFonts w:ascii="Calibri" w:hAnsi="Calibri" w:cs="Calibri"/>
          <w:sz w:val="24"/>
          <w:szCs w:val="24"/>
        </w:rPr>
        <w:t xml:space="preserve"> paying suppliers more quickly over</w:t>
      </w:r>
      <w:r>
        <w:rPr>
          <w:rFonts w:ascii="Calibri" w:hAnsi="Calibri" w:cs="Calibri"/>
          <w:sz w:val="24"/>
          <w:szCs w:val="24"/>
        </w:rPr>
        <w:t xml:space="preserve"> </w:t>
      </w:r>
      <w:r w:rsidRPr="00651B7A">
        <w:rPr>
          <w:rFonts w:ascii="Calibri" w:hAnsi="Calibri" w:cs="Calibri"/>
          <w:sz w:val="24"/>
          <w:szCs w:val="24"/>
        </w:rPr>
        <w:t>time.</w:t>
      </w:r>
      <w:r>
        <w:rPr>
          <w:rFonts w:ascii="Calibri" w:hAnsi="Calibri" w:cs="Calibri"/>
          <w:sz w:val="24"/>
          <w:szCs w:val="24"/>
        </w:rPr>
        <w:t xml:space="preserve"> On the other hand, </w:t>
      </w:r>
      <w:r w:rsidRPr="00651B7A">
        <w:rPr>
          <w:rFonts w:ascii="Calibri" w:hAnsi="Calibri" w:cs="Calibri"/>
          <w:sz w:val="24"/>
          <w:szCs w:val="24"/>
        </w:rPr>
        <w:t>Berkeley Group Holdings PLC has higher creditor days, which can be advantageous for cash flow as it indicates the company retains cash longer before paying suppliers.</w:t>
      </w:r>
    </w:p>
    <w:p w14:paraId="6571786F" w14:textId="77777777" w:rsidR="005137E1" w:rsidRDefault="00923F6C" w:rsidP="005137E1">
      <w:pPr>
        <w:pStyle w:val="ListParagraph"/>
        <w:numPr>
          <w:ilvl w:val="0"/>
          <w:numId w:val="21"/>
        </w:numPr>
        <w:tabs>
          <w:tab w:val="left" w:pos="4029"/>
        </w:tabs>
        <w:spacing w:line="360" w:lineRule="auto"/>
        <w:jc w:val="both"/>
        <w:rPr>
          <w:rFonts w:ascii="Calibri" w:hAnsi="Calibri" w:cs="Calibri"/>
          <w:sz w:val="24"/>
          <w:szCs w:val="24"/>
        </w:rPr>
      </w:pPr>
      <w:bookmarkStart w:id="36" w:name="_Toc165496510"/>
      <w:r w:rsidRPr="00AE6A95">
        <w:rPr>
          <w:rStyle w:val="Heading3Char"/>
          <w:rFonts w:ascii="Calibri" w:eastAsiaTheme="majorEastAsia" w:hAnsi="Calibri" w:cs="Calibri"/>
          <w:sz w:val="24"/>
          <w:szCs w:val="24"/>
        </w:rPr>
        <w:t>Cash Conversion Cycle (CCC)</w:t>
      </w:r>
      <w:bookmarkEnd w:id="36"/>
      <w:r w:rsidR="005137E1">
        <w:rPr>
          <w:rFonts w:ascii="Calibri" w:hAnsi="Calibri" w:cs="Calibri"/>
          <w:sz w:val="24"/>
          <w:szCs w:val="24"/>
        </w:rPr>
        <w:t>:</w:t>
      </w:r>
      <w:r>
        <w:rPr>
          <w:rFonts w:ascii="Calibri" w:hAnsi="Calibri" w:cs="Calibri"/>
          <w:sz w:val="24"/>
          <w:szCs w:val="24"/>
        </w:rPr>
        <w:t xml:space="preserve"> Barratt Development PLC's CCC has increased over the years, with a particularly high figure in 2020. This implies a longer period between</w:t>
      </w:r>
      <w:r w:rsidRPr="00651B7A">
        <w:rPr>
          <w:rFonts w:ascii="Calibri" w:hAnsi="Calibri" w:cs="Calibri"/>
          <w:sz w:val="24"/>
          <w:szCs w:val="24"/>
        </w:rPr>
        <w:t xml:space="preserve"> investing cash in the inventory and receiving cash from sales.</w:t>
      </w:r>
      <w:r>
        <w:rPr>
          <w:rFonts w:ascii="Calibri" w:hAnsi="Calibri" w:cs="Calibri"/>
          <w:sz w:val="24"/>
          <w:szCs w:val="24"/>
        </w:rPr>
        <w:t xml:space="preserve"> </w:t>
      </w:r>
    </w:p>
    <w:p w14:paraId="4F265D78" w14:textId="3FDB91B4" w:rsidR="00923F6C" w:rsidRPr="005137E1" w:rsidRDefault="00923F6C" w:rsidP="005137E1">
      <w:pPr>
        <w:pStyle w:val="ListParagraph"/>
        <w:tabs>
          <w:tab w:val="left" w:pos="4029"/>
        </w:tabs>
        <w:spacing w:line="360" w:lineRule="auto"/>
        <w:ind w:left="360"/>
        <w:jc w:val="both"/>
        <w:rPr>
          <w:rFonts w:ascii="Calibri" w:hAnsi="Calibri" w:cs="Calibri"/>
          <w:sz w:val="24"/>
          <w:szCs w:val="24"/>
        </w:rPr>
      </w:pPr>
      <w:r>
        <w:rPr>
          <w:rFonts w:ascii="Calibri" w:hAnsi="Calibri" w:cs="Calibri"/>
          <w:sz w:val="24"/>
          <w:szCs w:val="24"/>
        </w:rPr>
        <w:lastRenderedPageBreak/>
        <w:t>On the other hand,</w:t>
      </w:r>
      <w:r w:rsidRPr="00651B7A">
        <w:rPr>
          <w:rFonts w:ascii="Calibri" w:hAnsi="Calibri" w:cs="Calibri"/>
          <w:sz w:val="24"/>
          <w:szCs w:val="24"/>
        </w:rPr>
        <w:t xml:space="preserve"> Berkeley Group Holdings PLC has a much higher CCC, especially in 2022 and 2023, which could indicate inefficiency in managing inventory and receivables</w:t>
      </w:r>
      <w:r>
        <w:rPr>
          <w:rFonts w:ascii="Calibri" w:hAnsi="Calibri" w:cs="Calibri"/>
          <w:sz w:val="24"/>
          <w:szCs w:val="24"/>
        </w:rPr>
        <w:t xml:space="preserve"> or </w:t>
      </w:r>
      <w:r w:rsidRPr="00651B7A">
        <w:rPr>
          <w:rFonts w:ascii="Calibri" w:hAnsi="Calibri" w:cs="Calibri"/>
          <w:sz w:val="24"/>
          <w:szCs w:val="24"/>
        </w:rPr>
        <w:t>reflect a business model that inherently involves longer development cycles.</w:t>
      </w:r>
    </w:p>
    <w:p w14:paraId="48C65218" w14:textId="77777777" w:rsidR="002910C5" w:rsidRDefault="005137E1" w:rsidP="005137E1">
      <w:pPr>
        <w:tabs>
          <w:tab w:val="left" w:pos="1485"/>
        </w:tabs>
        <w:spacing w:line="360" w:lineRule="auto"/>
        <w:jc w:val="both"/>
      </w:pPr>
      <w:r w:rsidRPr="005137E1">
        <w:t>The analysis of liquidity, profitability, gearing, and efficiency ratios provide</w:t>
      </w:r>
      <w:r>
        <w:t>d</w:t>
      </w:r>
      <w:r w:rsidRPr="005137E1">
        <w:t xml:space="preserve"> a comprehensive insight into the financial health and performance of Barratt Development PLC and The Berkeley Group Holdings PLC</w:t>
      </w:r>
      <w:r>
        <w:t xml:space="preserve">. </w:t>
      </w:r>
      <w:r w:rsidRPr="005137E1">
        <w:t>These ratios offer valuable</w:t>
      </w:r>
      <w:r>
        <w:t xml:space="preserve"> information</w:t>
      </w:r>
      <w:r w:rsidRPr="005137E1">
        <w:t xml:space="preserve"> for assessing various aspects of these companies' operations and financial strategies</w:t>
      </w:r>
      <w:r>
        <w:t xml:space="preserve">. </w:t>
      </w:r>
      <w:r w:rsidRPr="005137E1">
        <w:t>Barratt Development PLC consistently exhibits stronger liquidity positions across all measured ratios compared to The Berkeley Group Holdings PLC. Barratt's current and quick ratios indicate a robust ability to cover short-term obligations, with improvements observed over the years. However, Berkeley also shows an upward trend in liquidity, albeit not as pronounced as Barratt's. Barratt's stronger liquidity position suggests better short-term financial health and resilience during economic uncertainties.</w:t>
      </w:r>
      <w:r>
        <w:t xml:space="preserve"> </w:t>
      </w:r>
      <w:r w:rsidRPr="005137E1">
        <w:t>The profitability analysis reveal</w:t>
      </w:r>
      <w:r>
        <w:t>ed</w:t>
      </w:r>
      <w:r w:rsidRPr="005137E1">
        <w:t xml:space="preserve"> contrasting performances between the two companies. While both have experienced declining trends in margins and returns, Berkeley consistently outperforms Barratt in profitability ratios. Berkeley's higher gross, operating, and net profit margins</w:t>
      </w:r>
      <w:r>
        <w:t xml:space="preserve"> and superior returns on capital employed, equity, and assets</w:t>
      </w:r>
      <w:r w:rsidRPr="005137E1">
        <w:t xml:space="preserve"> signify better operational efficiency and profitability management. On the other hand, Barratt's declining profitability ratios indicate challenges such as increased costs and competitive pressures, impacting its bottom line.</w:t>
      </w:r>
      <w:r>
        <w:t xml:space="preserve"> Regarding</w:t>
      </w:r>
      <w:r w:rsidRPr="005137E1">
        <w:t xml:space="preserve"> gearing ratios, Barratt maintains a conservative approach with very low </w:t>
      </w:r>
      <w:r>
        <w:t>debt levels</w:t>
      </w:r>
      <w:r w:rsidRPr="005137E1">
        <w:t xml:space="preserve"> relative to equity, ensuring financial stability and a low risk of financial distress. The company's strong interest cover ratios and positive cash flow from operations to debt ratios further reinforce its financial strength. In comparison, Berkeley also maintains low gearing positions but with slightly higher ratios than Barratt, indicating a somewhat different approach to capital structure management.</w:t>
      </w:r>
      <w:r>
        <w:t xml:space="preserve"> </w:t>
      </w:r>
      <w:r w:rsidRPr="005137E1">
        <w:t>Efficiency ratios highlight</w:t>
      </w:r>
      <w:r>
        <w:t>ed</w:t>
      </w:r>
      <w:r w:rsidRPr="005137E1">
        <w:t xml:space="preserve"> Barratt's steady use of capital to generate revenue, albeit with some fluctuations in debtor days and inventory turnover. </w:t>
      </w:r>
      <w:r>
        <w:t xml:space="preserve">Despite generally higher ratios, Berkeley </w:t>
      </w:r>
      <w:r w:rsidRPr="005137E1">
        <w:t>exhibits challenges in managing working capital and inventory turnover, with notably high inventory days.</w:t>
      </w:r>
    </w:p>
    <w:p w14:paraId="016F1751" w14:textId="763E22B4" w:rsidR="00923F6C" w:rsidRDefault="005137E1" w:rsidP="005137E1">
      <w:pPr>
        <w:tabs>
          <w:tab w:val="left" w:pos="1485"/>
        </w:tabs>
        <w:spacing w:line="360" w:lineRule="auto"/>
        <w:jc w:val="both"/>
      </w:pPr>
      <w:r w:rsidRPr="005137E1">
        <w:t xml:space="preserve"> In conclusion, Barratt Development PLC demonstrate</w:t>
      </w:r>
      <w:r>
        <w:t>d</w:t>
      </w:r>
      <w:r w:rsidRPr="005137E1">
        <w:t xml:space="preserve"> commendable financial resilience, with strong liquidity, conservative gearing, and steady revenue generation. However, challenges in profitability and efficiency metrics indicate areas for improvement. On the other hand, The Berkeley Group Holdings PLC excels in profitability but faces challenges in liquidity and efficiency management.</w:t>
      </w:r>
    </w:p>
    <w:p w14:paraId="1DDE30EE" w14:textId="14737C55" w:rsidR="00923F6C" w:rsidRPr="0087209B" w:rsidRDefault="0087209B" w:rsidP="00F374C3">
      <w:pPr>
        <w:pStyle w:val="Heading1"/>
        <w:numPr>
          <w:ilvl w:val="0"/>
          <w:numId w:val="27"/>
        </w:numPr>
        <w:spacing w:line="360" w:lineRule="auto"/>
        <w:rPr>
          <w:rFonts w:ascii="Calibri" w:hAnsi="Calibri" w:cs="Calibri"/>
          <w:b/>
          <w:bCs/>
          <w:sz w:val="40"/>
          <w:szCs w:val="40"/>
        </w:rPr>
      </w:pPr>
      <w:r>
        <w:rPr>
          <w:rFonts w:ascii="Calibri" w:hAnsi="Calibri" w:cs="Calibri"/>
          <w:b/>
          <w:bCs/>
          <w:sz w:val="40"/>
          <w:szCs w:val="40"/>
        </w:rPr>
        <w:lastRenderedPageBreak/>
        <w:t xml:space="preserve"> </w:t>
      </w:r>
      <w:bookmarkStart w:id="37" w:name="_Toc165495786"/>
      <w:bookmarkStart w:id="38" w:name="_Toc165496511"/>
      <w:r w:rsidR="00923F6C" w:rsidRPr="0087209B">
        <w:rPr>
          <w:rFonts w:ascii="Calibri" w:hAnsi="Calibri" w:cs="Calibri"/>
          <w:b/>
          <w:bCs/>
          <w:sz w:val="40"/>
          <w:szCs w:val="40"/>
        </w:rPr>
        <w:t>HORIZONTAL AND VERTICAL ANALYSIS</w:t>
      </w:r>
      <w:bookmarkEnd w:id="37"/>
      <w:bookmarkEnd w:id="38"/>
    </w:p>
    <w:p w14:paraId="7007DE45" w14:textId="77777777" w:rsidR="00923F6C" w:rsidRPr="00E02600" w:rsidRDefault="00923F6C" w:rsidP="00F374C3">
      <w:pPr>
        <w:spacing w:line="360" w:lineRule="auto"/>
        <w:jc w:val="both"/>
        <w:rPr>
          <w:rFonts w:ascii="Calibri" w:hAnsi="Calibri" w:cs="Calibri"/>
          <w:sz w:val="24"/>
          <w:szCs w:val="24"/>
        </w:rPr>
      </w:pPr>
      <w:r w:rsidRPr="00E02600">
        <w:rPr>
          <w:rFonts w:ascii="Calibri" w:hAnsi="Calibri" w:cs="Calibri"/>
          <w:sz w:val="24"/>
          <w:szCs w:val="24"/>
          <w:shd w:val="clear" w:color="auto" w:fill="FFFFFF"/>
        </w:rPr>
        <w:t>Horizontal or trend analysis is a financial technique that involves comparing financial data over multiple reporting periods, while vertical analysis lists line items as a percentage of another item on a financial statement</w:t>
      </w:r>
      <w:r w:rsidRPr="00E02600">
        <w:rPr>
          <w:rFonts w:ascii="Calibri" w:hAnsi="Calibri" w:cs="Calibri"/>
          <w:i/>
          <w:iCs/>
          <w:sz w:val="24"/>
          <w:szCs w:val="24"/>
        </w:rPr>
        <w:t xml:space="preserve"> </w:t>
      </w:r>
      <w:r w:rsidRPr="00E02600">
        <w:rPr>
          <w:rFonts w:ascii="Calibri" w:hAnsi="Calibri" w:cs="Calibri"/>
          <w:sz w:val="24"/>
          <w:szCs w:val="24"/>
        </w:rPr>
        <w:t>(Bragg, 2023). Vertical or common size analysis helps stakeholders assess the relative proportion of different financial statement items within a single period, making it easier to identify trends, patterns, and areas of concern. However, horizontal analysis helps stakeholders understand how a company’s financial performance evolves over several periods. It reveals whether specific line items are increasing or decreasing and by what percentage (</w:t>
      </w:r>
      <w:proofErr w:type="spellStart"/>
      <w:r w:rsidRPr="00E02600">
        <w:rPr>
          <w:rFonts w:ascii="Calibri" w:hAnsi="Calibri" w:cs="Calibri"/>
          <w:sz w:val="24"/>
          <w:szCs w:val="24"/>
        </w:rPr>
        <w:t>Frm</w:t>
      </w:r>
      <w:proofErr w:type="spellEnd"/>
      <w:r w:rsidRPr="00E02600">
        <w:rPr>
          <w:rFonts w:ascii="Calibri" w:hAnsi="Calibri" w:cs="Calibri"/>
          <w:sz w:val="24"/>
          <w:szCs w:val="24"/>
        </w:rPr>
        <w:t>, 2023). Investors and analysts can use horizontal analysis to understand a company's financial performance for several years. It helps them identify trends and growth patterns and evaluate the changes in different items over time. This information can then be used to make projections about the company's future performance (</w:t>
      </w:r>
      <w:proofErr w:type="spellStart"/>
      <w:r w:rsidRPr="00E02600">
        <w:rPr>
          <w:rFonts w:ascii="Calibri" w:hAnsi="Calibri" w:cs="Calibri"/>
          <w:sz w:val="24"/>
          <w:szCs w:val="24"/>
        </w:rPr>
        <w:t>Tuovila</w:t>
      </w:r>
      <w:proofErr w:type="spellEnd"/>
      <w:r w:rsidRPr="00E02600">
        <w:rPr>
          <w:rFonts w:ascii="Calibri" w:hAnsi="Calibri" w:cs="Calibri"/>
          <w:sz w:val="24"/>
          <w:szCs w:val="24"/>
        </w:rPr>
        <w:t>, 2023). Vertical analysis does not compare the two periods directly; instead, it breaks down each period separately to compare the percentage changes and to determine why they may have changed (</w:t>
      </w:r>
      <w:proofErr w:type="spellStart"/>
      <w:r w:rsidRPr="00E02600">
        <w:rPr>
          <w:rFonts w:ascii="Calibri" w:hAnsi="Calibri" w:cs="Calibri"/>
          <w:sz w:val="24"/>
          <w:szCs w:val="24"/>
        </w:rPr>
        <w:t>FutureLearn</w:t>
      </w:r>
      <w:proofErr w:type="spellEnd"/>
      <w:r w:rsidRPr="00E02600">
        <w:rPr>
          <w:rFonts w:ascii="Calibri" w:hAnsi="Calibri" w:cs="Calibri"/>
          <w:sz w:val="24"/>
          <w:szCs w:val="24"/>
        </w:rPr>
        <w:t xml:space="preserve">, 2022). </w:t>
      </w:r>
    </w:p>
    <w:p w14:paraId="78E6F12A" w14:textId="77777777" w:rsidR="00923F6C" w:rsidRPr="00E02600" w:rsidRDefault="00923F6C" w:rsidP="00923F6C">
      <w:pPr>
        <w:spacing w:line="360" w:lineRule="auto"/>
        <w:jc w:val="both"/>
        <w:rPr>
          <w:rFonts w:ascii="Calibri" w:hAnsi="Calibri" w:cs="Calibri"/>
          <w:sz w:val="24"/>
          <w:szCs w:val="24"/>
        </w:rPr>
      </w:pPr>
      <w:proofErr w:type="spellStart"/>
      <w:r w:rsidRPr="00E02600">
        <w:rPr>
          <w:rFonts w:ascii="Calibri" w:hAnsi="Calibri" w:cs="Calibri"/>
          <w:sz w:val="24"/>
          <w:szCs w:val="24"/>
        </w:rPr>
        <w:t>Analysing</w:t>
      </w:r>
      <w:proofErr w:type="spellEnd"/>
      <w:r w:rsidRPr="00E02600">
        <w:rPr>
          <w:rFonts w:ascii="Calibri" w:hAnsi="Calibri" w:cs="Calibri"/>
          <w:sz w:val="24"/>
          <w:szCs w:val="24"/>
        </w:rPr>
        <w:t xml:space="preserve"> Barratt Development PLC's and Berkeley Group Holdings PLC's income statement and balance sheet from 2019 to 2023 can give a complete picture of operational results and reveal information about the company's financial performance and growth trends. </w:t>
      </w:r>
    </w:p>
    <w:p w14:paraId="4EBED6A9" w14:textId="77777777" w:rsidR="00923F6C" w:rsidRPr="002B2705" w:rsidRDefault="00923F6C" w:rsidP="00923F6C">
      <w:pPr>
        <w:pStyle w:val="ListParagraph"/>
        <w:numPr>
          <w:ilvl w:val="0"/>
          <w:numId w:val="2"/>
        </w:numPr>
        <w:spacing w:line="360" w:lineRule="auto"/>
        <w:jc w:val="both"/>
        <w:rPr>
          <w:rFonts w:ascii="Arial" w:hAnsi="Arial" w:cs="Arial"/>
          <w:sz w:val="24"/>
          <w:szCs w:val="24"/>
        </w:rPr>
      </w:pPr>
      <w:r w:rsidRPr="002B2705">
        <w:rPr>
          <w:rFonts w:ascii="Arial" w:hAnsi="Arial" w:cs="Arial"/>
          <w:b/>
          <w:bCs/>
          <w:sz w:val="24"/>
          <w:szCs w:val="24"/>
        </w:rPr>
        <w:t>Horizontal Analysis (%)</w:t>
      </w:r>
      <w:r w:rsidRPr="002B2705">
        <w:rPr>
          <w:rFonts w:ascii="Arial" w:hAnsi="Arial" w:cs="Arial"/>
          <w:sz w:val="24"/>
          <w:szCs w:val="24"/>
        </w:rPr>
        <w:t xml:space="preserve"> = </w:t>
      </w:r>
      <m:oMath>
        <m:f>
          <m:fPr>
            <m:ctrlPr>
              <w:rPr>
                <w:rFonts w:ascii="Cambria Math" w:hAnsi="Cambria Math" w:cs="Arial"/>
                <w:sz w:val="32"/>
                <w:szCs w:val="32"/>
              </w:rPr>
            </m:ctrlPr>
          </m:fPr>
          <m:num>
            <m:r>
              <m:rPr>
                <m:sty m:val="p"/>
              </m:rPr>
              <w:rPr>
                <w:rFonts w:ascii="Cambria Math" w:hAnsi="Cambria Math" w:cs="Arial"/>
                <w:sz w:val="32"/>
                <w:szCs w:val="32"/>
              </w:rPr>
              <m:t>Horizontal Variation</m:t>
            </m:r>
          </m:num>
          <m:den>
            <m:r>
              <m:rPr>
                <m:sty m:val="p"/>
              </m:rPr>
              <w:rPr>
                <w:rFonts w:ascii="Cambria Math" w:hAnsi="Cambria Math" w:cs="Arial"/>
                <w:sz w:val="32"/>
                <w:szCs w:val="32"/>
              </w:rPr>
              <m:t>Base Year Amount</m:t>
            </m:r>
          </m:den>
        </m:f>
      </m:oMath>
      <w:r w:rsidRPr="002B2705">
        <w:rPr>
          <w:rFonts w:ascii="Arial" w:eastAsiaTheme="minorEastAsia" w:hAnsi="Arial" w:cs="Arial"/>
          <w:iCs/>
          <w:sz w:val="24"/>
          <w:szCs w:val="24"/>
        </w:rPr>
        <w:t xml:space="preserve">   x 100</w:t>
      </w:r>
    </w:p>
    <w:p w14:paraId="0A3DFBB9" w14:textId="77777777" w:rsidR="00923F6C" w:rsidRPr="002B2705" w:rsidRDefault="00923F6C" w:rsidP="00923F6C">
      <w:pPr>
        <w:spacing w:line="360" w:lineRule="auto"/>
        <w:jc w:val="both"/>
        <w:rPr>
          <w:rFonts w:ascii="Arial" w:hAnsi="Arial" w:cs="Arial"/>
          <w:sz w:val="24"/>
          <w:szCs w:val="24"/>
        </w:rPr>
      </w:pPr>
    </w:p>
    <w:p w14:paraId="06EE9205" w14:textId="7DFF68FD" w:rsidR="00923F6C" w:rsidRPr="002B2705" w:rsidRDefault="00923F6C" w:rsidP="00923F6C">
      <w:pPr>
        <w:pStyle w:val="ListParagraph"/>
        <w:numPr>
          <w:ilvl w:val="0"/>
          <w:numId w:val="2"/>
        </w:numPr>
        <w:spacing w:line="360" w:lineRule="auto"/>
        <w:jc w:val="both"/>
        <w:rPr>
          <w:rFonts w:ascii="Arial" w:hAnsi="Arial" w:cs="Arial"/>
          <w:sz w:val="24"/>
          <w:szCs w:val="24"/>
        </w:rPr>
      </w:pPr>
      <w:r w:rsidRPr="002B2705">
        <w:rPr>
          <w:rFonts w:ascii="Arial" w:hAnsi="Arial" w:cs="Arial"/>
          <w:b/>
          <w:bCs/>
          <w:sz w:val="24"/>
          <w:szCs w:val="24"/>
        </w:rPr>
        <w:t xml:space="preserve">Vertical Analysis </w:t>
      </w:r>
      <w:r w:rsidR="00EA2285">
        <w:rPr>
          <w:rFonts w:ascii="Arial" w:hAnsi="Arial" w:cs="Arial"/>
          <w:b/>
          <w:bCs/>
          <w:sz w:val="24"/>
          <w:szCs w:val="24"/>
        </w:rPr>
        <w:t xml:space="preserve">for the </w:t>
      </w:r>
      <w:r w:rsidRPr="002B2705">
        <w:rPr>
          <w:rFonts w:ascii="Arial" w:hAnsi="Arial" w:cs="Arial"/>
          <w:b/>
          <w:bCs/>
          <w:sz w:val="24"/>
          <w:szCs w:val="24"/>
        </w:rPr>
        <w:t>Incom</w:t>
      </w:r>
      <w:r>
        <w:rPr>
          <w:rFonts w:ascii="Arial" w:hAnsi="Arial" w:cs="Arial"/>
          <w:b/>
          <w:bCs/>
          <w:sz w:val="24"/>
          <w:szCs w:val="24"/>
        </w:rPr>
        <w:t xml:space="preserve">e </w:t>
      </w:r>
      <w:r w:rsidRPr="002B2705">
        <w:rPr>
          <w:rFonts w:ascii="Arial" w:hAnsi="Arial" w:cs="Arial"/>
          <w:b/>
          <w:bCs/>
          <w:sz w:val="24"/>
          <w:szCs w:val="24"/>
        </w:rPr>
        <w:t>Statement</w:t>
      </w:r>
      <w:r w:rsidRPr="002B2705">
        <w:rPr>
          <w:rFonts w:ascii="Arial" w:hAnsi="Arial" w:cs="Arial"/>
          <w:sz w:val="24"/>
          <w:szCs w:val="24"/>
        </w:rPr>
        <w:t xml:space="preserve"> =  </w:t>
      </w:r>
      <m:oMath>
        <m:f>
          <m:fPr>
            <m:ctrlPr>
              <w:rPr>
                <w:rFonts w:ascii="Cambria Math" w:hAnsi="Cambria Math" w:cs="Arial"/>
                <w:sz w:val="32"/>
                <w:szCs w:val="32"/>
              </w:rPr>
            </m:ctrlPr>
          </m:fPr>
          <m:num>
            <m:r>
              <m:rPr>
                <m:sty m:val="p"/>
              </m:rPr>
              <w:rPr>
                <w:rFonts w:ascii="Cambria Math" w:hAnsi="Cambria Math" w:cs="Arial"/>
                <w:sz w:val="32"/>
                <w:szCs w:val="32"/>
              </w:rPr>
              <m:t>Income Statement Item</m:t>
            </m:r>
          </m:num>
          <m:den>
            <m:r>
              <m:rPr>
                <m:sty m:val="p"/>
              </m:rPr>
              <w:rPr>
                <w:rFonts w:ascii="Cambria Math" w:hAnsi="Cambria Math" w:cs="Arial"/>
                <w:sz w:val="32"/>
                <w:szCs w:val="32"/>
              </w:rPr>
              <m:t>Total Sales</m:t>
            </m:r>
          </m:den>
        </m:f>
      </m:oMath>
      <w:r w:rsidRPr="002B2705">
        <w:rPr>
          <w:rFonts w:ascii="Arial" w:eastAsiaTheme="minorEastAsia" w:hAnsi="Arial" w:cs="Arial"/>
          <w:iCs/>
          <w:sz w:val="24"/>
          <w:szCs w:val="24"/>
        </w:rPr>
        <w:t xml:space="preserve">   x 100</w:t>
      </w:r>
    </w:p>
    <w:p w14:paraId="09648AEF" w14:textId="77777777" w:rsidR="00923F6C" w:rsidRPr="002B2705" w:rsidRDefault="00923F6C" w:rsidP="00923F6C">
      <w:pPr>
        <w:pStyle w:val="ListParagraph"/>
        <w:spacing w:line="360" w:lineRule="auto"/>
        <w:ind w:left="360"/>
        <w:jc w:val="both"/>
        <w:rPr>
          <w:rFonts w:ascii="Arial" w:hAnsi="Arial" w:cs="Arial"/>
          <w:sz w:val="24"/>
          <w:szCs w:val="24"/>
        </w:rPr>
      </w:pPr>
    </w:p>
    <w:p w14:paraId="7132A061" w14:textId="77777777" w:rsidR="00923F6C" w:rsidRPr="002B2705" w:rsidRDefault="00923F6C" w:rsidP="00923F6C">
      <w:pPr>
        <w:pStyle w:val="ListParagraph"/>
        <w:spacing w:line="360" w:lineRule="auto"/>
        <w:ind w:left="360"/>
        <w:jc w:val="both"/>
        <w:rPr>
          <w:rFonts w:ascii="Arial" w:hAnsi="Arial" w:cs="Arial"/>
          <w:sz w:val="24"/>
          <w:szCs w:val="24"/>
        </w:rPr>
      </w:pPr>
    </w:p>
    <w:p w14:paraId="3E3F93DD" w14:textId="4A6BAD8B" w:rsidR="00923F6C" w:rsidRPr="002B2705" w:rsidRDefault="00923F6C" w:rsidP="00923F6C">
      <w:pPr>
        <w:pStyle w:val="ListParagraph"/>
        <w:numPr>
          <w:ilvl w:val="0"/>
          <w:numId w:val="2"/>
        </w:numPr>
        <w:spacing w:line="360" w:lineRule="auto"/>
        <w:jc w:val="both"/>
        <w:rPr>
          <w:rFonts w:ascii="Arial" w:hAnsi="Arial" w:cs="Arial"/>
          <w:sz w:val="24"/>
          <w:szCs w:val="24"/>
        </w:rPr>
      </w:pPr>
      <w:r w:rsidRPr="002B2705">
        <w:rPr>
          <w:rFonts w:ascii="Arial" w:hAnsi="Arial" w:cs="Arial"/>
          <w:b/>
          <w:bCs/>
          <w:sz w:val="24"/>
          <w:szCs w:val="24"/>
        </w:rPr>
        <w:t xml:space="preserve">Vertical Analysis </w:t>
      </w:r>
      <w:r w:rsidR="00EA2285">
        <w:rPr>
          <w:rFonts w:ascii="Arial" w:hAnsi="Arial" w:cs="Arial"/>
          <w:b/>
          <w:bCs/>
          <w:sz w:val="24"/>
          <w:szCs w:val="24"/>
        </w:rPr>
        <w:t xml:space="preserve">for the </w:t>
      </w:r>
      <w:r w:rsidRPr="002B2705">
        <w:rPr>
          <w:rFonts w:ascii="Arial" w:hAnsi="Arial" w:cs="Arial"/>
          <w:b/>
          <w:bCs/>
          <w:sz w:val="24"/>
          <w:szCs w:val="24"/>
        </w:rPr>
        <w:t>Balance Sheet</w:t>
      </w:r>
      <w:r w:rsidRPr="002B2705">
        <w:rPr>
          <w:rFonts w:ascii="Arial" w:hAnsi="Arial" w:cs="Arial"/>
          <w:sz w:val="24"/>
          <w:szCs w:val="24"/>
        </w:rPr>
        <w:t xml:space="preserve"> =  </w:t>
      </w:r>
      <m:oMath>
        <m:f>
          <m:fPr>
            <m:ctrlPr>
              <w:rPr>
                <w:rFonts w:ascii="Cambria Math" w:hAnsi="Cambria Math" w:cs="Arial"/>
                <w:sz w:val="32"/>
                <w:szCs w:val="32"/>
              </w:rPr>
            </m:ctrlPr>
          </m:fPr>
          <m:num>
            <m:r>
              <m:rPr>
                <m:sty m:val="p"/>
              </m:rPr>
              <w:rPr>
                <w:rFonts w:ascii="Cambria Math" w:hAnsi="Cambria Math" w:cs="Arial"/>
                <w:sz w:val="32"/>
                <w:szCs w:val="32"/>
              </w:rPr>
              <m:t>Balance Sheet Item</m:t>
            </m:r>
          </m:num>
          <m:den>
            <m:r>
              <m:rPr>
                <m:sty m:val="p"/>
              </m:rPr>
              <w:rPr>
                <w:rFonts w:ascii="Cambria Math" w:hAnsi="Cambria Math" w:cs="Arial"/>
                <w:sz w:val="32"/>
                <w:szCs w:val="32"/>
              </w:rPr>
              <m:t xml:space="preserve">Total Assets </m:t>
            </m:r>
          </m:den>
        </m:f>
      </m:oMath>
      <w:r w:rsidRPr="002B2705">
        <w:rPr>
          <w:rFonts w:ascii="Arial" w:eastAsiaTheme="minorEastAsia" w:hAnsi="Arial" w:cs="Arial"/>
          <w:iCs/>
          <w:sz w:val="24"/>
          <w:szCs w:val="24"/>
        </w:rPr>
        <w:t xml:space="preserve">   x 100</w:t>
      </w:r>
    </w:p>
    <w:p w14:paraId="28184B0C" w14:textId="77777777" w:rsidR="00923F6C" w:rsidRDefault="00923F6C" w:rsidP="00923F6C">
      <w:pPr>
        <w:spacing w:line="360" w:lineRule="auto"/>
        <w:jc w:val="both"/>
        <w:rPr>
          <w:rFonts w:ascii="Arial" w:hAnsi="Arial" w:cs="Arial"/>
          <w:sz w:val="24"/>
          <w:szCs w:val="24"/>
        </w:rPr>
      </w:pPr>
    </w:p>
    <w:p w14:paraId="4703C2F5" w14:textId="7E743D54" w:rsidR="00923F6C" w:rsidRDefault="00EA2285" w:rsidP="00923F6C">
      <w:pPr>
        <w:spacing w:line="360" w:lineRule="auto"/>
        <w:jc w:val="both"/>
        <w:rPr>
          <w:rFonts w:ascii="Calibri" w:hAnsi="Calibri" w:cs="Calibri"/>
          <w:sz w:val="24"/>
          <w:szCs w:val="24"/>
        </w:rPr>
      </w:pPr>
      <w:r w:rsidRPr="00EA2285">
        <w:rPr>
          <w:rFonts w:ascii="Calibri" w:hAnsi="Calibri" w:cs="Calibri"/>
          <w:sz w:val="24"/>
          <w:szCs w:val="24"/>
        </w:rPr>
        <w:lastRenderedPageBreak/>
        <w:t xml:space="preserve">As demonstrated in Figures 9 and 11, respectively, Barratt Developments PLC, a major participant in the construction industry, demonstrates the strength of its finances and the effectiveness of its operations through </w:t>
      </w:r>
      <w:r>
        <w:rPr>
          <w:rFonts w:ascii="Calibri" w:hAnsi="Calibri" w:cs="Calibri"/>
          <w:sz w:val="24"/>
          <w:szCs w:val="24"/>
        </w:rPr>
        <w:t>a thorough horizontal and vertical analysis</w:t>
      </w:r>
      <w:r w:rsidRPr="00EA2285">
        <w:rPr>
          <w:rFonts w:ascii="Calibri" w:hAnsi="Calibri" w:cs="Calibri"/>
          <w:sz w:val="24"/>
          <w:szCs w:val="24"/>
        </w:rPr>
        <w:t xml:space="preserve"> of its income statement and balance sheet</w:t>
      </w:r>
      <w:r w:rsidR="00923F6C" w:rsidRPr="0052411A">
        <w:rPr>
          <w:rFonts w:ascii="Calibri" w:hAnsi="Calibri" w:cs="Calibri"/>
          <w:sz w:val="24"/>
          <w:szCs w:val="24"/>
        </w:rPr>
        <w:t>. The horizontal analysis of Barratt Development PLC’s financial statements reveals</w:t>
      </w:r>
      <w:r>
        <w:rPr>
          <w:rFonts w:ascii="Calibri" w:hAnsi="Calibri" w:cs="Calibri"/>
          <w:sz w:val="24"/>
          <w:szCs w:val="24"/>
        </w:rPr>
        <w:t xml:space="preserve"> </w:t>
      </w:r>
      <w:r w:rsidR="00923F6C" w:rsidRPr="0052411A">
        <w:rPr>
          <w:rFonts w:ascii="Calibri" w:hAnsi="Calibri" w:cs="Calibri"/>
          <w:sz w:val="24"/>
          <w:szCs w:val="24"/>
        </w:rPr>
        <w:t>pattern</w:t>
      </w:r>
      <w:r>
        <w:rPr>
          <w:rFonts w:ascii="Calibri" w:hAnsi="Calibri" w:cs="Calibri"/>
          <w:sz w:val="24"/>
          <w:szCs w:val="24"/>
        </w:rPr>
        <w:t>s and trends</w:t>
      </w:r>
      <w:r w:rsidR="00923F6C" w:rsidRPr="0052411A">
        <w:rPr>
          <w:rFonts w:ascii="Calibri" w:hAnsi="Calibri" w:cs="Calibri"/>
          <w:sz w:val="24"/>
          <w:szCs w:val="24"/>
        </w:rPr>
        <w:t xml:space="preserve"> that provide insights into the company’s financial </w:t>
      </w:r>
      <w:r>
        <w:rPr>
          <w:rFonts w:ascii="Calibri" w:hAnsi="Calibri" w:cs="Calibri"/>
          <w:sz w:val="24"/>
          <w:szCs w:val="24"/>
        </w:rPr>
        <w:t>position</w:t>
      </w:r>
      <w:r w:rsidR="00923F6C" w:rsidRPr="0052411A">
        <w:rPr>
          <w:rFonts w:ascii="Calibri" w:hAnsi="Calibri" w:cs="Calibri"/>
          <w:sz w:val="24"/>
          <w:szCs w:val="24"/>
        </w:rPr>
        <w:t xml:space="preserve"> and performance over the years. Barratt Development PLC’s balance sheet reflects various trends in its assets. Firstly, the company’s short-term investments </w:t>
      </w:r>
      <w:r>
        <w:rPr>
          <w:rFonts w:ascii="Calibri" w:hAnsi="Calibri" w:cs="Calibri"/>
          <w:sz w:val="24"/>
          <w:szCs w:val="24"/>
        </w:rPr>
        <w:t xml:space="preserve">and cash </w:t>
      </w:r>
      <w:r w:rsidR="00923F6C" w:rsidRPr="0052411A">
        <w:rPr>
          <w:rFonts w:ascii="Calibri" w:hAnsi="Calibri" w:cs="Calibri"/>
          <w:sz w:val="24"/>
          <w:szCs w:val="24"/>
        </w:rPr>
        <w:t xml:space="preserve">have fluctuated, with a decline in 2023 following a notable increase in 2021. This indicates a potential need to investigate the reasons behind the reduction in cash holdings. Additionally, there’s volatility in receivables, with a significant increase in 2022 followed by a decrease in 2023, indicating potential issues in credit policies and collection practices. However, total inventory has remained relatively stable, </w:t>
      </w:r>
      <w:proofErr w:type="spellStart"/>
      <w:r w:rsidR="00923F6C">
        <w:rPr>
          <w:rFonts w:ascii="Calibri" w:hAnsi="Calibri" w:cs="Calibri"/>
          <w:sz w:val="24"/>
          <w:szCs w:val="24"/>
        </w:rPr>
        <w:t>emphasising</w:t>
      </w:r>
      <w:proofErr w:type="spellEnd"/>
      <w:r w:rsidR="00923F6C" w:rsidRPr="0052411A">
        <w:rPr>
          <w:rFonts w:ascii="Calibri" w:hAnsi="Calibri" w:cs="Calibri"/>
          <w:sz w:val="24"/>
          <w:szCs w:val="24"/>
        </w:rPr>
        <w:t xml:space="preserve"> the importance of efficient inventory management to avoid overstocking or shortages. Moreover, property, </w:t>
      </w:r>
      <w:proofErr w:type="gramStart"/>
      <w:r w:rsidR="00923F6C" w:rsidRPr="0052411A">
        <w:rPr>
          <w:rFonts w:ascii="Calibri" w:hAnsi="Calibri" w:cs="Calibri"/>
          <w:sz w:val="24"/>
          <w:szCs w:val="24"/>
        </w:rPr>
        <w:t>plant</w:t>
      </w:r>
      <w:proofErr w:type="gramEnd"/>
      <w:r w:rsidR="00923F6C" w:rsidRPr="0052411A">
        <w:rPr>
          <w:rFonts w:ascii="Calibri" w:hAnsi="Calibri" w:cs="Calibri"/>
          <w:sz w:val="24"/>
          <w:szCs w:val="24"/>
        </w:rPr>
        <w:t xml:space="preserve"> and equipment (PPE) has exhibited a consistent upward trend, reflecting the company’s investments in its core operations and expansion initiatives. Nonetheless, there’s fluctuation in long-term investments, with a notable decrease in 2023. Examining the liabilities, there’s a notable decrease in accounts payable in 2023, suggesting potential improvement in </w:t>
      </w:r>
      <w:r w:rsidR="00923F6C">
        <w:rPr>
          <w:rFonts w:ascii="Calibri" w:hAnsi="Calibri" w:cs="Calibri"/>
          <w:sz w:val="24"/>
          <w:szCs w:val="24"/>
        </w:rPr>
        <w:t>supplier payment terms</w:t>
      </w:r>
      <w:r w:rsidR="00923F6C" w:rsidRPr="0052411A">
        <w:rPr>
          <w:rFonts w:ascii="Calibri" w:hAnsi="Calibri" w:cs="Calibri"/>
          <w:sz w:val="24"/>
          <w:szCs w:val="24"/>
        </w:rPr>
        <w:t xml:space="preserve"> or more efficient operations. Despite fluctuations, a downward trend in total current liabilities indicates effective management of short-term obligations. Similarly, total long-term debt has remained relatively stable, reflecting a consistent financing strategy employed by the company. The company’s shareholders’ equity shows a positive trajectory, with retained earnings </w:t>
      </w:r>
      <w:r w:rsidR="00923F6C">
        <w:rPr>
          <w:rFonts w:ascii="Calibri" w:hAnsi="Calibri" w:cs="Calibri"/>
          <w:sz w:val="24"/>
          <w:szCs w:val="24"/>
        </w:rPr>
        <w:t>increasing</w:t>
      </w:r>
      <w:r w:rsidR="00923F6C" w:rsidRPr="0052411A">
        <w:rPr>
          <w:rFonts w:ascii="Calibri" w:hAnsi="Calibri" w:cs="Calibri"/>
          <w:sz w:val="24"/>
          <w:szCs w:val="24"/>
        </w:rPr>
        <w:t xml:space="preserve"> over the years, signifying </w:t>
      </w:r>
      <w:proofErr w:type="gramStart"/>
      <w:r w:rsidR="00923F6C" w:rsidRPr="0052411A">
        <w:rPr>
          <w:rFonts w:ascii="Calibri" w:hAnsi="Calibri" w:cs="Calibri"/>
          <w:sz w:val="24"/>
          <w:szCs w:val="24"/>
        </w:rPr>
        <w:t>profitability</w:t>
      </w:r>
      <w:proofErr w:type="gramEnd"/>
      <w:r w:rsidR="00923F6C" w:rsidRPr="0052411A">
        <w:rPr>
          <w:rFonts w:ascii="Calibri" w:hAnsi="Calibri" w:cs="Calibri"/>
          <w:sz w:val="24"/>
          <w:szCs w:val="24"/>
        </w:rPr>
        <w:t xml:space="preserve"> and reinvestment in the business. However, </w:t>
      </w:r>
      <w:r w:rsidR="00265EA6">
        <w:rPr>
          <w:rFonts w:ascii="Calibri" w:hAnsi="Calibri" w:cs="Calibri"/>
          <w:sz w:val="24"/>
          <w:szCs w:val="24"/>
        </w:rPr>
        <w:t>a slight decrease in common stock in 2023</w:t>
      </w:r>
      <w:r w:rsidR="00923F6C" w:rsidRPr="0052411A">
        <w:rPr>
          <w:rFonts w:ascii="Calibri" w:hAnsi="Calibri" w:cs="Calibri"/>
          <w:sz w:val="24"/>
          <w:szCs w:val="24"/>
        </w:rPr>
        <w:t xml:space="preserve"> could be attributed to corporate actions such as buybacks. The company’s revenue has grown over the years, with a significant increase in 2023, possibly due to heightened sales volume or improved pricing strategies. Operating expenses, particularly selling, general and administrative expenses, have shown a consistent increase, potentially reflecting </w:t>
      </w:r>
      <w:proofErr w:type="gramStart"/>
      <w:r w:rsidR="00923F6C" w:rsidRPr="0052411A">
        <w:rPr>
          <w:rFonts w:ascii="Calibri" w:hAnsi="Calibri" w:cs="Calibri"/>
          <w:sz w:val="24"/>
          <w:szCs w:val="24"/>
        </w:rPr>
        <w:t>expansion</w:t>
      </w:r>
      <w:proofErr w:type="gramEnd"/>
      <w:r w:rsidR="00923F6C" w:rsidRPr="0052411A">
        <w:rPr>
          <w:rFonts w:ascii="Calibri" w:hAnsi="Calibri" w:cs="Calibri"/>
          <w:sz w:val="24"/>
          <w:szCs w:val="24"/>
        </w:rPr>
        <w:t xml:space="preserve"> or increased marketing efforts. However, </w:t>
      </w:r>
      <w:r w:rsidR="00265EA6">
        <w:rPr>
          <w:rFonts w:ascii="Calibri" w:hAnsi="Calibri" w:cs="Calibri"/>
          <w:sz w:val="24"/>
          <w:szCs w:val="24"/>
        </w:rPr>
        <w:t>depreciation expenses are volatile</w:t>
      </w:r>
      <w:r w:rsidR="00923F6C" w:rsidRPr="0052411A">
        <w:rPr>
          <w:rFonts w:ascii="Calibri" w:hAnsi="Calibri" w:cs="Calibri"/>
          <w:sz w:val="24"/>
          <w:szCs w:val="24"/>
        </w:rPr>
        <w:t xml:space="preserve">, with a significant decrease in 2023, possibly due to changes in asset </w:t>
      </w:r>
      <w:proofErr w:type="spellStart"/>
      <w:r w:rsidR="00923F6C" w:rsidRPr="0052411A">
        <w:rPr>
          <w:rFonts w:ascii="Calibri" w:hAnsi="Calibri" w:cs="Calibri"/>
          <w:sz w:val="24"/>
          <w:szCs w:val="24"/>
        </w:rPr>
        <w:t>utilisation</w:t>
      </w:r>
      <w:proofErr w:type="spellEnd"/>
      <w:r w:rsidR="00923F6C" w:rsidRPr="0052411A">
        <w:rPr>
          <w:rFonts w:ascii="Calibri" w:hAnsi="Calibri" w:cs="Calibri"/>
          <w:sz w:val="24"/>
          <w:szCs w:val="24"/>
        </w:rPr>
        <w:t xml:space="preserve"> or accounting practices. Net income before taxes fluctuated over the years, with a notable increase in 2023. </w:t>
      </w:r>
    </w:p>
    <w:p w14:paraId="765B024C" w14:textId="4DC0A22A" w:rsidR="00923F6C" w:rsidRDefault="00923F6C" w:rsidP="00923F6C">
      <w:pPr>
        <w:spacing w:line="360" w:lineRule="auto"/>
        <w:jc w:val="both"/>
        <w:rPr>
          <w:rFonts w:ascii="Calibri" w:hAnsi="Calibri" w:cs="Calibri"/>
          <w:sz w:val="24"/>
          <w:szCs w:val="24"/>
        </w:rPr>
      </w:pPr>
      <w:r w:rsidRPr="0052411A">
        <w:rPr>
          <w:rFonts w:ascii="Calibri" w:hAnsi="Calibri" w:cs="Calibri"/>
          <w:sz w:val="24"/>
          <w:szCs w:val="24"/>
        </w:rPr>
        <w:lastRenderedPageBreak/>
        <w:t xml:space="preserve">The vertical analysis of Barratt Development </w:t>
      </w:r>
      <w:proofErr w:type="gramStart"/>
      <w:r w:rsidRPr="0052411A">
        <w:rPr>
          <w:rFonts w:ascii="Calibri" w:hAnsi="Calibri" w:cs="Calibri"/>
          <w:sz w:val="24"/>
          <w:szCs w:val="24"/>
        </w:rPr>
        <w:t>PLC‘</w:t>
      </w:r>
      <w:proofErr w:type="gramEnd"/>
      <w:r w:rsidRPr="0052411A">
        <w:rPr>
          <w:rFonts w:ascii="Calibri" w:hAnsi="Calibri" w:cs="Calibri"/>
          <w:sz w:val="24"/>
          <w:szCs w:val="24"/>
        </w:rPr>
        <w:t>s financial statements provides valuable information into the company’s financial structure, operational efficiency, and profitability trends over the years. The company's</w:t>
      </w:r>
      <w:r w:rsidR="00EA2285">
        <w:rPr>
          <w:rFonts w:ascii="Calibri" w:hAnsi="Calibri" w:cs="Calibri"/>
          <w:sz w:val="24"/>
          <w:szCs w:val="24"/>
        </w:rPr>
        <w:t xml:space="preserve"> </w:t>
      </w:r>
      <w:r w:rsidRPr="0052411A">
        <w:rPr>
          <w:rFonts w:ascii="Calibri" w:hAnsi="Calibri" w:cs="Calibri"/>
          <w:sz w:val="24"/>
          <w:szCs w:val="24"/>
        </w:rPr>
        <w:t>short-term</w:t>
      </w:r>
      <w:r w:rsidR="00EA2285">
        <w:rPr>
          <w:rFonts w:ascii="Calibri" w:hAnsi="Calibri" w:cs="Calibri"/>
          <w:sz w:val="24"/>
          <w:szCs w:val="24"/>
        </w:rPr>
        <w:t xml:space="preserve"> and cash</w:t>
      </w:r>
      <w:r w:rsidRPr="0052411A">
        <w:rPr>
          <w:rFonts w:ascii="Calibri" w:hAnsi="Calibri" w:cs="Calibri"/>
          <w:sz w:val="24"/>
          <w:szCs w:val="24"/>
        </w:rPr>
        <w:t xml:space="preserve"> investments remained stable at 16% of total assets in 2023, indicating a prudent approach to liquidity management. However, there was a slight decrease in the proportion of total receivables, from 3% in 2022 to 2% in 2023, suggesting potential improvements in credit policies and collection practices.</w:t>
      </w:r>
      <w:r>
        <w:rPr>
          <w:rFonts w:ascii="Calibri" w:hAnsi="Calibri" w:cs="Calibri"/>
          <w:sz w:val="24"/>
          <w:szCs w:val="24"/>
        </w:rPr>
        <w:t xml:space="preserve"> </w:t>
      </w:r>
      <w:r w:rsidR="00EA2285" w:rsidRPr="00EA2285">
        <w:rPr>
          <w:rFonts w:ascii="Calibri" w:hAnsi="Calibri" w:cs="Calibri"/>
          <w:sz w:val="24"/>
          <w:szCs w:val="24"/>
        </w:rPr>
        <w:t>Even while inventories accounted for a sizable percentage of assets (65% of total assets in 2023), there was a minor decline from the year before</w:t>
      </w:r>
      <w:r w:rsidRPr="0052411A">
        <w:rPr>
          <w:rFonts w:ascii="Calibri" w:hAnsi="Calibri" w:cs="Calibri"/>
          <w:sz w:val="24"/>
          <w:szCs w:val="24"/>
        </w:rPr>
        <w:t>. This indicates effective inventory management strategies to avoid overstocking or shortages.</w:t>
      </w:r>
      <w:r>
        <w:rPr>
          <w:rFonts w:ascii="Calibri" w:hAnsi="Calibri" w:cs="Calibri"/>
          <w:sz w:val="24"/>
          <w:szCs w:val="24"/>
        </w:rPr>
        <w:t xml:space="preserve"> </w:t>
      </w:r>
      <w:r w:rsidRPr="0052411A">
        <w:rPr>
          <w:rFonts w:ascii="Calibri" w:hAnsi="Calibri" w:cs="Calibri"/>
          <w:sz w:val="24"/>
          <w:szCs w:val="24"/>
        </w:rPr>
        <w:t>Property, plant &amp; equipment (PPE) saw a slight increase, accounting for 1% of total assets in 2023, reflecting the company's commitment to investing in its core operations and expansion initiatives. However, long-term investments experienced a decrease, representing 2% of total assets in 2023, necessitating further evaluation of the company's strategic investment decisions.</w:t>
      </w:r>
      <w:r>
        <w:rPr>
          <w:rFonts w:ascii="Calibri" w:hAnsi="Calibri" w:cs="Calibri"/>
          <w:sz w:val="24"/>
          <w:szCs w:val="24"/>
        </w:rPr>
        <w:t xml:space="preserve"> </w:t>
      </w:r>
      <w:r w:rsidRPr="0052411A">
        <w:rPr>
          <w:rFonts w:ascii="Calibri" w:hAnsi="Calibri" w:cs="Calibri"/>
          <w:sz w:val="24"/>
          <w:szCs w:val="24"/>
        </w:rPr>
        <w:t xml:space="preserve">Accounts payable, comprising 8% of total liabilities in 2023, showed a slight decrease compared to the previous year, suggesting improved payment terms with </w:t>
      </w:r>
      <w:proofErr w:type="gramStart"/>
      <w:r w:rsidRPr="0052411A">
        <w:rPr>
          <w:rFonts w:ascii="Calibri" w:hAnsi="Calibri" w:cs="Calibri"/>
          <w:sz w:val="24"/>
          <w:szCs w:val="24"/>
        </w:rPr>
        <w:t>suppliers</w:t>
      </w:r>
      <w:proofErr w:type="gramEnd"/>
      <w:r w:rsidRPr="0052411A">
        <w:rPr>
          <w:rFonts w:ascii="Calibri" w:hAnsi="Calibri" w:cs="Calibri"/>
          <w:sz w:val="24"/>
          <w:szCs w:val="24"/>
        </w:rPr>
        <w:t xml:space="preserve"> or enhanced operational efficiency.</w:t>
      </w:r>
      <w:r>
        <w:rPr>
          <w:rFonts w:ascii="Calibri" w:hAnsi="Calibri" w:cs="Calibri"/>
          <w:sz w:val="24"/>
          <w:szCs w:val="24"/>
        </w:rPr>
        <w:t xml:space="preserve"> </w:t>
      </w:r>
      <w:r w:rsidRPr="0052411A">
        <w:rPr>
          <w:rFonts w:ascii="Calibri" w:hAnsi="Calibri" w:cs="Calibri"/>
          <w:sz w:val="24"/>
          <w:szCs w:val="24"/>
        </w:rPr>
        <w:t>Total current liabilities, representing 18% of total liabilities in 2023, exhibited a marginal decrease, indicating effective management of short-term obligations. Long-term debt remained relatively stable at 3% of total liabilities in 2023, reflecting a consistent financing strategy.</w:t>
      </w:r>
      <w:r>
        <w:rPr>
          <w:rFonts w:ascii="Calibri" w:hAnsi="Calibri" w:cs="Calibri"/>
          <w:sz w:val="24"/>
          <w:szCs w:val="24"/>
        </w:rPr>
        <w:t xml:space="preserve"> </w:t>
      </w:r>
      <w:r w:rsidRPr="0052411A">
        <w:rPr>
          <w:rFonts w:ascii="Calibri" w:hAnsi="Calibri" w:cs="Calibri"/>
          <w:sz w:val="24"/>
          <w:szCs w:val="24"/>
        </w:rPr>
        <w:t>Common stock maintained its proportion at 1% of total shareholders' equity in 2023, while retained earnings, representing 66% of shareholders' equity, demonstrated the accumulation of profits over time, reflecting the company's profitability and reinvestment in the business.</w:t>
      </w:r>
      <w:r>
        <w:rPr>
          <w:rFonts w:ascii="Calibri" w:hAnsi="Calibri" w:cs="Calibri"/>
          <w:sz w:val="24"/>
          <w:szCs w:val="24"/>
        </w:rPr>
        <w:t xml:space="preserve"> </w:t>
      </w:r>
      <w:r w:rsidRPr="0052411A">
        <w:rPr>
          <w:rFonts w:ascii="Calibri" w:hAnsi="Calibri" w:cs="Calibri"/>
          <w:sz w:val="24"/>
          <w:szCs w:val="24"/>
        </w:rPr>
        <w:t xml:space="preserve">Total revenue, representing 100% of total income, experienced growth from 2022 to 2023, indicating increased sales volume or improved pricing strategies. </w:t>
      </w:r>
      <w:r>
        <w:rPr>
          <w:rFonts w:ascii="Calibri" w:hAnsi="Calibri" w:cs="Calibri"/>
          <w:sz w:val="24"/>
          <w:szCs w:val="24"/>
        </w:rPr>
        <w:t>The c</w:t>
      </w:r>
      <w:r w:rsidRPr="0052411A">
        <w:rPr>
          <w:rFonts w:ascii="Calibri" w:hAnsi="Calibri" w:cs="Calibri"/>
          <w:sz w:val="24"/>
          <w:szCs w:val="24"/>
        </w:rPr>
        <w:t>ost of revenue remained relatively stable over the years, suggesting consistent gross profit margins.</w:t>
      </w:r>
      <w:r>
        <w:rPr>
          <w:rFonts w:ascii="Calibri" w:hAnsi="Calibri" w:cs="Calibri"/>
          <w:sz w:val="24"/>
          <w:szCs w:val="24"/>
        </w:rPr>
        <w:t xml:space="preserve"> </w:t>
      </w:r>
      <w:r w:rsidRPr="0052411A">
        <w:rPr>
          <w:rFonts w:ascii="Calibri" w:hAnsi="Calibri" w:cs="Calibri"/>
          <w:sz w:val="24"/>
          <w:szCs w:val="24"/>
        </w:rPr>
        <w:t>Selling, general, and admin. expenses accounted for 5.09% of total revenue in 2023, indicating a slight increase, possibly due to expansion or heightened marketing efforts. Depreciation expenses represented 3.36% of total revenue in 2023, showing a decrease compared to the previous year.</w:t>
      </w:r>
      <w:r>
        <w:rPr>
          <w:rFonts w:ascii="Calibri" w:hAnsi="Calibri" w:cs="Calibri"/>
          <w:sz w:val="24"/>
          <w:szCs w:val="24"/>
        </w:rPr>
        <w:t xml:space="preserve"> </w:t>
      </w:r>
      <w:r w:rsidRPr="00114A53">
        <w:rPr>
          <w:rFonts w:ascii="Calibri" w:hAnsi="Calibri" w:cs="Calibri"/>
          <w:sz w:val="24"/>
          <w:szCs w:val="24"/>
        </w:rPr>
        <w:t xml:space="preserve">Net income before taxes accounted for 13.25% of total revenue in 2023, </w:t>
      </w:r>
      <w:r>
        <w:rPr>
          <w:rFonts w:ascii="Calibri" w:hAnsi="Calibri" w:cs="Calibri"/>
          <w:sz w:val="24"/>
          <w:szCs w:val="24"/>
        </w:rPr>
        <w:t>which shows an</w:t>
      </w:r>
      <w:r w:rsidRPr="00114A53">
        <w:rPr>
          <w:rFonts w:ascii="Calibri" w:hAnsi="Calibri" w:cs="Calibri"/>
          <w:sz w:val="24"/>
          <w:szCs w:val="24"/>
        </w:rPr>
        <w:t xml:space="preserve"> increase from the previous year.</w:t>
      </w:r>
    </w:p>
    <w:p w14:paraId="1C7420E3" w14:textId="18F0A87A" w:rsidR="00923F6C" w:rsidRPr="00045775" w:rsidRDefault="00EA2285" w:rsidP="00923F6C">
      <w:pPr>
        <w:spacing w:line="360" w:lineRule="auto"/>
        <w:jc w:val="both"/>
        <w:rPr>
          <w:rFonts w:ascii="Calibri" w:hAnsi="Calibri" w:cs="Calibri"/>
          <w:sz w:val="24"/>
          <w:szCs w:val="24"/>
        </w:rPr>
      </w:pPr>
      <w:r w:rsidRPr="00EA2285">
        <w:rPr>
          <w:rFonts w:ascii="Calibri" w:hAnsi="Calibri" w:cs="Calibri"/>
          <w:sz w:val="24"/>
          <w:szCs w:val="24"/>
        </w:rPr>
        <w:lastRenderedPageBreak/>
        <w:t>Berkeley Group Holdings Plc is another well-known participant in the construction industry. Figures 10 and 12 illustrate the company's financial stability and operational effectiveness through a thorough horizontal and vertical</w:t>
      </w:r>
      <w:r>
        <w:rPr>
          <w:rFonts w:ascii="Calibri" w:hAnsi="Calibri" w:cs="Calibri"/>
          <w:sz w:val="24"/>
          <w:szCs w:val="24"/>
        </w:rPr>
        <w:t xml:space="preserve"> analysis</w:t>
      </w:r>
      <w:r w:rsidRPr="00EA2285">
        <w:rPr>
          <w:rFonts w:ascii="Calibri" w:hAnsi="Calibri" w:cs="Calibri"/>
          <w:sz w:val="24"/>
          <w:szCs w:val="24"/>
        </w:rPr>
        <w:t xml:space="preserve"> of its income statement and balance sheet</w:t>
      </w:r>
      <w:r w:rsidR="00923F6C" w:rsidRPr="0052411A">
        <w:rPr>
          <w:rFonts w:ascii="Calibri" w:hAnsi="Calibri" w:cs="Calibri"/>
          <w:sz w:val="24"/>
          <w:szCs w:val="24"/>
        </w:rPr>
        <w:t xml:space="preserve">. The horizontal analysis of </w:t>
      </w:r>
      <w:r w:rsidR="00923F6C">
        <w:rPr>
          <w:rFonts w:ascii="Calibri" w:hAnsi="Calibri" w:cs="Calibri"/>
          <w:sz w:val="24"/>
          <w:szCs w:val="24"/>
        </w:rPr>
        <w:t>the company’s</w:t>
      </w:r>
      <w:r w:rsidR="00923F6C" w:rsidRPr="0052411A">
        <w:rPr>
          <w:rFonts w:ascii="Calibri" w:hAnsi="Calibri" w:cs="Calibri"/>
          <w:sz w:val="24"/>
          <w:szCs w:val="24"/>
        </w:rPr>
        <w:t xml:space="preserve"> financial statements reveals trends and patterns that provide insights into the company’s financial health and performance over the years</w:t>
      </w:r>
      <w:r w:rsidR="00923F6C">
        <w:rPr>
          <w:rFonts w:ascii="Calibri" w:hAnsi="Calibri" w:cs="Calibri"/>
          <w:sz w:val="24"/>
          <w:szCs w:val="24"/>
        </w:rPr>
        <w:t xml:space="preserve">. </w:t>
      </w:r>
      <w:r w:rsidR="00923F6C" w:rsidRPr="00045775">
        <w:rPr>
          <w:rFonts w:ascii="Calibri" w:hAnsi="Calibri" w:cs="Calibri"/>
          <w:sz w:val="24"/>
          <w:szCs w:val="24"/>
        </w:rPr>
        <w:t>The company's cash and short-term investments exhibited a significant increase of 15.18% from 2022 to 2023, indicating enhanced liquidity. However, a notable decrease of 34.94% in 2022 compared to 2021 raises questions about the efficacy of its cash management strategies.</w:t>
      </w:r>
      <w:r w:rsidR="00923F6C">
        <w:rPr>
          <w:rFonts w:ascii="Calibri" w:hAnsi="Calibri" w:cs="Calibri"/>
          <w:sz w:val="24"/>
          <w:szCs w:val="24"/>
        </w:rPr>
        <w:t xml:space="preserve"> </w:t>
      </w:r>
      <w:r w:rsidR="00923F6C" w:rsidRPr="00045775">
        <w:rPr>
          <w:rFonts w:ascii="Calibri" w:hAnsi="Calibri" w:cs="Calibri"/>
          <w:sz w:val="24"/>
          <w:szCs w:val="24"/>
        </w:rPr>
        <w:t>Total receivables experienced a substantial decrease of 46.97% from 2022 to 2023, hinting at potential shifts in credit policies or collection efficiencies. Conversely, a significant increase of 73.68% in 2022 compared to 2021 suggests improved sales volume or credit sales.</w:t>
      </w:r>
      <w:r w:rsidR="00923F6C">
        <w:rPr>
          <w:rFonts w:ascii="Calibri" w:hAnsi="Calibri" w:cs="Calibri"/>
          <w:sz w:val="24"/>
          <w:szCs w:val="24"/>
        </w:rPr>
        <w:t xml:space="preserve"> </w:t>
      </w:r>
      <w:r w:rsidR="00923F6C" w:rsidRPr="00045775">
        <w:rPr>
          <w:rFonts w:ascii="Calibri" w:hAnsi="Calibri" w:cs="Calibri"/>
          <w:sz w:val="24"/>
          <w:szCs w:val="24"/>
        </w:rPr>
        <w:t>The consistent rise in total inventory, with a slight increase of 3.27% from 2022 to 2023, underscores the company's continued investment in land acquisition and property development projects. Moreover, prepaid expenses surged by 22.22% in 2023, reflecting a proactive approach to expense management and potential investments in prepaid services or supplies.</w:t>
      </w:r>
      <w:r w:rsidR="00923F6C">
        <w:rPr>
          <w:rFonts w:ascii="Calibri" w:hAnsi="Calibri" w:cs="Calibri"/>
          <w:sz w:val="24"/>
          <w:szCs w:val="24"/>
        </w:rPr>
        <w:t xml:space="preserve"> </w:t>
      </w:r>
      <w:r w:rsidR="00923F6C" w:rsidRPr="00045775">
        <w:rPr>
          <w:rFonts w:ascii="Calibri" w:hAnsi="Calibri" w:cs="Calibri"/>
          <w:sz w:val="24"/>
          <w:szCs w:val="24"/>
        </w:rPr>
        <w:t>Accounts payable decreased by 5.19% from 2022 to 2023, indicating potential enhancements in supplier payment terms or more efficient inventory management practices. Similarly, accrued expenses saw a marginal decrease of 0.53% in 2023, suggesting stable accrual practices and operational efficiency. Other current liabilities decreased by 4.38% in 2023, indicating potential improvements in working capital management or reduced short-term obligations.</w:t>
      </w:r>
      <w:r w:rsidR="00923F6C">
        <w:rPr>
          <w:rFonts w:ascii="Calibri" w:hAnsi="Calibri" w:cs="Calibri"/>
          <w:sz w:val="24"/>
          <w:szCs w:val="24"/>
        </w:rPr>
        <w:t xml:space="preserve"> </w:t>
      </w:r>
      <w:r w:rsidR="00923F6C" w:rsidRPr="00045775">
        <w:rPr>
          <w:rFonts w:ascii="Calibri" w:hAnsi="Calibri" w:cs="Calibri"/>
          <w:sz w:val="24"/>
          <w:szCs w:val="24"/>
        </w:rPr>
        <w:t>Retained earnings, a key indicator of the company's profitability and reinvestment of earnings into the business, increased by 6.36% in 2023.</w:t>
      </w:r>
      <w:r w:rsidR="00923F6C">
        <w:rPr>
          <w:rFonts w:ascii="Calibri" w:hAnsi="Calibri" w:cs="Calibri"/>
          <w:sz w:val="24"/>
          <w:szCs w:val="24"/>
        </w:rPr>
        <w:t xml:space="preserve"> </w:t>
      </w:r>
      <w:r w:rsidR="00923F6C" w:rsidRPr="00045775">
        <w:rPr>
          <w:rFonts w:ascii="Calibri" w:hAnsi="Calibri" w:cs="Calibri"/>
          <w:sz w:val="24"/>
          <w:szCs w:val="24"/>
        </w:rPr>
        <w:t>The company's total revenue demonstrated consistent growth over the years, with an increase of 8.60% from 2022 to 2023. This growth signifies the company's ability to generate higher sales volumes or command better pricing for its products and services. However, the cost of revenue increased by 10.10% in 2023, outpacing revenue growth, which may affect gross profit margins and overall profitability.</w:t>
      </w:r>
      <w:r w:rsidR="00923F6C">
        <w:rPr>
          <w:rFonts w:ascii="Calibri" w:hAnsi="Calibri" w:cs="Calibri"/>
          <w:sz w:val="24"/>
          <w:szCs w:val="24"/>
        </w:rPr>
        <w:t xml:space="preserve"> </w:t>
      </w:r>
      <w:r w:rsidR="00923F6C" w:rsidRPr="00045775">
        <w:rPr>
          <w:rFonts w:ascii="Calibri" w:hAnsi="Calibri" w:cs="Calibri"/>
          <w:sz w:val="24"/>
          <w:szCs w:val="24"/>
        </w:rPr>
        <w:t>Net income before taxes increased by 9.42% in 2023, reflecting improved operational performance and cost management efforts. However, the provision for income taxes surged by 100% in 2023, potentially impacting the company's effective tax rate and overall profitability.</w:t>
      </w:r>
    </w:p>
    <w:p w14:paraId="5E797AB4" w14:textId="0582F955" w:rsidR="00923F6C" w:rsidRPr="00B7342D" w:rsidRDefault="00923F6C" w:rsidP="00923F6C">
      <w:pPr>
        <w:spacing w:line="360" w:lineRule="auto"/>
        <w:jc w:val="both"/>
        <w:rPr>
          <w:rFonts w:ascii="Calibri" w:hAnsi="Calibri" w:cs="Calibri"/>
          <w:sz w:val="24"/>
          <w:szCs w:val="24"/>
        </w:rPr>
      </w:pPr>
      <w:r w:rsidRPr="0052411A">
        <w:rPr>
          <w:rFonts w:ascii="Calibri" w:hAnsi="Calibri" w:cs="Calibri"/>
          <w:sz w:val="24"/>
          <w:szCs w:val="24"/>
        </w:rPr>
        <w:lastRenderedPageBreak/>
        <w:t>The vertical analysis of B</w:t>
      </w:r>
      <w:r>
        <w:rPr>
          <w:rFonts w:ascii="Calibri" w:hAnsi="Calibri" w:cs="Calibri"/>
          <w:sz w:val="24"/>
          <w:szCs w:val="24"/>
        </w:rPr>
        <w:t>erkeley Group Holdings</w:t>
      </w:r>
      <w:r w:rsidRPr="0052411A">
        <w:rPr>
          <w:rFonts w:ascii="Calibri" w:hAnsi="Calibri" w:cs="Calibri"/>
          <w:sz w:val="24"/>
          <w:szCs w:val="24"/>
        </w:rPr>
        <w:t xml:space="preserve"> </w:t>
      </w:r>
      <w:proofErr w:type="gramStart"/>
      <w:r w:rsidR="002077D2" w:rsidRPr="0052411A">
        <w:rPr>
          <w:rFonts w:ascii="Calibri" w:hAnsi="Calibri" w:cs="Calibri"/>
          <w:sz w:val="24"/>
          <w:szCs w:val="24"/>
        </w:rPr>
        <w:t>PLC‘</w:t>
      </w:r>
      <w:proofErr w:type="gramEnd"/>
      <w:r w:rsidRPr="0052411A">
        <w:rPr>
          <w:rFonts w:ascii="Calibri" w:hAnsi="Calibri" w:cs="Calibri"/>
          <w:sz w:val="24"/>
          <w:szCs w:val="24"/>
        </w:rPr>
        <w:t>s financial statements provides valuable information into the company’s financial structure, operational efficiency, and profitability trends over the years.</w:t>
      </w:r>
      <w:r>
        <w:rPr>
          <w:rFonts w:ascii="Calibri" w:hAnsi="Calibri" w:cs="Calibri"/>
          <w:sz w:val="24"/>
          <w:szCs w:val="24"/>
        </w:rPr>
        <w:t xml:space="preserve"> </w:t>
      </w:r>
      <w:r w:rsidRPr="00DC1714">
        <w:rPr>
          <w:rFonts w:ascii="Calibri" w:hAnsi="Calibri" w:cs="Calibri"/>
          <w:sz w:val="24"/>
          <w:szCs w:val="24"/>
        </w:rPr>
        <w:t xml:space="preserve">In 2023, 15.60% of total assets were held in cash and short-term investments, </w:t>
      </w:r>
      <w:proofErr w:type="spellStart"/>
      <w:r>
        <w:rPr>
          <w:rFonts w:ascii="Calibri" w:hAnsi="Calibri" w:cs="Calibri"/>
          <w:sz w:val="24"/>
          <w:szCs w:val="24"/>
        </w:rPr>
        <w:t>signalling</w:t>
      </w:r>
      <w:proofErr w:type="spellEnd"/>
      <w:r w:rsidRPr="00DC1714">
        <w:rPr>
          <w:rFonts w:ascii="Calibri" w:hAnsi="Calibri" w:cs="Calibri"/>
          <w:sz w:val="24"/>
          <w:szCs w:val="24"/>
        </w:rPr>
        <w:t xml:space="preserve"> a slight increase from the previous year. This suggests a bolstered liquidity position, </w:t>
      </w:r>
      <w:r>
        <w:rPr>
          <w:rFonts w:ascii="Calibri" w:hAnsi="Calibri" w:cs="Calibri"/>
          <w:sz w:val="24"/>
          <w:szCs w:val="24"/>
        </w:rPr>
        <w:t xml:space="preserve">which is </w:t>
      </w:r>
      <w:r w:rsidRPr="00DC1714">
        <w:rPr>
          <w:rFonts w:ascii="Calibri" w:hAnsi="Calibri" w:cs="Calibri"/>
          <w:sz w:val="24"/>
          <w:szCs w:val="24"/>
        </w:rPr>
        <w:t xml:space="preserve">vital for meeting short-term obligations and </w:t>
      </w:r>
      <w:proofErr w:type="spellStart"/>
      <w:r>
        <w:rPr>
          <w:rFonts w:ascii="Calibri" w:hAnsi="Calibri" w:cs="Calibri"/>
          <w:sz w:val="24"/>
          <w:szCs w:val="24"/>
        </w:rPr>
        <w:t>capitalising</w:t>
      </w:r>
      <w:proofErr w:type="spellEnd"/>
      <w:r w:rsidRPr="00DC1714">
        <w:rPr>
          <w:rFonts w:ascii="Calibri" w:hAnsi="Calibri" w:cs="Calibri"/>
          <w:sz w:val="24"/>
          <w:szCs w:val="24"/>
        </w:rPr>
        <w:t xml:space="preserve"> on investment opportunities.</w:t>
      </w:r>
      <w:r>
        <w:rPr>
          <w:rFonts w:ascii="Calibri" w:hAnsi="Calibri" w:cs="Calibri"/>
          <w:sz w:val="24"/>
          <w:szCs w:val="24"/>
        </w:rPr>
        <w:t xml:space="preserve"> </w:t>
      </w:r>
      <w:r w:rsidRPr="00DC1714">
        <w:rPr>
          <w:rFonts w:ascii="Calibri" w:hAnsi="Calibri" w:cs="Calibri"/>
          <w:sz w:val="24"/>
          <w:szCs w:val="24"/>
        </w:rPr>
        <w:t>Moreover, the decline in the proportion of total receivables to total assets to 1.02% in 2023 highlights the company's adept management of accounts receivable, leading to a reduction in outstanding balances. It reflects positively on the company's credit policies and collection efficiencies.</w:t>
      </w:r>
      <w:r>
        <w:rPr>
          <w:rFonts w:ascii="Calibri" w:hAnsi="Calibri" w:cs="Calibri"/>
          <w:sz w:val="24"/>
          <w:szCs w:val="24"/>
        </w:rPr>
        <w:t xml:space="preserve"> </w:t>
      </w:r>
      <w:r w:rsidRPr="00DC1714">
        <w:rPr>
          <w:rFonts w:ascii="Calibri" w:hAnsi="Calibri" w:cs="Calibri"/>
          <w:sz w:val="24"/>
          <w:szCs w:val="24"/>
        </w:rPr>
        <w:t xml:space="preserve">A substantial portion of the company's assets, 77.29%, was allocated to inventory in 2023, </w:t>
      </w:r>
      <w:r>
        <w:rPr>
          <w:rFonts w:ascii="Calibri" w:hAnsi="Calibri" w:cs="Calibri"/>
          <w:sz w:val="24"/>
          <w:szCs w:val="24"/>
        </w:rPr>
        <w:t>indicating</w:t>
      </w:r>
      <w:r w:rsidRPr="00DC1714">
        <w:rPr>
          <w:rFonts w:ascii="Calibri" w:hAnsi="Calibri" w:cs="Calibri"/>
          <w:sz w:val="24"/>
          <w:szCs w:val="24"/>
        </w:rPr>
        <w:t xml:space="preserve"> its focus on property development projects. While this demonstrates significant investment in inventory, effective inventory management is paramount to mitigate risks of overstocking and obsolescence.</w:t>
      </w:r>
      <w:r>
        <w:rPr>
          <w:rFonts w:ascii="Calibri" w:hAnsi="Calibri" w:cs="Calibri"/>
          <w:sz w:val="24"/>
          <w:szCs w:val="24"/>
        </w:rPr>
        <w:t xml:space="preserve"> </w:t>
      </w:r>
      <w:r w:rsidRPr="00DC1714">
        <w:rPr>
          <w:rFonts w:ascii="Calibri" w:hAnsi="Calibri" w:cs="Calibri"/>
          <w:sz w:val="24"/>
          <w:szCs w:val="24"/>
        </w:rPr>
        <w:t xml:space="preserve">The marginal increase in prepaid expenses to 0.32% of total assets in 2023 may denote prepayment for goods or services to secure </w:t>
      </w:r>
      <w:proofErr w:type="spellStart"/>
      <w:r>
        <w:rPr>
          <w:rFonts w:ascii="Calibri" w:hAnsi="Calibri" w:cs="Calibri"/>
          <w:sz w:val="24"/>
          <w:szCs w:val="24"/>
        </w:rPr>
        <w:t>favourable</w:t>
      </w:r>
      <w:proofErr w:type="spellEnd"/>
      <w:r w:rsidRPr="00DC1714">
        <w:rPr>
          <w:rFonts w:ascii="Calibri" w:hAnsi="Calibri" w:cs="Calibri"/>
          <w:sz w:val="24"/>
          <w:szCs w:val="24"/>
        </w:rPr>
        <w:t xml:space="preserve"> terms or streamline operations, underscoring the company's proactive approach to expense management.</w:t>
      </w:r>
      <w:r>
        <w:rPr>
          <w:rFonts w:ascii="Calibri" w:hAnsi="Calibri" w:cs="Calibri"/>
          <w:sz w:val="24"/>
          <w:szCs w:val="24"/>
        </w:rPr>
        <w:t xml:space="preserve"> The Berkeley Group exhibited sound financial footing on the liabilities and shareholders' equity front</w:t>
      </w:r>
      <w:r w:rsidRPr="00DC1714">
        <w:rPr>
          <w:rFonts w:ascii="Calibri" w:hAnsi="Calibri" w:cs="Calibri"/>
          <w:sz w:val="24"/>
          <w:szCs w:val="24"/>
        </w:rPr>
        <w:t xml:space="preserve">. Accounts payable, representing 8.79% of total liabilities in 2023, </w:t>
      </w:r>
      <w:r>
        <w:rPr>
          <w:rFonts w:ascii="Calibri" w:hAnsi="Calibri" w:cs="Calibri"/>
          <w:sz w:val="24"/>
          <w:szCs w:val="24"/>
        </w:rPr>
        <w:t>decreased slightly</w:t>
      </w:r>
      <w:r w:rsidRPr="00DC1714">
        <w:rPr>
          <w:rFonts w:ascii="Calibri" w:hAnsi="Calibri" w:cs="Calibri"/>
          <w:sz w:val="24"/>
          <w:szCs w:val="24"/>
        </w:rPr>
        <w:t xml:space="preserve"> from the previous year, indicating effective </w:t>
      </w:r>
      <w:r>
        <w:rPr>
          <w:rFonts w:ascii="Calibri" w:hAnsi="Calibri" w:cs="Calibri"/>
          <w:sz w:val="24"/>
          <w:szCs w:val="24"/>
        </w:rPr>
        <w:t>trade credit management</w:t>
      </w:r>
      <w:r w:rsidRPr="00DC1714">
        <w:rPr>
          <w:rFonts w:ascii="Calibri" w:hAnsi="Calibri" w:cs="Calibri"/>
          <w:sz w:val="24"/>
          <w:szCs w:val="24"/>
        </w:rPr>
        <w:t xml:space="preserve"> and potentially improved supplier payment terms.</w:t>
      </w:r>
      <w:r>
        <w:rPr>
          <w:rFonts w:ascii="Calibri" w:hAnsi="Calibri" w:cs="Calibri"/>
          <w:sz w:val="24"/>
          <w:szCs w:val="24"/>
        </w:rPr>
        <w:t xml:space="preserve"> </w:t>
      </w:r>
      <w:r w:rsidRPr="00DC1714">
        <w:rPr>
          <w:rFonts w:ascii="Calibri" w:hAnsi="Calibri" w:cs="Calibri"/>
          <w:sz w:val="24"/>
          <w:szCs w:val="24"/>
        </w:rPr>
        <w:t>Accrued expenses remained relatively stable at 2.76% of total liabilities in 2023, underscoring the company's commitment to accurate accrual accounting and financial transparency.</w:t>
      </w:r>
      <w:r>
        <w:rPr>
          <w:rFonts w:ascii="Calibri" w:hAnsi="Calibri" w:cs="Calibri"/>
          <w:sz w:val="24"/>
          <w:szCs w:val="24"/>
        </w:rPr>
        <w:t xml:space="preserve"> </w:t>
      </w:r>
      <w:r w:rsidRPr="00DC1714">
        <w:rPr>
          <w:rFonts w:ascii="Calibri" w:hAnsi="Calibri" w:cs="Calibri"/>
          <w:sz w:val="24"/>
          <w:szCs w:val="24"/>
        </w:rPr>
        <w:t>Furthermore, shareholders' equity accounted for a robust 48.57% of total assets in 2023, reflecting a healthy capital structure. Retained earnings, a significant component of shareholders' equity, mirrored the company's profitability and reinvestment of earnings into the business, augmenting long-term sustainability and shareholder value creation.</w:t>
      </w:r>
      <w:r>
        <w:rPr>
          <w:rFonts w:ascii="Calibri" w:hAnsi="Calibri" w:cs="Calibri"/>
          <w:sz w:val="24"/>
          <w:szCs w:val="24"/>
        </w:rPr>
        <w:t xml:space="preserve"> </w:t>
      </w:r>
      <w:r w:rsidRPr="00B7342D">
        <w:rPr>
          <w:rFonts w:ascii="Calibri" w:hAnsi="Calibri" w:cs="Calibri"/>
          <w:sz w:val="24"/>
          <w:szCs w:val="24"/>
        </w:rPr>
        <w:t>Total revenue constituted 100% of total income in 2023, underlining the company's ability to drive sales and sustain top-line growth consistently.</w:t>
      </w:r>
      <w:r>
        <w:rPr>
          <w:rFonts w:ascii="Calibri" w:hAnsi="Calibri" w:cs="Calibri"/>
          <w:sz w:val="24"/>
          <w:szCs w:val="24"/>
        </w:rPr>
        <w:t xml:space="preserve"> The company demonstrated operational efficiency in terms of net income</w:t>
      </w:r>
      <w:r w:rsidRPr="00B7342D">
        <w:rPr>
          <w:rFonts w:ascii="Calibri" w:hAnsi="Calibri" w:cs="Calibri"/>
          <w:sz w:val="24"/>
          <w:szCs w:val="24"/>
        </w:rPr>
        <w:t>, with net income before taxes accounting for 24% of total revenue in 2023.</w:t>
      </w:r>
      <w:r>
        <w:rPr>
          <w:rFonts w:ascii="Calibri" w:hAnsi="Calibri" w:cs="Calibri"/>
          <w:sz w:val="24"/>
          <w:szCs w:val="24"/>
        </w:rPr>
        <w:t xml:space="preserve"> </w:t>
      </w:r>
      <w:r w:rsidRPr="00B7342D">
        <w:rPr>
          <w:rFonts w:ascii="Calibri" w:hAnsi="Calibri" w:cs="Calibri"/>
          <w:sz w:val="24"/>
          <w:szCs w:val="24"/>
        </w:rPr>
        <w:t xml:space="preserve">Additionally, </w:t>
      </w:r>
      <w:proofErr w:type="spellStart"/>
      <w:r>
        <w:rPr>
          <w:rFonts w:ascii="Calibri" w:hAnsi="Calibri" w:cs="Calibri"/>
          <w:sz w:val="24"/>
          <w:szCs w:val="24"/>
        </w:rPr>
        <w:t>normalised</w:t>
      </w:r>
      <w:proofErr w:type="spellEnd"/>
      <w:r w:rsidRPr="00B7342D">
        <w:rPr>
          <w:rFonts w:ascii="Calibri" w:hAnsi="Calibri" w:cs="Calibri"/>
          <w:sz w:val="24"/>
          <w:szCs w:val="24"/>
        </w:rPr>
        <w:t xml:space="preserve"> income before taxes, constituting 24% of total revenue in 2023, provides insights into adjusted earnings excluding special items, offering a clearer depiction of the company's core operating performance.</w:t>
      </w:r>
    </w:p>
    <w:tbl>
      <w:tblPr>
        <w:tblStyle w:val="GridTable1Light-Accent5"/>
        <w:tblW w:w="5000" w:type="pct"/>
        <w:tblLook w:val="04A0" w:firstRow="1" w:lastRow="0" w:firstColumn="1" w:lastColumn="0" w:noHBand="0" w:noVBand="1"/>
      </w:tblPr>
      <w:tblGrid>
        <w:gridCol w:w="4126"/>
        <w:gridCol w:w="1306"/>
        <w:gridCol w:w="1306"/>
        <w:gridCol w:w="1306"/>
        <w:gridCol w:w="1306"/>
      </w:tblGrid>
      <w:tr w:rsidR="00923F6C" w:rsidRPr="007C2212" w14:paraId="268105BC" w14:textId="77777777" w:rsidTr="002B72E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auto"/>
            <w:noWrap/>
          </w:tcPr>
          <w:p w14:paraId="756528F9" w14:textId="77777777" w:rsidR="00923F6C" w:rsidRPr="0008280B" w:rsidRDefault="00923F6C" w:rsidP="002B72E8">
            <w:pPr>
              <w:spacing w:line="360" w:lineRule="auto"/>
              <w:jc w:val="center"/>
              <w:rPr>
                <w:rFonts w:ascii="Arial" w:eastAsia="Times New Roman" w:hAnsi="Arial" w:cs="Arial"/>
                <w:color w:val="000000"/>
                <w:kern w:val="0"/>
                <w:sz w:val="20"/>
                <w:szCs w:val="20"/>
                <w14:ligatures w14:val="none"/>
              </w:rPr>
            </w:pPr>
            <w:r w:rsidRPr="0008280B">
              <w:rPr>
                <w:rFonts w:ascii="Arial" w:eastAsia="Times New Roman" w:hAnsi="Arial" w:cs="Arial"/>
                <w:color w:val="000000"/>
                <w:kern w:val="0"/>
                <w:sz w:val="20"/>
                <w:szCs w:val="20"/>
                <w14:ligatures w14:val="none"/>
              </w:rPr>
              <w:lastRenderedPageBreak/>
              <w:t>BARRATT DEVELOPMENT PLC</w:t>
            </w:r>
          </w:p>
          <w:p w14:paraId="44E1D3A4" w14:textId="77777777" w:rsidR="00923F6C" w:rsidRPr="003A3601" w:rsidRDefault="00923F6C" w:rsidP="002B72E8">
            <w:pPr>
              <w:spacing w:line="360" w:lineRule="auto"/>
              <w:jc w:val="center"/>
              <w:rPr>
                <w:rFonts w:ascii="Arial" w:eastAsia="Times New Roman" w:hAnsi="Arial" w:cs="Arial"/>
                <w:color w:val="000000"/>
                <w:kern w:val="0"/>
                <w:sz w:val="20"/>
                <w:szCs w:val="20"/>
                <w14:ligatures w14:val="none"/>
              </w:rPr>
            </w:pPr>
            <w:r w:rsidRPr="003A3601">
              <w:rPr>
                <w:rFonts w:ascii="Arial" w:eastAsia="Times New Roman" w:hAnsi="Arial" w:cs="Arial"/>
                <w:color w:val="FF0000"/>
                <w:kern w:val="0"/>
                <w:sz w:val="20"/>
                <w:szCs w:val="20"/>
                <w14:ligatures w14:val="none"/>
              </w:rPr>
              <w:t>HORIZONTAL ANALYSIS</w:t>
            </w:r>
          </w:p>
        </w:tc>
      </w:tr>
      <w:tr w:rsidR="00923F6C" w:rsidRPr="007C2212" w14:paraId="72B8D86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EC5B7E4"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Fiscal data as of Jun 30 2023</w:t>
            </w:r>
          </w:p>
        </w:tc>
        <w:tc>
          <w:tcPr>
            <w:tcW w:w="699" w:type="pct"/>
            <w:noWrap/>
            <w:hideMark/>
          </w:tcPr>
          <w:p w14:paraId="422C815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C2212">
              <w:rPr>
                <w:rFonts w:ascii="Arial" w:eastAsia="Times New Roman" w:hAnsi="Arial" w:cs="Arial"/>
                <w:b/>
                <w:bCs/>
                <w:color w:val="000000"/>
                <w:kern w:val="0"/>
                <w:sz w:val="20"/>
                <w:szCs w:val="20"/>
                <w14:ligatures w14:val="none"/>
              </w:rPr>
              <w:t>2023-22 (%)</w:t>
            </w:r>
          </w:p>
        </w:tc>
        <w:tc>
          <w:tcPr>
            <w:tcW w:w="699" w:type="pct"/>
            <w:noWrap/>
            <w:hideMark/>
          </w:tcPr>
          <w:p w14:paraId="4069D1F3"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C2212">
              <w:rPr>
                <w:rFonts w:ascii="Arial" w:eastAsia="Times New Roman" w:hAnsi="Arial" w:cs="Arial"/>
                <w:b/>
                <w:bCs/>
                <w:color w:val="000000"/>
                <w:kern w:val="0"/>
                <w:sz w:val="20"/>
                <w:szCs w:val="20"/>
                <w14:ligatures w14:val="none"/>
              </w:rPr>
              <w:t>2022-21 (%)</w:t>
            </w:r>
          </w:p>
        </w:tc>
        <w:tc>
          <w:tcPr>
            <w:tcW w:w="699" w:type="pct"/>
            <w:noWrap/>
            <w:hideMark/>
          </w:tcPr>
          <w:p w14:paraId="36A822B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C2212">
              <w:rPr>
                <w:rFonts w:ascii="Arial" w:eastAsia="Times New Roman" w:hAnsi="Arial" w:cs="Arial"/>
                <w:b/>
                <w:bCs/>
                <w:color w:val="000000"/>
                <w:kern w:val="0"/>
                <w:sz w:val="20"/>
                <w:szCs w:val="20"/>
                <w14:ligatures w14:val="none"/>
              </w:rPr>
              <w:t>2021-20 (%)</w:t>
            </w:r>
          </w:p>
        </w:tc>
        <w:tc>
          <w:tcPr>
            <w:tcW w:w="699" w:type="pct"/>
            <w:noWrap/>
            <w:hideMark/>
          </w:tcPr>
          <w:p w14:paraId="6B49366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7C2212">
              <w:rPr>
                <w:rFonts w:ascii="Arial" w:eastAsia="Times New Roman" w:hAnsi="Arial" w:cs="Arial"/>
                <w:b/>
                <w:bCs/>
                <w:color w:val="000000"/>
                <w:kern w:val="0"/>
                <w:sz w:val="20"/>
                <w:szCs w:val="20"/>
                <w14:ligatures w14:val="none"/>
              </w:rPr>
              <w:t>2020-19 (%)</w:t>
            </w:r>
          </w:p>
        </w:tc>
      </w:tr>
      <w:tr w:rsidR="00923F6C" w:rsidRPr="007C2212" w14:paraId="760BB96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8537A5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ASSETS</w:t>
            </w:r>
          </w:p>
        </w:tc>
        <w:tc>
          <w:tcPr>
            <w:tcW w:w="699" w:type="pct"/>
            <w:noWrap/>
            <w:hideMark/>
          </w:tcPr>
          <w:p w14:paraId="7588D349"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1D1E9181"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38C0D09D"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580FED34"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7093F68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AD3C81B"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 xml:space="preserve">Cash And </w:t>
            </w:r>
            <w:r w:rsidRPr="00E807D6">
              <w:rPr>
                <w:rFonts w:ascii="Arial" w:eastAsia="Times New Roman" w:hAnsi="Arial" w:cs="Arial"/>
                <w:color w:val="000000"/>
                <w:kern w:val="0"/>
                <w:sz w:val="20"/>
                <w:szCs w:val="20"/>
                <w14:ligatures w14:val="none"/>
              </w:rPr>
              <w:t>Short-Term</w:t>
            </w:r>
            <w:r w:rsidRPr="007C2212">
              <w:rPr>
                <w:rFonts w:ascii="Arial" w:eastAsia="Times New Roman" w:hAnsi="Arial" w:cs="Arial"/>
                <w:color w:val="000000"/>
                <w:kern w:val="0"/>
                <w:sz w:val="20"/>
                <w:szCs w:val="20"/>
                <w14:ligatures w14:val="none"/>
              </w:rPr>
              <w:t xml:space="preserve"> Investments</w:t>
            </w:r>
          </w:p>
        </w:tc>
        <w:tc>
          <w:tcPr>
            <w:tcW w:w="699" w:type="pct"/>
            <w:noWrap/>
            <w:hideMark/>
          </w:tcPr>
          <w:p w14:paraId="69B0960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-6.21%</w:t>
            </w:r>
          </w:p>
        </w:tc>
        <w:tc>
          <w:tcPr>
            <w:tcW w:w="699" w:type="pct"/>
            <w:noWrap/>
            <w:hideMark/>
          </w:tcPr>
          <w:p w14:paraId="3678DC7E"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-10.93%</w:t>
            </w:r>
          </w:p>
        </w:tc>
        <w:tc>
          <w:tcPr>
            <w:tcW w:w="699" w:type="pct"/>
            <w:noWrap/>
            <w:hideMark/>
          </w:tcPr>
          <w:p w14:paraId="55AFA5F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145.00%</w:t>
            </w:r>
          </w:p>
        </w:tc>
        <w:tc>
          <w:tcPr>
            <w:tcW w:w="699" w:type="pct"/>
            <w:noWrap/>
            <w:hideMark/>
          </w:tcPr>
          <w:p w14:paraId="4E7EC68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-45.42%</w:t>
            </w:r>
          </w:p>
        </w:tc>
      </w:tr>
      <w:tr w:rsidR="00923F6C" w:rsidRPr="007C2212" w14:paraId="4816E58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77664534"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Receivables, Net</w:t>
            </w:r>
          </w:p>
        </w:tc>
        <w:tc>
          <w:tcPr>
            <w:tcW w:w="699" w:type="pct"/>
            <w:noWrap/>
            <w:hideMark/>
          </w:tcPr>
          <w:p w14:paraId="2979CEE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-13.22%</w:t>
            </w:r>
          </w:p>
        </w:tc>
        <w:tc>
          <w:tcPr>
            <w:tcW w:w="699" w:type="pct"/>
            <w:noWrap/>
            <w:hideMark/>
          </w:tcPr>
          <w:p w14:paraId="41036D3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37.58%</w:t>
            </w:r>
          </w:p>
        </w:tc>
        <w:tc>
          <w:tcPr>
            <w:tcW w:w="699" w:type="pct"/>
            <w:noWrap/>
            <w:hideMark/>
          </w:tcPr>
          <w:p w14:paraId="3B8226D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135.71%</w:t>
            </w:r>
          </w:p>
        </w:tc>
        <w:tc>
          <w:tcPr>
            <w:tcW w:w="699" w:type="pct"/>
            <w:noWrap/>
            <w:hideMark/>
          </w:tcPr>
          <w:p w14:paraId="0B188E4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-66.51%</w:t>
            </w:r>
          </w:p>
        </w:tc>
      </w:tr>
      <w:tr w:rsidR="00923F6C" w:rsidRPr="007C2212" w14:paraId="1257F41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1712F0F"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Inventory</w:t>
            </w:r>
          </w:p>
        </w:tc>
        <w:tc>
          <w:tcPr>
            <w:tcW w:w="699" w:type="pct"/>
            <w:noWrap/>
            <w:hideMark/>
          </w:tcPr>
          <w:p w14:paraId="5E272E4F"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-1.02%</w:t>
            </w:r>
          </w:p>
        </w:tc>
        <w:tc>
          <w:tcPr>
            <w:tcW w:w="699" w:type="pct"/>
            <w:noWrap/>
            <w:hideMark/>
          </w:tcPr>
          <w:p w14:paraId="2028811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13.90%</w:t>
            </w:r>
          </w:p>
        </w:tc>
        <w:tc>
          <w:tcPr>
            <w:tcW w:w="699" w:type="pct"/>
            <w:noWrap/>
            <w:hideMark/>
          </w:tcPr>
          <w:p w14:paraId="4CEC200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-7.60%</w:t>
            </w:r>
          </w:p>
        </w:tc>
        <w:tc>
          <w:tcPr>
            <w:tcW w:w="699" w:type="pct"/>
            <w:noWrap/>
            <w:hideMark/>
          </w:tcPr>
          <w:p w14:paraId="19955E8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4.23%</w:t>
            </w:r>
          </w:p>
        </w:tc>
      </w:tr>
      <w:tr w:rsidR="00923F6C" w:rsidRPr="007C2212" w14:paraId="7E19165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533B5BFC"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Prepaid expenses</w:t>
            </w:r>
          </w:p>
        </w:tc>
        <w:tc>
          <w:tcPr>
            <w:tcW w:w="699" w:type="pct"/>
            <w:noWrap/>
            <w:hideMark/>
          </w:tcPr>
          <w:p w14:paraId="2744BFA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-15.00%</w:t>
            </w:r>
          </w:p>
        </w:tc>
        <w:tc>
          <w:tcPr>
            <w:tcW w:w="699" w:type="pct"/>
            <w:noWrap/>
            <w:hideMark/>
          </w:tcPr>
          <w:p w14:paraId="1378E26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42.86%</w:t>
            </w:r>
          </w:p>
        </w:tc>
        <w:tc>
          <w:tcPr>
            <w:tcW w:w="699" w:type="pct"/>
            <w:noWrap/>
            <w:hideMark/>
          </w:tcPr>
          <w:p w14:paraId="1F924B8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-12.50%</w:t>
            </w:r>
          </w:p>
        </w:tc>
        <w:tc>
          <w:tcPr>
            <w:tcW w:w="699" w:type="pct"/>
            <w:noWrap/>
            <w:hideMark/>
          </w:tcPr>
          <w:p w14:paraId="4A6775A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r>
      <w:tr w:rsidR="00923F6C" w:rsidRPr="007C2212" w14:paraId="28652A6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237B6B9D"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Other current assets, total</w:t>
            </w:r>
          </w:p>
        </w:tc>
        <w:tc>
          <w:tcPr>
            <w:tcW w:w="699" w:type="pct"/>
            <w:noWrap/>
            <w:hideMark/>
          </w:tcPr>
          <w:p w14:paraId="50DC35AF"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2B0457A3"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60A2D29E"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6176DF66"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5153D4E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4C180C1A"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Total current assets</w:t>
            </w:r>
          </w:p>
        </w:tc>
        <w:tc>
          <w:tcPr>
            <w:tcW w:w="699" w:type="pct"/>
            <w:noWrap/>
            <w:hideMark/>
          </w:tcPr>
          <w:p w14:paraId="5195301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-2.48%</w:t>
            </w:r>
          </w:p>
        </w:tc>
        <w:tc>
          <w:tcPr>
            <w:tcW w:w="699" w:type="pct"/>
            <w:noWrap/>
            <w:hideMark/>
          </w:tcPr>
          <w:p w14:paraId="6363AD3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8.62%</w:t>
            </w:r>
          </w:p>
        </w:tc>
        <w:tc>
          <w:tcPr>
            <w:tcW w:w="699" w:type="pct"/>
            <w:noWrap/>
            <w:hideMark/>
          </w:tcPr>
          <w:p w14:paraId="01F9DBC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10.64%</w:t>
            </w:r>
          </w:p>
        </w:tc>
        <w:tc>
          <w:tcPr>
            <w:tcW w:w="699" w:type="pct"/>
            <w:noWrap/>
            <w:hideMark/>
          </w:tcPr>
          <w:p w14:paraId="6971E46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-7.29%</w:t>
            </w:r>
          </w:p>
        </w:tc>
      </w:tr>
      <w:tr w:rsidR="00923F6C" w:rsidRPr="007C2212" w14:paraId="226EAAC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81A929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Property, plant &amp; equipment, net</w:t>
            </w:r>
          </w:p>
        </w:tc>
        <w:tc>
          <w:tcPr>
            <w:tcW w:w="699" w:type="pct"/>
            <w:noWrap/>
            <w:hideMark/>
          </w:tcPr>
          <w:p w14:paraId="4E76259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33.77%</w:t>
            </w:r>
          </w:p>
        </w:tc>
        <w:tc>
          <w:tcPr>
            <w:tcW w:w="699" w:type="pct"/>
            <w:noWrap/>
            <w:hideMark/>
          </w:tcPr>
          <w:p w14:paraId="258DB674"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28.33%</w:t>
            </w:r>
          </w:p>
        </w:tc>
        <w:tc>
          <w:tcPr>
            <w:tcW w:w="699" w:type="pct"/>
            <w:noWrap/>
            <w:hideMark/>
          </w:tcPr>
          <w:p w14:paraId="489D3F6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-9.09%</w:t>
            </w:r>
          </w:p>
        </w:tc>
        <w:tc>
          <w:tcPr>
            <w:tcW w:w="699" w:type="pct"/>
            <w:noWrap/>
            <w:hideMark/>
          </w:tcPr>
          <w:p w14:paraId="539551C4"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288.24%</w:t>
            </w:r>
          </w:p>
        </w:tc>
      </w:tr>
      <w:tr w:rsidR="00923F6C" w:rsidRPr="007C2212" w14:paraId="415C790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0A99DD86"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Goodwill, net</w:t>
            </w:r>
          </w:p>
        </w:tc>
        <w:tc>
          <w:tcPr>
            <w:tcW w:w="699" w:type="pct"/>
            <w:noWrap/>
            <w:hideMark/>
          </w:tcPr>
          <w:p w14:paraId="4BD4199F"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22E7CE9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5.83%</w:t>
            </w:r>
          </w:p>
        </w:tc>
        <w:tc>
          <w:tcPr>
            <w:tcW w:w="699" w:type="pct"/>
            <w:noWrap/>
            <w:hideMark/>
          </w:tcPr>
          <w:p w14:paraId="31ED4AE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7760384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r>
      <w:tr w:rsidR="00923F6C" w:rsidRPr="007C2212" w14:paraId="4697FFD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39CBF77"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Intangibles, net</w:t>
            </w:r>
          </w:p>
        </w:tc>
        <w:tc>
          <w:tcPr>
            <w:tcW w:w="699" w:type="pct"/>
            <w:noWrap/>
            <w:hideMark/>
          </w:tcPr>
          <w:p w14:paraId="7F6A069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-4.88%</w:t>
            </w:r>
          </w:p>
        </w:tc>
        <w:tc>
          <w:tcPr>
            <w:tcW w:w="699" w:type="pct"/>
            <w:noWrap/>
            <w:hideMark/>
          </w:tcPr>
          <w:p w14:paraId="218C420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105.00%</w:t>
            </w:r>
          </w:p>
        </w:tc>
        <w:tc>
          <w:tcPr>
            <w:tcW w:w="699" w:type="pct"/>
            <w:noWrap/>
            <w:hideMark/>
          </w:tcPr>
          <w:p w14:paraId="1CCCBDD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-0.99%</w:t>
            </w:r>
          </w:p>
        </w:tc>
        <w:tc>
          <w:tcPr>
            <w:tcW w:w="699" w:type="pct"/>
            <w:noWrap/>
            <w:hideMark/>
          </w:tcPr>
          <w:p w14:paraId="759A96C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-0.98%</w:t>
            </w:r>
          </w:p>
        </w:tc>
      </w:tr>
      <w:tr w:rsidR="00923F6C" w:rsidRPr="007C2212" w14:paraId="48552AE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503E3B43"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Long term investments</w:t>
            </w:r>
          </w:p>
        </w:tc>
        <w:tc>
          <w:tcPr>
            <w:tcW w:w="699" w:type="pct"/>
            <w:noWrap/>
            <w:hideMark/>
          </w:tcPr>
          <w:p w14:paraId="7E744B9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-26.97%</w:t>
            </w:r>
          </w:p>
        </w:tc>
        <w:tc>
          <w:tcPr>
            <w:tcW w:w="699" w:type="pct"/>
            <w:noWrap/>
            <w:hideMark/>
          </w:tcPr>
          <w:p w14:paraId="4E858A7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9.20%</w:t>
            </w:r>
          </w:p>
        </w:tc>
        <w:tc>
          <w:tcPr>
            <w:tcW w:w="699" w:type="pct"/>
            <w:noWrap/>
            <w:hideMark/>
          </w:tcPr>
          <w:p w14:paraId="741D0B1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7.24%</w:t>
            </w:r>
          </w:p>
        </w:tc>
        <w:tc>
          <w:tcPr>
            <w:tcW w:w="699" w:type="pct"/>
            <w:noWrap/>
            <w:hideMark/>
          </w:tcPr>
          <w:p w14:paraId="194006E4"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-19.58%</w:t>
            </w:r>
          </w:p>
        </w:tc>
      </w:tr>
      <w:tr w:rsidR="00923F6C" w:rsidRPr="007C2212" w14:paraId="0BB8DB0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065AA93F"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Note receivable - long term</w:t>
            </w:r>
          </w:p>
        </w:tc>
        <w:tc>
          <w:tcPr>
            <w:tcW w:w="699" w:type="pct"/>
            <w:noWrap/>
            <w:hideMark/>
          </w:tcPr>
          <w:p w14:paraId="5F1B8F8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-55.38%</w:t>
            </w:r>
          </w:p>
        </w:tc>
        <w:tc>
          <w:tcPr>
            <w:tcW w:w="699" w:type="pct"/>
            <w:noWrap/>
            <w:hideMark/>
          </w:tcPr>
          <w:p w14:paraId="3F5D3BD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441.67%</w:t>
            </w:r>
          </w:p>
        </w:tc>
        <w:tc>
          <w:tcPr>
            <w:tcW w:w="699" w:type="pct"/>
            <w:noWrap/>
            <w:hideMark/>
          </w:tcPr>
          <w:p w14:paraId="76CDFAE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-47.83%</w:t>
            </w:r>
          </w:p>
        </w:tc>
        <w:tc>
          <w:tcPr>
            <w:tcW w:w="699" w:type="pct"/>
            <w:noWrap/>
            <w:hideMark/>
          </w:tcPr>
          <w:p w14:paraId="5720430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-20.69%</w:t>
            </w:r>
          </w:p>
        </w:tc>
      </w:tr>
      <w:tr w:rsidR="00923F6C" w:rsidRPr="007C2212" w14:paraId="1125EBC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4DB79A2C"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 xml:space="preserve">Other </w:t>
            </w:r>
            <w:r w:rsidRPr="00E807D6">
              <w:rPr>
                <w:rFonts w:ascii="Arial" w:eastAsia="Times New Roman" w:hAnsi="Arial" w:cs="Arial"/>
                <w:b w:val="0"/>
                <w:bCs w:val="0"/>
                <w:color w:val="000000"/>
                <w:kern w:val="0"/>
                <w:sz w:val="20"/>
                <w:szCs w:val="20"/>
                <w14:ligatures w14:val="none"/>
              </w:rPr>
              <w:t>long-term</w:t>
            </w:r>
            <w:r w:rsidRPr="007C2212">
              <w:rPr>
                <w:rFonts w:ascii="Arial" w:eastAsia="Times New Roman" w:hAnsi="Arial" w:cs="Arial"/>
                <w:b w:val="0"/>
                <w:bCs w:val="0"/>
                <w:color w:val="000000"/>
                <w:kern w:val="0"/>
                <w:sz w:val="20"/>
                <w:szCs w:val="20"/>
                <w14:ligatures w14:val="none"/>
              </w:rPr>
              <w:t xml:space="preserve"> assets</w:t>
            </w:r>
          </w:p>
        </w:tc>
        <w:tc>
          <w:tcPr>
            <w:tcW w:w="699" w:type="pct"/>
            <w:noWrap/>
            <w:hideMark/>
          </w:tcPr>
          <w:p w14:paraId="17A262C7"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4BB42922"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599AEA12"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2712A3E2"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2BC502F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76D3AAA7"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Total assets</w:t>
            </w:r>
          </w:p>
        </w:tc>
        <w:tc>
          <w:tcPr>
            <w:tcW w:w="699" w:type="pct"/>
            <w:noWrap/>
            <w:hideMark/>
          </w:tcPr>
          <w:p w14:paraId="3146B5B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-2.52%</w:t>
            </w:r>
          </w:p>
        </w:tc>
        <w:tc>
          <w:tcPr>
            <w:tcW w:w="699" w:type="pct"/>
            <w:noWrap/>
            <w:hideMark/>
          </w:tcPr>
          <w:p w14:paraId="00B505DF"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9.86%</w:t>
            </w:r>
          </w:p>
        </w:tc>
        <w:tc>
          <w:tcPr>
            <w:tcW w:w="699" w:type="pct"/>
            <w:noWrap/>
            <w:hideMark/>
          </w:tcPr>
          <w:p w14:paraId="3BAEE2D3"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8.89%</w:t>
            </w:r>
          </w:p>
        </w:tc>
        <w:tc>
          <w:tcPr>
            <w:tcW w:w="699" w:type="pct"/>
            <w:noWrap/>
            <w:hideMark/>
          </w:tcPr>
          <w:p w14:paraId="3F4095F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-6.80%</w:t>
            </w:r>
          </w:p>
        </w:tc>
      </w:tr>
      <w:tr w:rsidR="00923F6C" w:rsidRPr="007C2212" w14:paraId="70A8FDD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400F6AFD"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LIABILITIES</w:t>
            </w:r>
          </w:p>
        </w:tc>
        <w:tc>
          <w:tcPr>
            <w:tcW w:w="699" w:type="pct"/>
            <w:noWrap/>
            <w:hideMark/>
          </w:tcPr>
          <w:p w14:paraId="2A883AA9"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473F3B90"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5FDCD8CE"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36763A57"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364F606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E1ED99B"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Accounts payable</w:t>
            </w:r>
          </w:p>
        </w:tc>
        <w:tc>
          <w:tcPr>
            <w:tcW w:w="699" w:type="pct"/>
            <w:noWrap/>
            <w:hideMark/>
          </w:tcPr>
          <w:p w14:paraId="208EC14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-23.11%</w:t>
            </w:r>
          </w:p>
        </w:tc>
        <w:tc>
          <w:tcPr>
            <w:tcW w:w="699" w:type="pct"/>
            <w:noWrap/>
            <w:hideMark/>
          </w:tcPr>
          <w:p w14:paraId="1F99ED4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25.88%</w:t>
            </w:r>
          </w:p>
        </w:tc>
        <w:tc>
          <w:tcPr>
            <w:tcW w:w="699" w:type="pct"/>
            <w:noWrap/>
            <w:hideMark/>
          </w:tcPr>
          <w:p w14:paraId="6F309BE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-3.97%</w:t>
            </w:r>
          </w:p>
        </w:tc>
        <w:tc>
          <w:tcPr>
            <w:tcW w:w="699" w:type="pct"/>
            <w:noWrap/>
            <w:hideMark/>
          </w:tcPr>
          <w:p w14:paraId="36D8CD7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-26.80%</w:t>
            </w:r>
          </w:p>
        </w:tc>
      </w:tr>
      <w:tr w:rsidR="00923F6C" w:rsidRPr="007C2212" w14:paraId="006B062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E32AAF6"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Accrued expenses</w:t>
            </w:r>
          </w:p>
        </w:tc>
        <w:tc>
          <w:tcPr>
            <w:tcW w:w="699" w:type="pct"/>
            <w:noWrap/>
            <w:hideMark/>
          </w:tcPr>
          <w:p w14:paraId="18D55AC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-12.33%</w:t>
            </w:r>
          </w:p>
        </w:tc>
        <w:tc>
          <w:tcPr>
            <w:tcW w:w="699" w:type="pct"/>
            <w:noWrap/>
            <w:hideMark/>
          </w:tcPr>
          <w:p w14:paraId="4C08AC6E"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-23.70%</w:t>
            </w:r>
          </w:p>
        </w:tc>
        <w:tc>
          <w:tcPr>
            <w:tcW w:w="699" w:type="pct"/>
            <w:noWrap/>
            <w:hideMark/>
          </w:tcPr>
          <w:p w14:paraId="03CBE8E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25.53%</w:t>
            </w:r>
          </w:p>
        </w:tc>
        <w:tc>
          <w:tcPr>
            <w:tcW w:w="699" w:type="pct"/>
            <w:noWrap/>
            <w:hideMark/>
          </w:tcPr>
          <w:p w14:paraId="40B1CF5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-13.35%</w:t>
            </w:r>
          </w:p>
        </w:tc>
      </w:tr>
      <w:tr w:rsidR="00923F6C" w:rsidRPr="007C2212" w14:paraId="178BAF2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24D7FB0F"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Notes payable/short-term debt</w:t>
            </w:r>
          </w:p>
        </w:tc>
        <w:tc>
          <w:tcPr>
            <w:tcW w:w="699" w:type="pct"/>
            <w:noWrap/>
            <w:hideMark/>
          </w:tcPr>
          <w:p w14:paraId="0CC72FB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507E467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176280F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38FB30C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r>
      <w:tr w:rsidR="00923F6C" w:rsidRPr="007C2212" w14:paraId="01F7169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64CAD849"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Current portion long-term debt/capital leases</w:t>
            </w:r>
          </w:p>
        </w:tc>
        <w:tc>
          <w:tcPr>
            <w:tcW w:w="699" w:type="pct"/>
            <w:noWrap/>
            <w:hideMark/>
          </w:tcPr>
          <w:p w14:paraId="54D84B0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-39.29%</w:t>
            </w:r>
          </w:p>
        </w:tc>
        <w:tc>
          <w:tcPr>
            <w:tcW w:w="699" w:type="pct"/>
            <w:noWrap/>
            <w:hideMark/>
          </w:tcPr>
          <w:p w14:paraId="08C4061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75.00%</w:t>
            </w:r>
          </w:p>
        </w:tc>
        <w:tc>
          <w:tcPr>
            <w:tcW w:w="699" w:type="pct"/>
            <w:noWrap/>
            <w:hideMark/>
          </w:tcPr>
          <w:p w14:paraId="632A8E6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-87.60%</w:t>
            </w:r>
          </w:p>
        </w:tc>
        <w:tc>
          <w:tcPr>
            <w:tcW w:w="699" w:type="pct"/>
            <w:noWrap/>
            <w:hideMark/>
          </w:tcPr>
          <w:p w14:paraId="72A6BEE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-27.53%</w:t>
            </w:r>
          </w:p>
        </w:tc>
      </w:tr>
      <w:tr w:rsidR="00923F6C" w:rsidRPr="007C2212" w14:paraId="1E6EECA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7F2B456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Other current liabilities, total</w:t>
            </w:r>
          </w:p>
        </w:tc>
        <w:tc>
          <w:tcPr>
            <w:tcW w:w="699" w:type="pct"/>
            <w:noWrap/>
            <w:hideMark/>
          </w:tcPr>
          <w:p w14:paraId="3A12350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0.99%</w:t>
            </w:r>
          </w:p>
        </w:tc>
        <w:tc>
          <w:tcPr>
            <w:tcW w:w="699" w:type="pct"/>
            <w:noWrap/>
            <w:hideMark/>
          </w:tcPr>
          <w:p w14:paraId="6788DF0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81.98%</w:t>
            </w:r>
          </w:p>
        </w:tc>
        <w:tc>
          <w:tcPr>
            <w:tcW w:w="699" w:type="pct"/>
            <w:noWrap/>
            <w:hideMark/>
          </w:tcPr>
          <w:p w14:paraId="08DFE93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21.98%</w:t>
            </w:r>
          </w:p>
        </w:tc>
        <w:tc>
          <w:tcPr>
            <w:tcW w:w="699" w:type="pct"/>
            <w:noWrap/>
            <w:hideMark/>
          </w:tcPr>
          <w:p w14:paraId="1102407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-13.74%</w:t>
            </w:r>
          </w:p>
        </w:tc>
      </w:tr>
      <w:tr w:rsidR="00923F6C" w:rsidRPr="007C2212" w14:paraId="68C92C4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20793542"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current liabilities</w:t>
            </w:r>
          </w:p>
        </w:tc>
        <w:tc>
          <w:tcPr>
            <w:tcW w:w="699" w:type="pct"/>
            <w:noWrap/>
            <w:hideMark/>
          </w:tcPr>
          <w:p w14:paraId="64FCEB1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-14.87%</w:t>
            </w:r>
          </w:p>
        </w:tc>
        <w:tc>
          <w:tcPr>
            <w:tcW w:w="699" w:type="pct"/>
            <w:noWrap/>
            <w:hideMark/>
          </w:tcPr>
          <w:p w14:paraId="55D46B9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14.94%</w:t>
            </w:r>
          </w:p>
        </w:tc>
        <w:tc>
          <w:tcPr>
            <w:tcW w:w="699" w:type="pct"/>
            <w:noWrap/>
            <w:hideMark/>
          </w:tcPr>
          <w:p w14:paraId="513122B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1.36%</w:t>
            </w:r>
          </w:p>
        </w:tc>
        <w:tc>
          <w:tcPr>
            <w:tcW w:w="699" w:type="pct"/>
            <w:noWrap/>
            <w:hideMark/>
          </w:tcPr>
          <w:p w14:paraId="650E185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-21.39%</w:t>
            </w:r>
          </w:p>
        </w:tc>
      </w:tr>
      <w:tr w:rsidR="00923F6C" w:rsidRPr="007C2212" w14:paraId="5B9FC0F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08B49C1A"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 xml:space="preserve">Total </w:t>
            </w:r>
            <w:r w:rsidRPr="00E807D6">
              <w:rPr>
                <w:rFonts w:ascii="Arial" w:eastAsia="Times New Roman" w:hAnsi="Arial" w:cs="Arial"/>
                <w:b w:val="0"/>
                <w:bCs w:val="0"/>
                <w:color w:val="000000"/>
                <w:kern w:val="0"/>
                <w:sz w:val="20"/>
                <w:szCs w:val="20"/>
                <w14:ligatures w14:val="none"/>
              </w:rPr>
              <w:t>long-term</w:t>
            </w:r>
            <w:r w:rsidRPr="007C2212">
              <w:rPr>
                <w:rFonts w:ascii="Arial" w:eastAsia="Times New Roman" w:hAnsi="Arial" w:cs="Arial"/>
                <w:b w:val="0"/>
                <w:bCs w:val="0"/>
                <w:color w:val="000000"/>
                <w:kern w:val="0"/>
                <w:sz w:val="20"/>
                <w:szCs w:val="20"/>
                <w14:ligatures w14:val="none"/>
              </w:rPr>
              <w:t xml:space="preserve"> debt</w:t>
            </w:r>
          </w:p>
        </w:tc>
        <w:tc>
          <w:tcPr>
            <w:tcW w:w="699" w:type="pct"/>
            <w:noWrap/>
            <w:hideMark/>
          </w:tcPr>
          <w:p w14:paraId="13D5520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2.64%</w:t>
            </w:r>
          </w:p>
        </w:tc>
        <w:tc>
          <w:tcPr>
            <w:tcW w:w="699" w:type="pct"/>
            <w:noWrap/>
            <w:hideMark/>
          </w:tcPr>
          <w:p w14:paraId="79B8ECC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-1.30%</w:t>
            </w:r>
          </w:p>
        </w:tc>
        <w:tc>
          <w:tcPr>
            <w:tcW w:w="699" w:type="pct"/>
            <w:noWrap/>
            <w:hideMark/>
          </w:tcPr>
          <w:p w14:paraId="4660490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-2.54%</w:t>
            </w:r>
          </w:p>
        </w:tc>
        <w:tc>
          <w:tcPr>
            <w:tcW w:w="699" w:type="pct"/>
            <w:noWrap/>
            <w:hideMark/>
          </w:tcPr>
          <w:p w14:paraId="76DEC7B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18.00%</w:t>
            </w:r>
          </w:p>
        </w:tc>
      </w:tr>
      <w:tr w:rsidR="00923F6C" w:rsidRPr="007C2212" w14:paraId="6C8EF18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AB9D04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debt</w:t>
            </w:r>
          </w:p>
        </w:tc>
        <w:tc>
          <w:tcPr>
            <w:tcW w:w="699" w:type="pct"/>
            <w:noWrap/>
            <w:hideMark/>
          </w:tcPr>
          <w:p w14:paraId="65779E1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-1.57%</w:t>
            </w:r>
          </w:p>
        </w:tc>
        <w:tc>
          <w:tcPr>
            <w:tcW w:w="699" w:type="pct"/>
            <w:noWrap/>
            <w:hideMark/>
          </w:tcPr>
          <w:p w14:paraId="38F7B21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3.25%</w:t>
            </w:r>
          </w:p>
        </w:tc>
        <w:tc>
          <w:tcPr>
            <w:tcW w:w="699" w:type="pct"/>
            <w:noWrap/>
            <w:hideMark/>
          </w:tcPr>
          <w:p w14:paraId="1177F3E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-32.79%</w:t>
            </w:r>
          </w:p>
        </w:tc>
        <w:tc>
          <w:tcPr>
            <w:tcW w:w="699" w:type="pct"/>
            <w:noWrap/>
            <w:hideMark/>
          </w:tcPr>
          <w:p w14:paraId="41D391D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-3.17%</w:t>
            </w:r>
          </w:p>
        </w:tc>
      </w:tr>
      <w:tr w:rsidR="00923F6C" w:rsidRPr="007C2212" w14:paraId="5AF9CD8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42D4644B"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Deferred income tax</w:t>
            </w:r>
          </w:p>
        </w:tc>
        <w:tc>
          <w:tcPr>
            <w:tcW w:w="699" w:type="pct"/>
            <w:noWrap/>
            <w:hideMark/>
          </w:tcPr>
          <w:p w14:paraId="69185727"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20.00%</w:t>
            </w:r>
          </w:p>
        </w:tc>
        <w:tc>
          <w:tcPr>
            <w:tcW w:w="699" w:type="pct"/>
            <w:noWrap/>
            <w:hideMark/>
          </w:tcPr>
          <w:p w14:paraId="65D45F1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405.62%</w:t>
            </w:r>
          </w:p>
        </w:tc>
        <w:tc>
          <w:tcPr>
            <w:tcW w:w="699" w:type="pct"/>
            <w:noWrap/>
            <w:hideMark/>
          </w:tcPr>
          <w:p w14:paraId="1F4FD83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270.83%</w:t>
            </w:r>
          </w:p>
        </w:tc>
        <w:tc>
          <w:tcPr>
            <w:tcW w:w="699" w:type="pct"/>
            <w:noWrap/>
            <w:hideMark/>
          </w:tcPr>
          <w:p w14:paraId="55272D1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-86.67%</w:t>
            </w:r>
          </w:p>
        </w:tc>
      </w:tr>
      <w:tr w:rsidR="00923F6C" w:rsidRPr="007C2212" w14:paraId="39029D3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C4DBB42"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Minority interest</w:t>
            </w:r>
          </w:p>
        </w:tc>
        <w:tc>
          <w:tcPr>
            <w:tcW w:w="699" w:type="pct"/>
            <w:noWrap/>
            <w:hideMark/>
          </w:tcPr>
          <w:p w14:paraId="0D15B45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-37.50%</w:t>
            </w:r>
          </w:p>
        </w:tc>
        <w:tc>
          <w:tcPr>
            <w:tcW w:w="699" w:type="pct"/>
            <w:noWrap/>
            <w:hideMark/>
          </w:tcPr>
          <w:p w14:paraId="14B312A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-27.27%</w:t>
            </w:r>
          </w:p>
        </w:tc>
        <w:tc>
          <w:tcPr>
            <w:tcW w:w="699" w:type="pct"/>
            <w:noWrap/>
            <w:hideMark/>
          </w:tcPr>
          <w:p w14:paraId="34DFE70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-21.43%</w:t>
            </w:r>
          </w:p>
        </w:tc>
        <w:tc>
          <w:tcPr>
            <w:tcW w:w="699" w:type="pct"/>
            <w:noWrap/>
            <w:hideMark/>
          </w:tcPr>
          <w:p w14:paraId="0CAF37F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-79.71%</w:t>
            </w:r>
          </w:p>
        </w:tc>
      </w:tr>
      <w:tr w:rsidR="00923F6C" w:rsidRPr="007C2212" w14:paraId="20B8542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4569123"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Other liabilities, total</w:t>
            </w:r>
          </w:p>
        </w:tc>
        <w:tc>
          <w:tcPr>
            <w:tcW w:w="699" w:type="pct"/>
            <w:noWrap/>
            <w:hideMark/>
          </w:tcPr>
          <w:p w14:paraId="780AC81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11.17%</w:t>
            </w:r>
          </w:p>
        </w:tc>
        <w:tc>
          <w:tcPr>
            <w:tcW w:w="699" w:type="pct"/>
            <w:noWrap/>
            <w:hideMark/>
          </w:tcPr>
          <w:p w14:paraId="50AB65D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102.02%</w:t>
            </w:r>
          </w:p>
        </w:tc>
        <w:tc>
          <w:tcPr>
            <w:tcW w:w="699" w:type="pct"/>
            <w:noWrap/>
            <w:hideMark/>
          </w:tcPr>
          <w:p w14:paraId="5A6F8FA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-7.19%</w:t>
            </w:r>
          </w:p>
        </w:tc>
        <w:tc>
          <w:tcPr>
            <w:tcW w:w="699" w:type="pct"/>
            <w:noWrap/>
            <w:hideMark/>
          </w:tcPr>
          <w:p w14:paraId="04E6AE4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-22.71%</w:t>
            </w:r>
          </w:p>
        </w:tc>
      </w:tr>
      <w:tr w:rsidR="00923F6C" w:rsidRPr="007C2212" w14:paraId="55B6054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5A820449"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liabilities</w:t>
            </w:r>
          </w:p>
        </w:tc>
        <w:tc>
          <w:tcPr>
            <w:tcW w:w="699" w:type="pct"/>
            <w:noWrap/>
            <w:hideMark/>
          </w:tcPr>
          <w:p w14:paraId="48EB385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-6.67%</w:t>
            </w:r>
          </w:p>
        </w:tc>
        <w:tc>
          <w:tcPr>
            <w:tcW w:w="699" w:type="pct"/>
            <w:noWrap/>
            <w:hideMark/>
          </w:tcPr>
          <w:p w14:paraId="02DE2B7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27.53%</w:t>
            </w:r>
          </w:p>
        </w:tc>
        <w:tc>
          <w:tcPr>
            <w:tcW w:w="699" w:type="pct"/>
            <w:noWrap/>
            <w:hideMark/>
          </w:tcPr>
          <w:p w14:paraId="203557D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-0.10%</w:t>
            </w:r>
          </w:p>
        </w:tc>
        <w:tc>
          <w:tcPr>
            <w:tcW w:w="699" w:type="pct"/>
            <w:noWrap/>
            <w:hideMark/>
          </w:tcPr>
          <w:p w14:paraId="3978432E"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-19.10%</w:t>
            </w:r>
          </w:p>
        </w:tc>
      </w:tr>
      <w:tr w:rsidR="00923F6C" w:rsidRPr="007C2212" w14:paraId="240E3B8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42F5CFF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SHAREHOLDERS EQUITY</w:t>
            </w:r>
          </w:p>
        </w:tc>
        <w:tc>
          <w:tcPr>
            <w:tcW w:w="699" w:type="pct"/>
            <w:noWrap/>
            <w:hideMark/>
          </w:tcPr>
          <w:p w14:paraId="6B37CF4E"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5718D35A"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6E7112D0"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02EB9DB8"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64C184D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510EF09B"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Common stock</w:t>
            </w:r>
          </w:p>
        </w:tc>
        <w:tc>
          <w:tcPr>
            <w:tcW w:w="699" w:type="pct"/>
            <w:noWrap/>
            <w:hideMark/>
          </w:tcPr>
          <w:p w14:paraId="4531422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-4.90%</w:t>
            </w:r>
          </w:p>
        </w:tc>
        <w:tc>
          <w:tcPr>
            <w:tcW w:w="699" w:type="pct"/>
            <w:noWrap/>
            <w:hideMark/>
          </w:tcPr>
          <w:p w14:paraId="0DC29AF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7DBFF1A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47A6CADE"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r>
      <w:tr w:rsidR="00923F6C" w:rsidRPr="007C2212" w14:paraId="7E14BD5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6F11C594"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Additional paid-in capital</w:t>
            </w:r>
          </w:p>
        </w:tc>
        <w:tc>
          <w:tcPr>
            <w:tcW w:w="699" w:type="pct"/>
            <w:noWrap/>
            <w:hideMark/>
          </w:tcPr>
          <w:p w14:paraId="17D5B5AE"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0.40%</w:t>
            </w:r>
          </w:p>
        </w:tc>
        <w:tc>
          <w:tcPr>
            <w:tcW w:w="699" w:type="pct"/>
            <w:noWrap/>
            <w:hideMark/>
          </w:tcPr>
          <w:p w14:paraId="7CA791E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3.27%</w:t>
            </w:r>
          </w:p>
        </w:tc>
        <w:tc>
          <w:tcPr>
            <w:tcW w:w="699" w:type="pct"/>
            <w:noWrap/>
            <w:hideMark/>
          </w:tcPr>
          <w:p w14:paraId="43942B0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2643475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2.51%</w:t>
            </w:r>
          </w:p>
        </w:tc>
      </w:tr>
      <w:tr w:rsidR="00923F6C" w:rsidRPr="007C2212" w14:paraId="79DD37A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7CB12359"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Retained earnings (accumulated deficit)</w:t>
            </w:r>
          </w:p>
        </w:tc>
        <w:tc>
          <w:tcPr>
            <w:tcW w:w="699" w:type="pct"/>
            <w:noWrap/>
            <w:hideMark/>
          </w:tcPr>
          <w:p w14:paraId="32A5FEB3"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-0.64%</w:t>
            </w:r>
          </w:p>
        </w:tc>
        <w:tc>
          <w:tcPr>
            <w:tcW w:w="699" w:type="pct"/>
            <w:noWrap/>
            <w:hideMark/>
          </w:tcPr>
          <w:p w14:paraId="2528EC2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3.78%</w:t>
            </w:r>
          </w:p>
        </w:tc>
        <w:tc>
          <w:tcPr>
            <w:tcW w:w="699" w:type="pct"/>
            <w:noWrap/>
            <w:hideMark/>
          </w:tcPr>
          <w:p w14:paraId="2DF74BF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13.23%</w:t>
            </w:r>
          </w:p>
        </w:tc>
        <w:tc>
          <w:tcPr>
            <w:tcW w:w="699" w:type="pct"/>
            <w:noWrap/>
            <w:hideMark/>
          </w:tcPr>
          <w:p w14:paraId="0329E90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-0.53%</w:t>
            </w:r>
          </w:p>
        </w:tc>
      </w:tr>
      <w:tr w:rsidR="00923F6C" w:rsidRPr="007C2212" w14:paraId="7EF71E9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36AE30BC"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Treasury stock - common</w:t>
            </w:r>
          </w:p>
        </w:tc>
        <w:tc>
          <w:tcPr>
            <w:tcW w:w="699" w:type="pct"/>
            <w:noWrap/>
            <w:hideMark/>
          </w:tcPr>
          <w:p w14:paraId="539065F3"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-14.81%</w:t>
            </w:r>
          </w:p>
        </w:tc>
        <w:tc>
          <w:tcPr>
            <w:tcW w:w="699" w:type="pct"/>
            <w:noWrap/>
            <w:hideMark/>
          </w:tcPr>
          <w:p w14:paraId="65A40A5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474.47%</w:t>
            </w:r>
          </w:p>
        </w:tc>
        <w:tc>
          <w:tcPr>
            <w:tcW w:w="699" w:type="pct"/>
            <w:noWrap/>
            <w:hideMark/>
          </w:tcPr>
          <w:p w14:paraId="612CCCF8"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-76.50%</w:t>
            </w:r>
          </w:p>
        </w:tc>
        <w:tc>
          <w:tcPr>
            <w:tcW w:w="699" w:type="pct"/>
            <w:noWrap/>
            <w:hideMark/>
          </w:tcPr>
          <w:p w14:paraId="0EC0367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33.33%</w:t>
            </w:r>
          </w:p>
        </w:tc>
      </w:tr>
      <w:tr w:rsidR="00923F6C" w:rsidRPr="007C2212" w14:paraId="66BD8D9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695C939D"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Unrealized gain (loss)</w:t>
            </w:r>
          </w:p>
        </w:tc>
        <w:tc>
          <w:tcPr>
            <w:tcW w:w="699" w:type="pct"/>
            <w:noWrap/>
            <w:hideMark/>
          </w:tcPr>
          <w:p w14:paraId="1F97E074"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208A83A1"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7CE887E2"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7FB1E57B"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33CE32A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0EE38C5"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Other equity, total</w:t>
            </w:r>
          </w:p>
        </w:tc>
        <w:tc>
          <w:tcPr>
            <w:tcW w:w="699" w:type="pct"/>
            <w:noWrap/>
            <w:hideMark/>
          </w:tcPr>
          <w:p w14:paraId="1E049FA8"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326DAB73"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34573631"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99" w:type="pct"/>
            <w:noWrap/>
            <w:hideMark/>
          </w:tcPr>
          <w:p w14:paraId="10C6C05C" w14:textId="77777777" w:rsidR="00923F6C" w:rsidRPr="007C2212"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7C2212" w14:paraId="59D5059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087946F3" w14:textId="77777777" w:rsidR="00923F6C" w:rsidRPr="007C2212" w:rsidRDefault="00923F6C" w:rsidP="002B72E8">
            <w:pPr>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Total equity</w:t>
            </w:r>
          </w:p>
        </w:tc>
        <w:tc>
          <w:tcPr>
            <w:tcW w:w="699" w:type="pct"/>
            <w:noWrap/>
            <w:hideMark/>
          </w:tcPr>
          <w:p w14:paraId="2FA3807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-0.62%</w:t>
            </w:r>
          </w:p>
        </w:tc>
        <w:tc>
          <w:tcPr>
            <w:tcW w:w="699" w:type="pct"/>
            <w:noWrap/>
            <w:hideMark/>
          </w:tcPr>
          <w:p w14:paraId="2E833051"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3.30%</w:t>
            </w:r>
          </w:p>
        </w:tc>
        <w:tc>
          <w:tcPr>
            <w:tcW w:w="699" w:type="pct"/>
            <w:noWrap/>
            <w:hideMark/>
          </w:tcPr>
          <w:p w14:paraId="79E14EEA"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12.65%</w:t>
            </w:r>
          </w:p>
        </w:tc>
        <w:tc>
          <w:tcPr>
            <w:tcW w:w="699" w:type="pct"/>
            <w:noWrap/>
            <w:hideMark/>
          </w:tcPr>
          <w:p w14:paraId="539D6FC0"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-0.47%</w:t>
            </w:r>
          </w:p>
        </w:tc>
      </w:tr>
      <w:tr w:rsidR="00923F6C" w:rsidRPr="007C2212" w14:paraId="4E4FE42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5C457BAD"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liabilities &amp; shareholders' equity</w:t>
            </w:r>
          </w:p>
        </w:tc>
        <w:tc>
          <w:tcPr>
            <w:tcW w:w="699" w:type="pct"/>
            <w:noWrap/>
            <w:hideMark/>
          </w:tcPr>
          <w:p w14:paraId="70A690A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-2.52%</w:t>
            </w:r>
          </w:p>
        </w:tc>
        <w:tc>
          <w:tcPr>
            <w:tcW w:w="699" w:type="pct"/>
            <w:noWrap/>
            <w:hideMark/>
          </w:tcPr>
          <w:p w14:paraId="4108840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9.86%</w:t>
            </w:r>
          </w:p>
        </w:tc>
        <w:tc>
          <w:tcPr>
            <w:tcW w:w="699" w:type="pct"/>
            <w:noWrap/>
            <w:hideMark/>
          </w:tcPr>
          <w:p w14:paraId="7EBECCD9"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8.89%</w:t>
            </w:r>
          </w:p>
        </w:tc>
        <w:tc>
          <w:tcPr>
            <w:tcW w:w="699" w:type="pct"/>
            <w:noWrap/>
            <w:hideMark/>
          </w:tcPr>
          <w:p w14:paraId="78C590C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-6.80%</w:t>
            </w:r>
          </w:p>
        </w:tc>
      </w:tr>
      <w:tr w:rsidR="00923F6C" w:rsidRPr="007C2212" w14:paraId="529E590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69F09F7B"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Total common shares outstanding</w:t>
            </w:r>
          </w:p>
        </w:tc>
        <w:tc>
          <w:tcPr>
            <w:tcW w:w="699" w:type="pct"/>
            <w:noWrap/>
            <w:hideMark/>
          </w:tcPr>
          <w:p w14:paraId="4F23206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-4.69%</w:t>
            </w:r>
          </w:p>
        </w:tc>
        <w:tc>
          <w:tcPr>
            <w:tcW w:w="699" w:type="pct"/>
            <w:noWrap/>
            <w:hideMark/>
          </w:tcPr>
          <w:p w14:paraId="119FE146"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0.49%</w:t>
            </w:r>
          </w:p>
        </w:tc>
        <w:tc>
          <w:tcPr>
            <w:tcW w:w="699" w:type="pct"/>
            <w:noWrap/>
            <w:hideMark/>
          </w:tcPr>
          <w:p w14:paraId="3D91EE95"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0.00%</w:t>
            </w:r>
          </w:p>
        </w:tc>
        <w:tc>
          <w:tcPr>
            <w:tcW w:w="699" w:type="pct"/>
            <w:noWrap/>
            <w:hideMark/>
          </w:tcPr>
          <w:p w14:paraId="227A8DCB"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C2212">
              <w:rPr>
                <w:rFonts w:ascii="Arial" w:eastAsia="Times New Roman" w:hAnsi="Arial" w:cs="Arial"/>
                <w:color w:val="000000"/>
                <w:kern w:val="0"/>
                <w:sz w:val="20"/>
                <w:szCs w:val="20"/>
                <w14:ligatures w14:val="none"/>
              </w:rPr>
              <w:t>0.10%</w:t>
            </w:r>
          </w:p>
        </w:tc>
      </w:tr>
      <w:tr w:rsidR="00923F6C" w:rsidRPr="007C2212" w14:paraId="7079378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206" w:type="pct"/>
            <w:noWrap/>
            <w:hideMark/>
          </w:tcPr>
          <w:p w14:paraId="1FCAF2F5" w14:textId="77777777" w:rsidR="00923F6C" w:rsidRPr="007C2212" w:rsidRDefault="00923F6C" w:rsidP="002B72E8">
            <w:pPr>
              <w:rPr>
                <w:rFonts w:ascii="Arial" w:eastAsia="Times New Roman" w:hAnsi="Arial" w:cs="Arial"/>
                <w:b w:val="0"/>
                <w:bCs w:val="0"/>
                <w:color w:val="000000"/>
                <w:kern w:val="0"/>
                <w:sz w:val="20"/>
                <w:szCs w:val="20"/>
                <w14:ligatures w14:val="none"/>
              </w:rPr>
            </w:pPr>
            <w:r w:rsidRPr="007C2212">
              <w:rPr>
                <w:rFonts w:ascii="Arial" w:eastAsia="Times New Roman" w:hAnsi="Arial" w:cs="Arial"/>
                <w:b w:val="0"/>
                <w:bCs w:val="0"/>
                <w:color w:val="000000"/>
                <w:kern w:val="0"/>
                <w:sz w:val="20"/>
                <w:szCs w:val="20"/>
                <w14:ligatures w14:val="none"/>
              </w:rPr>
              <w:t>Treasury shares - common primary issue</w:t>
            </w:r>
          </w:p>
        </w:tc>
        <w:tc>
          <w:tcPr>
            <w:tcW w:w="699" w:type="pct"/>
            <w:noWrap/>
            <w:hideMark/>
          </w:tcPr>
          <w:p w14:paraId="47D7736D"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2F73EEF2"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0DA2854C"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99" w:type="pct"/>
            <w:noWrap/>
            <w:hideMark/>
          </w:tcPr>
          <w:p w14:paraId="2EE05DBF" w14:textId="77777777" w:rsidR="00923F6C" w:rsidRPr="007C2212"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r>
    </w:tbl>
    <w:p w14:paraId="75536F3C" w14:textId="77777777" w:rsidR="00923F6C" w:rsidRDefault="00923F6C" w:rsidP="00923F6C">
      <w:pPr>
        <w:spacing w:line="360" w:lineRule="auto"/>
        <w:jc w:val="both"/>
      </w:pPr>
    </w:p>
    <w:p w14:paraId="1CDF3820" w14:textId="77777777" w:rsidR="00923F6C" w:rsidRDefault="00923F6C" w:rsidP="00923F6C">
      <w:pPr>
        <w:spacing w:line="360" w:lineRule="auto"/>
        <w:jc w:val="both"/>
      </w:pPr>
    </w:p>
    <w:tbl>
      <w:tblPr>
        <w:tblStyle w:val="GridTable1Light-Accent5"/>
        <w:tblW w:w="5000" w:type="pct"/>
        <w:tblLook w:val="04A0" w:firstRow="1" w:lastRow="0" w:firstColumn="1" w:lastColumn="0" w:noHBand="0" w:noVBand="1"/>
      </w:tblPr>
      <w:tblGrid>
        <w:gridCol w:w="3931"/>
        <w:gridCol w:w="811"/>
        <w:gridCol w:w="273"/>
        <w:gridCol w:w="879"/>
        <w:gridCol w:w="189"/>
        <w:gridCol w:w="963"/>
        <w:gridCol w:w="106"/>
        <w:gridCol w:w="1046"/>
        <w:gridCol w:w="40"/>
        <w:gridCol w:w="1112"/>
      </w:tblGrid>
      <w:tr w:rsidR="00923F6C" w:rsidRPr="00AB2BBA" w14:paraId="2DEF00E0" w14:textId="77777777" w:rsidTr="002B72E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tcPr>
          <w:p w14:paraId="3A78E9AF" w14:textId="77777777" w:rsidR="00923F6C" w:rsidRPr="00E807D6" w:rsidRDefault="00923F6C" w:rsidP="002B72E8">
            <w:pPr>
              <w:rPr>
                <w:rFonts w:ascii="Arial" w:eastAsia="Times New Roman" w:hAnsi="Arial" w:cs="Arial"/>
                <w:b w:val="0"/>
                <w:bCs w:val="0"/>
                <w:color w:val="000000" w:themeColor="text1"/>
                <w:kern w:val="0"/>
                <w:sz w:val="20"/>
                <w:szCs w:val="20"/>
                <w14:ligatures w14:val="none"/>
              </w:rPr>
            </w:pPr>
            <w:r w:rsidRPr="00AB2BBA">
              <w:rPr>
                <w:rFonts w:ascii="Arial" w:eastAsia="Times New Roman" w:hAnsi="Arial" w:cs="Arial"/>
                <w:b w:val="0"/>
                <w:bCs w:val="0"/>
                <w:color w:val="000000" w:themeColor="text1"/>
                <w:kern w:val="0"/>
                <w:sz w:val="20"/>
                <w:szCs w:val="20"/>
                <w14:ligatures w14:val="none"/>
              </w:rPr>
              <w:lastRenderedPageBreak/>
              <w:t>Fiscal data as of Jun 30 2023</w:t>
            </w:r>
          </w:p>
        </w:tc>
        <w:tc>
          <w:tcPr>
            <w:tcW w:w="605" w:type="pct"/>
            <w:gridSpan w:val="2"/>
            <w:noWrap/>
          </w:tcPr>
          <w:p w14:paraId="4BA9B20B" w14:textId="77777777" w:rsidR="00923F6C" w:rsidRPr="000F3B27"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kern w:val="0"/>
                <w:sz w:val="20"/>
                <w:szCs w:val="20"/>
                <w14:ligatures w14:val="none"/>
              </w:rPr>
            </w:pPr>
            <w:r w:rsidRPr="00AB2BBA">
              <w:rPr>
                <w:rFonts w:ascii="Arial" w:eastAsia="Times New Roman" w:hAnsi="Arial" w:cs="Arial"/>
                <w:color w:val="000000" w:themeColor="text1"/>
                <w:kern w:val="0"/>
                <w:sz w:val="20"/>
                <w:szCs w:val="20"/>
                <w14:ligatures w14:val="none"/>
              </w:rPr>
              <w:t>2023-22 (%)</w:t>
            </w:r>
          </w:p>
        </w:tc>
        <w:tc>
          <w:tcPr>
            <w:tcW w:w="605" w:type="pct"/>
            <w:gridSpan w:val="2"/>
            <w:noWrap/>
          </w:tcPr>
          <w:p w14:paraId="4820372C" w14:textId="77777777" w:rsidR="00923F6C" w:rsidRPr="000F3B27"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kern w:val="0"/>
                <w:sz w:val="20"/>
                <w:szCs w:val="20"/>
                <w14:ligatures w14:val="none"/>
              </w:rPr>
            </w:pPr>
            <w:r w:rsidRPr="00AB2BBA">
              <w:rPr>
                <w:rFonts w:ascii="Arial" w:eastAsia="Times New Roman" w:hAnsi="Arial" w:cs="Arial"/>
                <w:color w:val="000000" w:themeColor="text1"/>
                <w:kern w:val="0"/>
                <w:sz w:val="20"/>
                <w:szCs w:val="20"/>
                <w14:ligatures w14:val="none"/>
              </w:rPr>
              <w:t>2022-21 (%)</w:t>
            </w:r>
          </w:p>
        </w:tc>
        <w:tc>
          <w:tcPr>
            <w:tcW w:w="605" w:type="pct"/>
            <w:gridSpan w:val="2"/>
            <w:noWrap/>
          </w:tcPr>
          <w:p w14:paraId="16F17166" w14:textId="77777777" w:rsidR="00923F6C" w:rsidRPr="000F3B27"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kern w:val="0"/>
                <w:sz w:val="20"/>
                <w:szCs w:val="20"/>
                <w14:ligatures w14:val="none"/>
              </w:rPr>
            </w:pPr>
            <w:r w:rsidRPr="00AB2BBA">
              <w:rPr>
                <w:rFonts w:ascii="Arial" w:eastAsia="Times New Roman" w:hAnsi="Arial" w:cs="Arial"/>
                <w:color w:val="000000" w:themeColor="text1"/>
                <w:kern w:val="0"/>
                <w:sz w:val="20"/>
                <w:szCs w:val="20"/>
                <w14:ligatures w14:val="none"/>
              </w:rPr>
              <w:t>2021-20 (%)</w:t>
            </w:r>
          </w:p>
        </w:tc>
        <w:tc>
          <w:tcPr>
            <w:tcW w:w="605" w:type="pct"/>
            <w:gridSpan w:val="2"/>
            <w:noWrap/>
          </w:tcPr>
          <w:p w14:paraId="4798046F" w14:textId="77777777" w:rsidR="00923F6C" w:rsidRPr="000F3B27"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kern w:val="0"/>
                <w:sz w:val="20"/>
                <w:szCs w:val="20"/>
                <w14:ligatures w14:val="none"/>
              </w:rPr>
            </w:pPr>
            <w:r w:rsidRPr="00AB2BBA">
              <w:rPr>
                <w:rFonts w:ascii="Arial" w:eastAsia="Times New Roman" w:hAnsi="Arial" w:cs="Arial"/>
                <w:color w:val="000000" w:themeColor="text1"/>
                <w:kern w:val="0"/>
                <w:sz w:val="20"/>
                <w:szCs w:val="20"/>
                <w14:ligatures w14:val="none"/>
              </w:rPr>
              <w:t>2020-19 (%)</w:t>
            </w:r>
          </w:p>
        </w:tc>
      </w:tr>
      <w:tr w:rsidR="00923F6C" w:rsidRPr="00AB2BBA" w14:paraId="402FFEC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5015017"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REVENUE AND GROSS PROFIT</w:t>
            </w:r>
          </w:p>
        </w:tc>
        <w:tc>
          <w:tcPr>
            <w:tcW w:w="605" w:type="pct"/>
            <w:gridSpan w:val="2"/>
            <w:noWrap/>
            <w:hideMark/>
          </w:tcPr>
          <w:p w14:paraId="5E6A5D77"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19099A3"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1362E247"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538F6C0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21DF917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0C4E78B5"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Total revenue</w:t>
            </w:r>
          </w:p>
        </w:tc>
        <w:tc>
          <w:tcPr>
            <w:tcW w:w="605" w:type="pct"/>
            <w:gridSpan w:val="2"/>
            <w:noWrap/>
            <w:hideMark/>
          </w:tcPr>
          <w:p w14:paraId="39796BC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1.01%</w:t>
            </w:r>
          </w:p>
        </w:tc>
        <w:tc>
          <w:tcPr>
            <w:tcW w:w="605" w:type="pct"/>
            <w:gridSpan w:val="2"/>
            <w:noWrap/>
            <w:hideMark/>
          </w:tcPr>
          <w:p w14:paraId="0227A73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9.48%</w:t>
            </w:r>
          </w:p>
        </w:tc>
        <w:tc>
          <w:tcPr>
            <w:tcW w:w="605" w:type="pct"/>
            <w:gridSpan w:val="2"/>
            <w:noWrap/>
            <w:hideMark/>
          </w:tcPr>
          <w:p w14:paraId="4646326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40.74%</w:t>
            </w:r>
          </w:p>
        </w:tc>
        <w:tc>
          <w:tcPr>
            <w:tcW w:w="605" w:type="pct"/>
            <w:gridSpan w:val="2"/>
            <w:noWrap/>
            <w:hideMark/>
          </w:tcPr>
          <w:p w14:paraId="0E099D2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-28.22%</w:t>
            </w:r>
          </w:p>
        </w:tc>
      </w:tr>
      <w:tr w:rsidR="00923F6C" w:rsidRPr="00AB2BBA" w14:paraId="348B258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8DBDB45"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OPERATING EXPENSES</w:t>
            </w:r>
          </w:p>
        </w:tc>
        <w:tc>
          <w:tcPr>
            <w:tcW w:w="605" w:type="pct"/>
            <w:gridSpan w:val="2"/>
            <w:noWrap/>
            <w:hideMark/>
          </w:tcPr>
          <w:p w14:paraId="4577AE8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1B6F16F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0FD08B6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E808C17"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49218F9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592A5C7E"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Cost of revenue total</w:t>
            </w:r>
          </w:p>
        </w:tc>
        <w:tc>
          <w:tcPr>
            <w:tcW w:w="605" w:type="pct"/>
            <w:gridSpan w:val="2"/>
            <w:noWrap/>
            <w:hideMark/>
          </w:tcPr>
          <w:p w14:paraId="492B221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5.83%</w:t>
            </w:r>
          </w:p>
        </w:tc>
        <w:tc>
          <w:tcPr>
            <w:tcW w:w="605" w:type="pct"/>
            <w:gridSpan w:val="2"/>
            <w:noWrap/>
            <w:hideMark/>
          </w:tcPr>
          <w:p w14:paraId="16C6CD4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5.80%</w:t>
            </w:r>
          </w:p>
        </w:tc>
        <w:tc>
          <w:tcPr>
            <w:tcW w:w="605" w:type="pct"/>
            <w:gridSpan w:val="2"/>
            <w:noWrap/>
            <w:hideMark/>
          </w:tcPr>
          <w:p w14:paraId="63BDF43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39.25%</w:t>
            </w:r>
          </w:p>
        </w:tc>
        <w:tc>
          <w:tcPr>
            <w:tcW w:w="605" w:type="pct"/>
            <w:gridSpan w:val="2"/>
            <w:noWrap/>
            <w:hideMark/>
          </w:tcPr>
          <w:p w14:paraId="094F7AA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-26.88%</w:t>
            </w:r>
          </w:p>
        </w:tc>
      </w:tr>
      <w:tr w:rsidR="00923F6C" w:rsidRPr="00AB2BBA" w14:paraId="1DE08A6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278D9647"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Selling, general and admin. expenses, total</w:t>
            </w:r>
          </w:p>
        </w:tc>
        <w:tc>
          <w:tcPr>
            <w:tcW w:w="605" w:type="pct"/>
            <w:gridSpan w:val="2"/>
            <w:noWrap/>
            <w:hideMark/>
          </w:tcPr>
          <w:p w14:paraId="7DCAEB2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5.86%</w:t>
            </w:r>
          </w:p>
        </w:tc>
        <w:tc>
          <w:tcPr>
            <w:tcW w:w="605" w:type="pct"/>
            <w:gridSpan w:val="2"/>
            <w:noWrap/>
            <w:hideMark/>
          </w:tcPr>
          <w:p w14:paraId="6CABE3F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23.08%</w:t>
            </w:r>
          </w:p>
        </w:tc>
        <w:tc>
          <w:tcPr>
            <w:tcW w:w="605" w:type="pct"/>
            <w:gridSpan w:val="2"/>
            <w:noWrap/>
            <w:hideMark/>
          </w:tcPr>
          <w:p w14:paraId="1955B947"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62.50%</w:t>
            </w:r>
          </w:p>
        </w:tc>
        <w:tc>
          <w:tcPr>
            <w:tcW w:w="605" w:type="pct"/>
            <w:gridSpan w:val="2"/>
            <w:noWrap/>
            <w:hideMark/>
          </w:tcPr>
          <w:p w14:paraId="08B188F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-39.91%</w:t>
            </w:r>
          </w:p>
        </w:tc>
      </w:tr>
      <w:tr w:rsidR="00923F6C" w:rsidRPr="00AB2BBA" w14:paraId="11DEAB5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A2B6CDC"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Depreciation/amortization</w:t>
            </w:r>
          </w:p>
        </w:tc>
        <w:tc>
          <w:tcPr>
            <w:tcW w:w="605" w:type="pct"/>
            <w:gridSpan w:val="2"/>
            <w:noWrap/>
            <w:hideMark/>
          </w:tcPr>
          <w:p w14:paraId="7EFC180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283291CC"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70FFD13"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7B6CA40E"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1F1AD35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266004FE"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Unusual expense(income)</w:t>
            </w:r>
          </w:p>
        </w:tc>
        <w:tc>
          <w:tcPr>
            <w:tcW w:w="605" w:type="pct"/>
            <w:gridSpan w:val="2"/>
            <w:noWrap/>
            <w:hideMark/>
          </w:tcPr>
          <w:p w14:paraId="4CAC5CB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-56.66%</w:t>
            </w:r>
          </w:p>
        </w:tc>
        <w:tc>
          <w:tcPr>
            <w:tcW w:w="605" w:type="pct"/>
            <w:gridSpan w:val="2"/>
            <w:noWrap/>
            <w:hideMark/>
          </w:tcPr>
          <w:p w14:paraId="0B6CB2A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637.50%</w:t>
            </w:r>
          </w:p>
        </w:tc>
        <w:tc>
          <w:tcPr>
            <w:tcW w:w="605" w:type="pct"/>
            <w:gridSpan w:val="2"/>
            <w:noWrap/>
            <w:hideMark/>
          </w:tcPr>
          <w:p w14:paraId="640EFEB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-50.88%</w:t>
            </w:r>
          </w:p>
        </w:tc>
        <w:tc>
          <w:tcPr>
            <w:tcW w:w="605" w:type="pct"/>
            <w:gridSpan w:val="2"/>
            <w:noWrap/>
            <w:hideMark/>
          </w:tcPr>
          <w:p w14:paraId="2E4EC65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2551.16%</w:t>
            </w:r>
          </w:p>
        </w:tc>
      </w:tr>
      <w:tr w:rsidR="00923F6C" w:rsidRPr="00AB2BBA" w14:paraId="2013D09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32B6AA1"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Other operating expenses, total</w:t>
            </w:r>
          </w:p>
        </w:tc>
        <w:tc>
          <w:tcPr>
            <w:tcW w:w="605" w:type="pct"/>
            <w:gridSpan w:val="2"/>
            <w:noWrap/>
            <w:hideMark/>
          </w:tcPr>
          <w:p w14:paraId="13A6862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6.45%</w:t>
            </w:r>
          </w:p>
        </w:tc>
        <w:tc>
          <w:tcPr>
            <w:tcW w:w="605" w:type="pct"/>
            <w:gridSpan w:val="2"/>
            <w:noWrap/>
            <w:hideMark/>
          </w:tcPr>
          <w:p w14:paraId="7675033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-43.64%</w:t>
            </w:r>
          </w:p>
        </w:tc>
        <w:tc>
          <w:tcPr>
            <w:tcW w:w="605" w:type="pct"/>
            <w:gridSpan w:val="2"/>
            <w:noWrap/>
            <w:hideMark/>
          </w:tcPr>
          <w:p w14:paraId="020A5E82"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52.78%</w:t>
            </w:r>
          </w:p>
        </w:tc>
        <w:tc>
          <w:tcPr>
            <w:tcW w:w="605" w:type="pct"/>
            <w:gridSpan w:val="2"/>
            <w:noWrap/>
            <w:hideMark/>
          </w:tcPr>
          <w:p w14:paraId="62D853C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-88.00%</w:t>
            </w:r>
          </w:p>
        </w:tc>
      </w:tr>
      <w:tr w:rsidR="00923F6C" w:rsidRPr="00AB2BBA" w14:paraId="33B8CD5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3371285"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Total operating expense</w:t>
            </w:r>
          </w:p>
        </w:tc>
        <w:tc>
          <w:tcPr>
            <w:tcW w:w="605" w:type="pct"/>
            <w:gridSpan w:val="2"/>
            <w:noWrap/>
            <w:hideMark/>
          </w:tcPr>
          <w:p w14:paraId="62CE38F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0.26%</w:t>
            </w:r>
          </w:p>
        </w:tc>
        <w:tc>
          <w:tcPr>
            <w:tcW w:w="605" w:type="pct"/>
            <w:gridSpan w:val="2"/>
            <w:noWrap/>
            <w:hideMark/>
          </w:tcPr>
          <w:p w14:paraId="1C6CC5A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15.65%</w:t>
            </w:r>
          </w:p>
        </w:tc>
        <w:tc>
          <w:tcPr>
            <w:tcW w:w="605" w:type="pct"/>
            <w:gridSpan w:val="2"/>
            <w:noWrap/>
            <w:hideMark/>
          </w:tcPr>
          <w:p w14:paraId="13E79B0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36.71%</w:t>
            </w:r>
          </w:p>
        </w:tc>
        <w:tc>
          <w:tcPr>
            <w:tcW w:w="605" w:type="pct"/>
            <w:gridSpan w:val="2"/>
            <w:noWrap/>
            <w:hideMark/>
          </w:tcPr>
          <w:p w14:paraId="3732D24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-24.28%</w:t>
            </w:r>
          </w:p>
        </w:tc>
      </w:tr>
      <w:tr w:rsidR="00923F6C" w:rsidRPr="00AB2BBA" w14:paraId="279A232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53AB9379"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Operating income</w:t>
            </w:r>
          </w:p>
        </w:tc>
        <w:tc>
          <w:tcPr>
            <w:tcW w:w="605" w:type="pct"/>
            <w:gridSpan w:val="2"/>
            <w:noWrap/>
            <w:hideMark/>
          </w:tcPr>
          <w:p w14:paraId="78455A4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6.54%</w:t>
            </w:r>
          </w:p>
        </w:tc>
        <w:tc>
          <w:tcPr>
            <w:tcW w:w="605" w:type="pct"/>
            <w:gridSpan w:val="2"/>
            <w:noWrap/>
            <w:hideMark/>
          </w:tcPr>
          <w:p w14:paraId="17A44C87"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-20.94%</w:t>
            </w:r>
          </w:p>
        </w:tc>
        <w:tc>
          <w:tcPr>
            <w:tcW w:w="605" w:type="pct"/>
            <w:gridSpan w:val="2"/>
            <w:noWrap/>
            <w:hideMark/>
          </w:tcPr>
          <w:p w14:paraId="1518938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64.71%</w:t>
            </w:r>
          </w:p>
        </w:tc>
        <w:tc>
          <w:tcPr>
            <w:tcW w:w="605" w:type="pct"/>
            <w:gridSpan w:val="2"/>
            <w:noWrap/>
            <w:hideMark/>
          </w:tcPr>
          <w:p w14:paraId="6ADFD27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-45.16%</w:t>
            </w:r>
          </w:p>
        </w:tc>
      </w:tr>
      <w:tr w:rsidR="00923F6C" w:rsidRPr="00AB2BBA" w14:paraId="5E8914B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5F44709A"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Other, net</w:t>
            </w:r>
          </w:p>
        </w:tc>
        <w:tc>
          <w:tcPr>
            <w:tcW w:w="605" w:type="pct"/>
            <w:gridSpan w:val="2"/>
            <w:noWrap/>
            <w:hideMark/>
          </w:tcPr>
          <w:p w14:paraId="5FA0BC6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21.05%</w:t>
            </w:r>
          </w:p>
        </w:tc>
        <w:tc>
          <w:tcPr>
            <w:tcW w:w="605" w:type="pct"/>
            <w:gridSpan w:val="2"/>
            <w:noWrap/>
            <w:hideMark/>
          </w:tcPr>
          <w:p w14:paraId="3469A4C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18.75%</w:t>
            </w:r>
          </w:p>
        </w:tc>
        <w:tc>
          <w:tcPr>
            <w:tcW w:w="605" w:type="pct"/>
            <w:gridSpan w:val="2"/>
            <w:noWrap/>
            <w:hideMark/>
          </w:tcPr>
          <w:p w14:paraId="53E401F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-23.81%</w:t>
            </w:r>
          </w:p>
        </w:tc>
        <w:tc>
          <w:tcPr>
            <w:tcW w:w="605" w:type="pct"/>
            <w:gridSpan w:val="2"/>
            <w:noWrap/>
            <w:hideMark/>
          </w:tcPr>
          <w:p w14:paraId="6D2C7B7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-4.55%</w:t>
            </w:r>
          </w:p>
        </w:tc>
      </w:tr>
      <w:tr w:rsidR="00923F6C" w:rsidRPr="00AB2BBA" w14:paraId="0AAB00C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BEC88D2"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INCOME TAXES, MINORITY INTEREST AND EXTRA ITEMS</w:t>
            </w:r>
          </w:p>
        </w:tc>
        <w:tc>
          <w:tcPr>
            <w:tcW w:w="605" w:type="pct"/>
            <w:gridSpan w:val="2"/>
            <w:noWrap/>
            <w:hideMark/>
          </w:tcPr>
          <w:p w14:paraId="4C49C00C"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4596B72"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57BBB26"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66C76643"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57B6391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5D4A272A"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Net income before taxes</w:t>
            </w:r>
          </w:p>
        </w:tc>
        <w:tc>
          <w:tcPr>
            <w:tcW w:w="605" w:type="pct"/>
            <w:gridSpan w:val="2"/>
            <w:noWrap/>
            <w:hideMark/>
          </w:tcPr>
          <w:p w14:paraId="00CD51A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9.81%</w:t>
            </w:r>
          </w:p>
        </w:tc>
        <w:tc>
          <w:tcPr>
            <w:tcW w:w="605" w:type="pct"/>
            <w:gridSpan w:val="2"/>
            <w:noWrap/>
            <w:hideMark/>
          </w:tcPr>
          <w:p w14:paraId="5FC2FE0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-20.94%</w:t>
            </w:r>
          </w:p>
        </w:tc>
        <w:tc>
          <w:tcPr>
            <w:tcW w:w="605" w:type="pct"/>
            <w:gridSpan w:val="2"/>
            <w:noWrap/>
            <w:hideMark/>
          </w:tcPr>
          <w:p w14:paraId="5698953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65.04%</w:t>
            </w:r>
          </w:p>
        </w:tc>
        <w:tc>
          <w:tcPr>
            <w:tcW w:w="605" w:type="pct"/>
            <w:gridSpan w:val="2"/>
            <w:noWrap/>
            <w:hideMark/>
          </w:tcPr>
          <w:p w14:paraId="36A0F3D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-45.93%</w:t>
            </w:r>
          </w:p>
        </w:tc>
      </w:tr>
      <w:tr w:rsidR="00923F6C" w:rsidRPr="00AB2BBA" w14:paraId="1550665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04B83E76"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Provision for income taxes</w:t>
            </w:r>
          </w:p>
        </w:tc>
        <w:tc>
          <w:tcPr>
            <w:tcW w:w="605" w:type="pct"/>
            <w:gridSpan w:val="2"/>
            <w:noWrap/>
            <w:hideMark/>
          </w:tcPr>
          <w:p w14:paraId="2B40DCF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37.80%</w:t>
            </w:r>
          </w:p>
        </w:tc>
        <w:tc>
          <w:tcPr>
            <w:tcW w:w="605" w:type="pct"/>
            <w:gridSpan w:val="2"/>
            <w:noWrap/>
            <w:hideMark/>
          </w:tcPr>
          <w:p w14:paraId="72695D4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-16.45%</w:t>
            </w:r>
          </w:p>
        </w:tc>
        <w:tc>
          <w:tcPr>
            <w:tcW w:w="605" w:type="pct"/>
            <w:gridSpan w:val="2"/>
            <w:noWrap/>
            <w:hideMark/>
          </w:tcPr>
          <w:p w14:paraId="4F2D129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70.79%</w:t>
            </w:r>
          </w:p>
        </w:tc>
        <w:tc>
          <w:tcPr>
            <w:tcW w:w="605" w:type="pct"/>
            <w:gridSpan w:val="2"/>
            <w:noWrap/>
            <w:hideMark/>
          </w:tcPr>
          <w:p w14:paraId="0F2EE69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-47.65%</w:t>
            </w:r>
          </w:p>
        </w:tc>
      </w:tr>
      <w:tr w:rsidR="00923F6C" w:rsidRPr="00AB2BBA" w14:paraId="17A0F2E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8725E96"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Net income after taxes</w:t>
            </w:r>
          </w:p>
        </w:tc>
        <w:tc>
          <w:tcPr>
            <w:tcW w:w="605" w:type="pct"/>
            <w:gridSpan w:val="2"/>
            <w:noWrap/>
            <w:hideMark/>
          </w:tcPr>
          <w:p w14:paraId="66A3719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2.91%</w:t>
            </w:r>
          </w:p>
        </w:tc>
        <w:tc>
          <w:tcPr>
            <w:tcW w:w="605" w:type="pct"/>
            <w:gridSpan w:val="2"/>
            <w:noWrap/>
            <w:hideMark/>
          </w:tcPr>
          <w:p w14:paraId="27488FA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-21.97%</w:t>
            </w:r>
          </w:p>
        </w:tc>
        <w:tc>
          <w:tcPr>
            <w:tcW w:w="605" w:type="pct"/>
            <w:gridSpan w:val="2"/>
            <w:noWrap/>
            <w:hideMark/>
          </w:tcPr>
          <w:p w14:paraId="25BCF56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63.77%</w:t>
            </w:r>
          </w:p>
        </w:tc>
        <w:tc>
          <w:tcPr>
            <w:tcW w:w="605" w:type="pct"/>
            <w:gridSpan w:val="2"/>
            <w:noWrap/>
            <w:hideMark/>
          </w:tcPr>
          <w:p w14:paraId="5D1F5F8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-45.47%</w:t>
            </w:r>
          </w:p>
        </w:tc>
      </w:tr>
      <w:tr w:rsidR="00923F6C" w:rsidRPr="00AB2BBA" w14:paraId="1DCF78F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4940DA5"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Minority interest</w:t>
            </w:r>
          </w:p>
        </w:tc>
        <w:tc>
          <w:tcPr>
            <w:tcW w:w="605" w:type="pct"/>
            <w:gridSpan w:val="2"/>
            <w:noWrap/>
            <w:hideMark/>
          </w:tcPr>
          <w:p w14:paraId="0EDC387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-100.00%</w:t>
            </w:r>
          </w:p>
        </w:tc>
        <w:tc>
          <w:tcPr>
            <w:tcW w:w="605" w:type="pct"/>
            <w:gridSpan w:val="2"/>
            <w:noWrap/>
            <w:hideMark/>
          </w:tcPr>
          <w:p w14:paraId="316F696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-66.67%</w:t>
            </w:r>
          </w:p>
        </w:tc>
        <w:tc>
          <w:tcPr>
            <w:tcW w:w="605" w:type="pct"/>
            <w:gridSpan w:val="2"/>
            <w:noWrap/>
            <w:hideMark/>
          </w:tcPr>
          <w:p w14:paraId="1A2A658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-90.00%</w:t>
            </w:r>
          </w:p>
        </w:tc>
        <w:tc>
          <w:tcPr>
            <w:tcW w:w="605" w:type="pct"/>
            <w:gridSpan w:val="2"/>
            <w:noWrap/>
            <w:hideMark/>
          </w:tcPr>
          <w:p w14:paraId="6786148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-600.00%</w:t>
            </w:r>
          </w:p>
        </w:tc>
      </w:tr>
      <w:tr w:rsidR="00923F6C" w:rsidRPr="00AB2BBA" w14:paraId="2145683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B611684"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Net income before extra. Items</w:t>
            </w:r>
          </w:p>
        </w:tc>
        <w:tc>
          <w:tcPr>
            <w:tcW w:w="605" w:type="pct"/>
            <w:gridSpan w:val="2"/>
            <w:noWrap/>
            <w:hideMark/>
          </w:tcPr>
          <w:p w14:paraId="16A99DE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2.91%</w:t>
            </w:r>
          </w:p>
        </w:tc>
        <w:tc>
          <w:tcPr>
            <w:tcW w:w="605" w:type="pct"/>
            <w:gridSpan w:val="2"/>
            <w:noWrap/>
            <w:hideMark/>
          </w:tcPr>
          <w:p w14:paraId="041C23A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-21.97%</w:t>
            </w:r>
          </w:p>
        </w:tc>
        <w:tc>
          <w:tcPr>
            <w:tcW w:w="605" w:type="pct"/>
            <w:gridSpan w:val="2"/>
            <w:noWrap/>
            <w:hideMark/>
          </w:tcPr>
          <w:p w14:paraId="46908AF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65.00%</w:t>
            </w:r>
          </w:p>
        </w:tc>
        <w:tc>
          <w:tcPr>
            <w:tcW w:w="605" w:type="pct"/>
            <w:gridSpan w:val="2"/>
            <w:noWrap/>
            <w:hideMark/>
          </w:tcPr>
          <w:p w14:paraId="32311D7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-45.95%</w:t>
            </w:r>
          </w:p>
        </w:tc>
      </w:tr>
      <w:tr w:rsidR="00923F6C" w:rsidRPr="00AB2BBA" w14:paraId="42AE3ED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7EBB6F46"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Total extraordinary items</w:t>
            </w:r>
          </w:p>
        </w:tc>
        <w:tc>
          <w:tcPr>
            <w:tcW w:w="605" w:type="pct"/>
            <w:gridSpan w:val="2"/>
            <w:noWrap/>
            <w:hideMark/>
          </w:tcPr>
          <w:p w14:paraId="77A8CF35"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22220AFC"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0F0C1A3A"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5E56CAC8"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0CA7EDF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1AD6BF6"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Net income</w:t>
            </w:r>
          </w:p>
        </w:tc>
        <w:tc>
          <w:tcPr>
            <w:tcW w:w="605" w:type="pct"/>
            <w:gridSpan w:val="2"/>
            <w:noWrap/>
            <w:hideMark/>
          </w:tcPr>
          <w:p w14:paraId="65139C8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2.91%</w:t>
            </w:r>
          </w:p>
        </w:tc>
        <w:tc>
          <w:tcPr>
            <w:tcW w:w="605" w:type="pct"/>
            <w:gridSpan w:val="2"/>
            <w:noWrap/>
            <w:hideMark/>
          </w:tcPr>
          <w:p w14:paraId="3C67B61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-21.97%</w:t>
            </w:r>
          </w:p>
        </w:tc>
        <w:tc>
          <w:tcPr>
            <w:tcW w:w="605" w:type="pct"/>
            <w:gridSpan w:val="2"/>
            <w:noWrap/>
            <w:hideMark/>
          </w:tcPr>
          <w:p w14:paraId="71C05C4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65.00%</w:t>
            </w:r>
          </w:p>
        </w:tc>
        <w:tc>
          <w:tcPr>
            <w:tcW w:w="605" w:type="pct"/>
            <w:gridSpan w:val="2"/>
            <w:noWrap/>
            <w:hideMark/>
          </w:tcPr>
          <w:p w14:paraId="7BA1E3A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-45.95%</w:t>
            </w:r>
          </w:p>
        </w:tc>
      </w:tr>
      <w:tr w:rsidR="00923F6C" w:rsidRPr="00AB2BBA" w14:paraId="20F7AD0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2160E44A"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Inc. Avail. to common excl. extra. Items</w:t>
            </w:r>
          </w:p>
        </w:tc>
        <w:tc>
          <w:tcPr>
            <w:tcW w:w="605" w:type="pct"/>
            <w:gridSpan w:val="2"/>
            <w:noWrap/>
            <w:hideMark/>
          </w:tcPr>
          <w:p w14:paraId="1D22B04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2.91%</w:t>
            </w:r>
          </w:p>
        </w:tc>
        <w:tc>
          <w:tcPr>
            <w:tcW w:w="605" w:type="pct"/>
            <w:gridSpan w:val="2"/>
            <w:noWrap/>
            <w:hideMark/>
          </w:tcPr>
          <w:p w14:paraId="56D1022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-21.97%</w:t>
            </w:r>
          </w:p>
        </w:tc>
        <w:tc>
          <w:tcPr>
            <w:tcW w:w="605" w:type="pct"/>
            <w:gridSpan w:val="2"/>
            <w:noWrap/>
            <w:hideMark/>
          </w:tcPr>
          <w:p w14:paraId="2B4DAAF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65.00%</w:t>
            </w:r>
          </w:p>
        </w:tc>
        <w:tc>
          <w:tcPr>
            <w:tcW w:w="605" w:type="pct"/>
            <w:gridSpan w:val="2"/>
            <w:noWrap/>
            <w:hideMark/>
          </w:tcPr>
          <w:p w14:paraId="5DA513D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-45.95%</w:t>
            </w:r>
          </w:p>
        </w:tc>
      </w:tr>
      <w:tr w:rsidR="00923F6C" w:rsidRPr="00AB2BBA" w14:paraId="0FB7AB0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58B496D1"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Inc.</w:t>
            </w:r>
            <w:r>
              <w:rPr>
                <w:rFonts w:ascii="Arial" w:eastAsia="Times New Roman" w:hAnsi="Arial" w:cs="Arial"/>
                <w:b w:val="0"/>
                <w:bCs w:val="0"/>
                <w:color w:val="000000"/>
                <w:kern w:val="0"/>
                <w:sz w:val="20"/>
                <w:szCs w:val="20"/>
                <w14:ligatures w14:val="none"/>
              </w:rPr>
              <w:t xml:space="preserve"> </w:t>
            </w:r>
            <w:r w:rsidRPr="00AB2BBA">
              <w:rPr>
                <w:rFonts w:ascii="Arial" w:eastAsia="Times New Roman" w:hAnsi="Arial" w:cs="Arial"/>
                <w:b w:val="0"/>
                <w:bCs w:val="0"/>
                <w:color w:val="000000"/>
                <w:kern w:val="0"/>
                <w:sz w:val="20"/>
                <w:szCs w:val="20"/>
                <w14:ligatures w14:val="none"/>
              </w:rPr>
              <w:t>avail. to common incl. extra. Items</w:t>
            </w:r>
          </w:p>
        </w:tc>
        <w:tc>
          <w:tcPr>
            <w:tcW w:w="605" w:type="pct"/>
            <w:gridSpan w:val="2"/>
            <w:noWrap/>
            <w:hideMark/>
          </w:tcPr>
          <w:p w14:paraId="230AA42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2.91%</w:t>
            </w:r>
          </w:p>
        </w:tc>
        <w:tc>
          <w:tcPr>
            <w:tcW w:w="605" w:type="pct"/>
            <w:gridSpan w:val="2"/>
            <w:noWrap/>
            <w:hideMark/>
          </w:tcPr>
          <w:p w14:paraId="6A47FF92"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-21.97%</w:t>
            </w:r>
          </w:p>
        </w:tc>
        <w:tc>
          <w:tcPr>
            <w:tcW w:w="605" w:type="pct"/>
            <w:gridSpan w:val="2"/>
            <w:noWrap/>
            <w:hideMark/>
          </w:tcPr>
          <w:p w14:paraId="672485F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65.00%</w:t>
            </w:r>
          </w:p>
        </w:tc>
        <w:tc>
          <w:tcPr>
            <w:tcW w:w="605" w:type="pct"/>
            <w:gridSpan w:val="2"/>
            <w:noWrap/>
            <w:hideMark/>
          </w:tcPr>
          <w:p w14:paraId="7F342D3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-45.95%</w:t>
            </w:r>
          </w:p>
        </w:tc>
      </w:tr>
      <w:tr w:rsidR="00923F6C" w:rsidRPr="00AB2BBA" w14:paraId="477CE4C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429757A"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EPS RECONCILIATION</w:t>
            </w:r>
          </w:p>
        </w:tc>
        <w:tc>
          <w:tcPr>
            <w:tcW w:w="605" w:type="pct"/>
            <w:gridSpan w:val="2"/>
            <w:noWrap/>
            <w:hideMark/>
          </w:tcPr>
          <w:p w14:paraId="158C90CE"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C9BED40"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14E995DB"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6026B1B9"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5D65F32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D6115E3"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Basic/primary weighted average shares</w:t>
            </w:r>
          </w:p>
        </w:tc>
        <w:tc>
          <w:tcPr>
            <w:tcW w:w="605" w:type="pct"/>
            <w:gridSpan w:val="2"/>
            <w:noWrap/>
            <w:hideMark/>
          </w:tcPr>
          <w:p w14:paraId="3091616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-1.86%</w:t>
            </w:r>
          </w:p>
        </w:tc>
        <w:tc>
          <w:tcPr>
            <w:tcW w:w="605" w:type="pct"/>
            <w:gridSpan w:val="2"/>
            <w:noWrap/>
            <w:hideMark/>
          </w:tcPr>
          <w:p w14:paraId="5452B89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0.30%</w:t>
            </w:r>
          </w:p>
        </w:tc>
        <w:tc>
          <w:tcPr>
            <w:tcW w:w="605" w:type="pct"/>
            <w:gridSpan w:val="2"/>
            <w:noWrap/>
            <w:hideMark/>
          </w:tcPr>
          <w:p w14:paraId="04810CB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0.20%</w:t>
            </w:r>
          </w:p>
        </w:tc>
        <w:tc>
          <w:tcPr>
            <w:tcW w:w="605" w:type="pct"/>
            <w:gridSpan w:val="2"/>
            <w:noWrap/>
            <w:hideMark/>
          </w:tcPr>
          <w:p w14:paraId="65D2A73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0.40%</w:t>
            </w:r>
          </w:p>
        </w:tc>
      </w:tr>
      <w:tr w:rsidR="00923F6C" w:rsidRPr="00AB2BBA" w14:paraId="236FD27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2B2DD08C"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Basic/primary eps excl. extra items</w:t>
            </w:r>
          </w:p>
        </w:tc>
        <w:tc>
          <w:tcPr>
            <w:tcW w:w="605" w:type="pct"/>
            <w:gridSpan w:val="2"/>
            <w:noWrap/>
            <w:hideMark/>
          </w:tcPr>
          <w:p w14:paraId="17A6593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3.92%</w:t>
            </w:r>
          </w:p>
        </w:tc>
        <w:tc>
          <w:tcPr>
            <w:tcW w:w="605" w:type="pct"/>
            <w:gridSpan w:val="2"/>
            <w:noWrap/>
            <w:hideMark/>
          </w:tcPr>
          <w:p w14:paraId="63BA2C7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-21.54%</w:t>
            </w:r>
          </w:p>
        </w:tc>
        <w:tc>
          <w:tcPr>
            <w:tcW w:w="605" w:type="pct"/>
            <w:gridSpan w:val="2"/>
            <w:noWrap/>
            <w:hideMark/>
          </w:tcPr>
          <w:p w14:paraId="78497B2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66.67%</w:t>
            </w:r>
          </w:p>
        </w:tc>
        <w:tc>
          <w:tcPr>
            <w:tcW w:w="605" w:type="pct"/>
            <w:gridSpan w:val="2"/>
            <w:noWrap/>
            <w:hideMark/>
          </w:tcPr>
          <w:p w14:paraId="36061C1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-46.58%</w:t>
            </w:r>
          </w:p>
        </w:tc>
      </w:tr>
      <w:tr w:rsidR="00923F6C" w:rsidRPr="00AB2BBA" w14:paraId="4FDCDBA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3E985E8"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Basic/primary eps incl. extra items</w:t>
            </w:r>
          </w:p>
        </w:tc>
        <w:tc>
          <w:tcPr>
            <w:tcW w:w="605" w:type="pct"/>
            <w:gridSpan w:val="2"/>
            <w:noWrap/>
            <w:hideMark/>
          </w:tcPr>
          <w:p w14:paraId="00C2DFF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3.92%</w:t>
            </w:r>
          </w:p>
        </w:tc>
        <w:tc>
          <w:tcPr>
            <w:tcW w:w="605" w:type="pct"/>
            <w:gridSpan w:val="2"/>
            <w:noWrap/>
            <w:hideMark/>
          </w:tcPr>
          <w:p w14:paraId="4F17A40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-21.54%</w:t>
            </w:r>
          </w:p>
        </w:tc>
        <w:tc>
          <w:tcPr>
            <w:tcW w:w="605" w:type="pct"/>
            <w:gridSpan w:val="2"/>
            <w:noWrap/>
            <w:hideMark/>
          </w:tcPr>
          <w:p w14:paraId="58FDA14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66.67%</w:t>
            </w:r>
          </w:p>
        </w:tc>
        <w:tc>
          <w:tcPr>
            <w:tcW w:w="605" w:type="pct"/>
            <w:gridSpan w:val="2"/>
            <w:noWrap/>
            <w:hideMark/>
          </w:tcPr>
          <w:p w14:paraId="1521E1B7"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-46.58%</w:t>
            </w:r>
          </w:p>
        </w:tc>
      </w:tr>
      <w:tr w:rsidR="00923F6C" w:rsidRPr="00AB2BBA" w14:paraId="46D3E98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6E496DF"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 xml:space="preserve">Dilution </w:t>
            </w:r>
            <w:r>
              <w:rPr>
                <w:rFonts w:ascii="Arial" w:eastAsia="Times New Roman" w:hAnsi="Arial" w:cs="Arial"/>
                <w:b w:val="0"/>
                <w:bCs w:val="0"/>
                <w:color w:val="000000"/>
                <w:kern w:val="0"/>
                <w:sz w:val="20"/>
                <w:szCs w:val="20"/>
                <w14:ligatures w14:val="none"/>
              </w:rPr>
              <w:t>Adjustment</w:t>
            </w:r>
          </w:p>
        </w:tc>
        <w:tc>
          <w:tcPr>
            <w:tcW w:w="605" w:type="pct"/>
            <w:gridSpan w:val="2"/>
            <w:noWrap/>
            <w:hideMark/>
          </w:tcPr>
          <w:p w14:paraId="6A7CE218"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53FAA0F0"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50FCF872"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13D3FE6A"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58D81FE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AB36CCF"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Diluted weighted average shares</w:t>
            </w:r>
          </w:p>
        </w:tc>
        <w:tc>
          <w:tcPr>
            <w:tcW w:w="605" w:type="pct"/>
            <w:gridSpan w:val="2"/>
            <w:noWrap/>
            <w:hideMark/>
          </w:tcPr>
          <w:p w14:paraId="60622FF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-2.42%</w:t>
            </w:r>
          </w:p>
        </w:tc>
        <w:tc>
          <w:tcPr>
            <w:tcW w:w="605" w:type="pct"/>
            <w:gridSpan w:val="2"/>
            <w:noWrap/>
            <w:hideMark/>
          </w:tcPr>
          <w:p w14:paraId="31D61C3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0.29%</w:t>
            </w:r>
          </w:p>
        </w:tc>
        <w:tc>
          <w:tcPr>
            <w:tcW w:w="605" w:type="pct"/>
            <w:gridSpan w:val="2"/>
            <w:noWrap/>
            <w:hideMark/>
          </w:tcPr>
          <w:p w14:paraId="7E05913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0.29%</w:t>
            </w:r>
          </w:p>
        </w:tc>
        <w:tc>
          <w:tcPr>
            <w:tcW w:w="605" w:type="pct"/>
            <w:gridSpan w:val="2"/>
            <w:noWrap/>
            <w:hideMark/>
          </w:tcPr>
          <w:p w14:paraId="36A0FB5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0.39%</w:t>
            </w:r>
          </w:p>
        </w:tc>
      </w:tr>
      <w:tr w:rsidR="00923F6C" w:rsidRPr="00AB2BBA" w14:paraId="6FD1F10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764C2007"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 xml:space="preserve">Diluted </w:t>
            </w:r>
            <w:r>
              <w:rPr>
                <w:rFonts w:ascii="Arial" w:eastAsia="Times New Roman" w:hAnsi="Arial" w:cs="Arial"/>
                <w:b w:val="0"/>
                <w:bCs w:val="0"/>
                <w:color w:val="000000"/>
                <w:kern w:val="0"/>
                <w:sz w:val="20"/>
                <w:szCs w:val="20"/>
                <w14:ligatures w14:val="none"/>
              </w:rPr>
              <w:t>EPS</w:t>
            </w:r>
            <w:r w:rsidRPr="00AB2BBA">
              <w:rPr>
                <w:rFonts w:ascii="Arial" w:eastAsia="Times New Roman" w:hAnsi="Arial" w:cs="Arial"/>
                <w:b w:val="0"/>
                <w:bCs w:val="0"/>
                <w:color w:val="000000"/>
                <w:kern w:val="0"/>
                <w:sz w:val="20"/>
                <w:szCs w:val="20"/>
                <w14:ligatures w14:val="none"/>
              </w:rPr>
              <w:t xml:space="preserve"> excl. extra items</w:t>
            </w:r>
          </w:p>
        </w:tc>
        <w:tc>
          <w:tcPr>
            <w:tcW w:w="605" w:type="pct"/>
            <w:gridSpan w:val="2"/>
            <w:noWrap/>
            <w:hideMark/>
          </w:tcPr>
          <w:p w14:paraId="6175A13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6.00%</w:t>
            </w:r>
          </w:p>
        </w:tc>
        <w:tc>
          <w:tcPr>
            <w:tcW w:w="605" w:type="pct"/>
            <w:gridSpan w:val="2"/>
            <w:noWrap/>
            <w:hideMark/>
          </w:tcPr>
          <w:p w14:paraId="78B6410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-21.88%</w:t>
            </w:r>
          </w:p>
        </w:tc>
        <w:tc>
          <w:tcPr>
            <w:tcW w:w="605" w:type="pct"/>
            <w:gridSpan w:val="2"/>
            <w:noWrap/>
            <w:hideMark/>
          </w:tcPr>
          <w:p w14:paraId="02EA5E8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64.10%</w:t>
            </w:r>
          </w:p>
        </w:tc>
        <w:tc>
          <w:tcPr>
            <w:tcW w:w="605" w:type="pct"/>
            <w:gridSpan w:val="2"/>
            <w:noWrap/>
            <w:hideMark/>
          </w:tcPr>
          <w:p w14:paraId="7439FDF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-45.83%</w:t>
            </w:r>
          </w:p>
        </w:tc>
      </w:tr>
      <w:tr w:rsidR="00923F6C" w:rsidRPr="00AB2BBA" w14:paraId="55A3465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417D4AF"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 xml:space="preserve">Diluted </w:t>
            </w:r>
            <w:r>
              <w:rPr>
                <w:rFonts w:ascii="Arial" w:eastAsia="Times New Roman" w:hAnsi="Arial" w:cs="Arial"/>
                <w:b w:val="0"/>
                <w:bCs w:val="0"/>
                <w:color w:val="000000"/>
                <w:kern w:val="0"/>
                <w:sz w:val="20"/>
                <w:szCs w:val="20"/>
                <w14:ligatures w14:val="none"/>
              </w:rPr>
              <w:t>EPS</w:t>
            </w:r>
            <w:r w:rsidRPr="00AB2BBA">
              <w:rPr>
                <w:rFonts w:ascii="Arial" w:eastAsia="Times New Roman" w:hAnsi="Arial" w:cs="Arial"/>
                <w:b w:val="0"/>
                <w:bCs w:val="0"/>
                <w:color w:val="000000"/>
                <w:kern w:val="0"/>
                <w:sz w:val="20"/>
                <w:szCs w:val="20"/>
                <w14:ligatures w14:val="none"/>
              </w:rPr>
              <w:t xml:space="preserve"> incl. extra items</w:t>
            </w:r>
          </w:p>
        </w:tc>
        <w:tc>
          <w:tcPr>
            <w:tcW w:w="605" w:type="pct"/>
            <w:gridSpan w:val="2"/>
            <w:noWrap/>
            <w:hideMark/>
          </w:tcPr>
          <w:p w14:paraId="01471A4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6.00%</w:t>
            </w:r>
          </w:p>
        </w:tc>
        <w:tc>
          <w:tcPr>
            <w:tcW w:w="605" w:type="pct"/>
            <w:gridSpan w:val="2"/>
            <w:noWrap/>
            <w:hideMark/>
          </w:tcPr>
          <w:p w14:paraId="1FC74A4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-21.88%</w:t>
            </w:r>
          </w:p>
        </w:tc>
        <w:tc>
          <w:tcPr>
            <w:tcW w:w="605" w:type="pct"/>
            <w:gridSpan w:val="2"/>
            <w:noWrap/>
            <w:hideMark/>
          </w:tcPr>
          <w:p w14:paraId="3B78E8F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64.10%</w:t>
            </w:r>
          </w:p>
        </w:tc>
        <w:tc>
          <w:tcPr>
            <w:tcW w:w="605" w:type="pct"/>
            <w:gridSpan w:val="2"/>
            <w:noWrap/>
            <w:hideMark/>
          </w:tcPr>
          <w:p w14:paraId="288D73E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-45.83%</w:t>
            </w:r>
          </w:p>
        </w:tc>
      </w:tr>
      <w:tr w:rsidR="00923F6C" w:rsidRPr="00AB2BBA" w14:paraId="55D2735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73CF76DC"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COMMON STOCK DIVIDENDS</w:t>
            </w:r>
          </w:p>
        </w:tc>
        <w:tc>
          <w:tcPr>
            <w:tcW w:w="605" w:type="pct"/>
            <w:gridSpan w:val="2"/>
            <w:noWrap/>
            <w:hideMark/>
          </w:tcPr>
          <w:p w14:paraId="790FD9A5"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701D755E"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52C7CAD"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06B7D77C"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6CF400E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059F6211"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DPS - common stock primary issue</w:t>
            </w:r>
          </w:p>
        </w:tc>
        <w:tc>
          <w:tcPr>
            <w:tcW w:w="605" w:type="pct"/>
            <w:gridSpan w:val="2"/>
            <w:noWrap/>
            <w:hideMark/>
          </w:tcPr>
          <w:p w14:paraId="4E81E60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-8.11%</w:t>
            </w:r>
          </w:p>
        </w:tc>
        <w:tc>
          <w:tcPr>
            <w:tcW w:w="605" w:type="pct"/>
            <w:gridSpan w:val="2"/>
            <w:noWrap/>
            <w:hideMark/>
          </w:tcPr>
          <w:p w14:paraId="6861F80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27.59%</w:t>
            </w:r>
          </w:p>
        </w:tc>
        <w:tc>
          <w:tcPr>
            <w:tcW w:w="605" w:type="pct"/>
            <w:gridSpan w:val="2"/>
            <w:noWrap/>
            <w:hideMark/>
          </w:tcPr>
          <w:p w14:paraId="1173FBF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05" w:type="pct"/>
            <w:gridSpan w:val="2"/>
            <w:noWrap/>
            <w:hideMark/>
          </w:tcPr>
          <w:p w14:paraId="2995A552"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-100.00%</w:t>
            </w:r>
          </w:p>
        </w:tc>
      </w:tr>
      <w:tr w:rsidR="00923F6C" w:rsidRPr="00AB2BBA" w14:paraId="38604AB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7D4382C"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Gross dividend - common stock</w:t>
            </w:r>
          </w:p>
        </w:tc>
        <w:tc>
          <w:tcPr>
            <w:tcW w:w="605" w:type="pct"/>
            <w:gridSpan w:val="2"/>
            <w:noWrap/>
            <w:hideMark/>
          </w:tcPr>
          <w:p w14:paraId="537BD31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-12.53%</w:t>
            </w:r>
          </w:p>
        </w:tc>
        <w:tc>
          <w:tcPr>
            <w:tcW w:w="605" w:type="pct"/>
            <w:gridSpan w:val="2"/>
            <w:noWrap/>
            <w:hideMark/>
          </w:tcPr>
          <w:p w14:paraId="505EE54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25.42%</w:t>
            </w:r>
          </w:p>
        </w:tc>
        <w:tc>
          <w:tcPr>
            <w:tcW w:w="605" w:type="pct"/>
            <w:gridSpan w:val="2"/>
            <w:noWrap/>
            <w:hideMark/>
          </w:tcPr>
          <w:p w14:paraId="638F14F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05" w:type="pct"/>
            <w:gridSpan w:val="2"/>
            <w:noWrap/>
            <w:hideMark/>
          </w:tcPr>
          <w:p w14:paraId="0324DDD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-100.00%</w:t>
            </w:r>
          </w:p>
        </w:tc>
      </w:tr>
      <w:tr w:rsidR="00923F6C" w:rsidRPr="00AB2BBA" w14:paraId="350B7E2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11F29BE"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PRO FORMA INCOME</w:t>
            </w:r>
          </w:p>
        </w:tc>
        <w:tc>
          <w:tcPr>
            <w:tcW w:w="605" w:type="pct"/>
            <w:gridSpan w:val="2"/>
            <w:noWrap/>
            <w:hideMark/>
          </w:tcPr>
          <w:p w14:paraId="03915803"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79EA1379"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23FA057D"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9B1620E"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06E3E6D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14F3EB40"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Pro forma net income</w:t>
            </w:r>
          </w:p>
        </w:tc>
        <w:tc>
          <w:tcPr>
            <w:tcW w:w="605" w:type="pct"/>
            <w:gridSpan w:val="2"/>
            <w:noWrap/>
            <w:hideMark/>
          </w:tcPr>
          <w:p w14:paraId="6C94AF7E"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1F1D6C49"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6CFFB92"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3F2DBB8"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28B5E9E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701C1E32"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Interest expense, supplemental</w:t>
            </w:r>
          </w:p>
        </w:tc>
        <w:tc>
          <w:tcPr>
            <w:tcW w:w="605" w:type="pct"/>
            <w:gridSpan w:val="2"/>
            <w:noWrap/>
            <w:hideMark/>
          </w:tcPr>
          <w:p w14:paraId="01BF5EA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10.00%</w:t>
            </w:r>
          </w:p>
        </w:tc>
        <w:tc>
          <w:tcPr>
            <w:tcW w:w="605" w:type="pct"/>
            <w:gridSpan w:val="2"/>
            <w:noWrap/>
            <w:hideMark/>
          </w:tcPr>
          <w:p w14:paraId="259FC5B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-9.09%</w:t>
            </w:r>
          </w:p>
        </w:tc>
        <w:tc>
          <w:tcPr>
            <w:tcW w:w="605" w:type="pct"/>
            <w:gridSpan w:val="2"/>
            <w:noWrap/>
            <w:hideMark/>
          </w:tcPr>
          <w:p w14:paraId="7D7130D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-8.33%</w:t>
            </w:r>
          </w:p>
        </w:tc>
        <w:tc>
          <w:tcPr>
            <w:tcW w:w="605" w:type="pct"/>
            <w:gridSpan w:val="2"/>
            <w:noWrap/>
            <w:hideMark/>
          </w:tcPr>
          <w:p w14:paraId="7A6C52E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23.71%</w:t>
            </w:r>
          </w:p>
        </w:tc>
      </w:tr>
      <w:tr w:rsidR="00923F6C" w:rsidRPr="00AB2BBA" w14:paraId="5708B1B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5DADF04"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SUPPLEMENTAL INCOME</w:t>
            </w:r>
          </w:p>
        </w:tc>
        <w:tc>
          <w:tcPr>
            <w:tcW w:w="605" w:type="pct"/>
            <w:gridSpan w:val="2"/>
            <w:noWrap/>
            <w:hideMark/>
          </w:tcPr>
          <w:p w14:paraId="18AA7AB7"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5F328549"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30303450"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44539F07"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2B3A43B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0395F7EC" w14:textId="77777777" w:rsidR="00923F6C" w:rsidRPr="00AB2BBA" w:rsidRDefault="00923F6C" w:rsidP="002B72E8">
            <w:pPr>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Depreciation, supplemental</w:t>
            </w:r>
          </w:p>
        </w:tc>
        <w:tc>
          <w:tcPr>
            <w:tcW w:w="605" w:type="pct"/>
            <w:gridSpan w:val="2"/>
            <w:noWrap/>
            <w:hideMark/>
          </w:tcPr>
          <w:p w14:paraId="2B54CEA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-5.26%</w:t>
            </w:r>
          </w:p>
        </w:tc>
        <w:tc>
          <w:tcPr>
            <w:tcW w:w="605" w:type="pct"/>
            <w:gridSpan w:val="2"/>
            <w:noWrap/>
            <w:hideMark/>
          </w:tcPr>
          <w:p w14:paraId="6F89E10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-5.00%</w:t>
            </w:r>
          </w:p>
        </w:tc>
        <w:tc>
          <w:tcPr>
            <w:tcW w:w="605" w:type="pct"/>
            <w:gridSpan w:val="2"/>
            <w:noWrap/>
            <w:hideMark/>
          </w:tcPr>
          <w:p w14:paraId="178A67A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5.26%</w:t>
            </w:r>
          </w:p>
        </w:tc>
        <w:tc>
          <w:tcPr>
            <w:tcW w:w="605" w:type="pct"/>
            <w:gridSpan w:val="2"/>
            <w:noWrap/>
            <w:hideMark/>
          </w:tcPr>
          <w:p w14:paraId="33B7BF7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341.86%</w:t>
            </w:r>
          </w:p>
        </w:tc>
      </w:tr>
      <w:tr w:rsidR="00923F6C" w:rsidRPr="00AB2BBA" w14:paraId="1E10221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75441EB0"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Total special items</w:t>
            </w:r>
          </w:p>
        </w:tc>
        <w:tc>
          <w:tcPr>
            <w:tcW w:w="605" w:type="pct"/>
            <w:gridSpan w:val="2"/>
            <w:noWrap/>
            <w:hideMark/>
          </w:tcPr>
          <w:p w14:paraId="515A3F0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-56.66%</w:t>
            </w:r>
          </w:p>
        </w:tc>
        <w:tc>
          <w:tcPr>
            <w:tcW w:w="605" w:type="pct"/>
            <w:gridSpan w:val="2"/>
            <w:noWrap/>
            <w:hideMark/>
          </w:tcPr>
          <w:p w14:paraId="0E30910A"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637.50%</w:t>
            </w:r>
          </w:p>
        </w:tc>
        <w:tc>
          <w:tcPr>
            <w:tcW w:w="605" w:type="pct"/>
            <w:gridSpan w:val="2"/>
            <w:noWrap/>
            <w:hideMark/>
          </w:tcPr>
          <w:p w14:paraId="7838E78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-50.88%</w:t>
            </w:r>
          </w:p>
        </w:tc>
        <w:tc>
          <w:tcPr>
            <w:tcW w:w="605" w:type="pct"/>
            <w:gridSpan w:val="2"/>
            <w:noWrap/>
            <w:hideMark/>
          </w:tcPr>
          <w:p w14:paraId="3A16F70B"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2551.16%</w:t>
            </w:r>
          </w:p>
        </w:tc>
      </w:tr>
      <w:tr w:rsidR="00923F6C" w:rsidRPr="00AB2BBA" w14:paraId="3EF1447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BF96017"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NORMALISED INCOME</w:t>
            </w:r>
          </w:p>
        </w:tc>
        <w:tc>
          <w:tcPr>
            <w:tcW w:w="605" w:type="pct"/>
            <w:gridSpan w:val="2"/>
            <w:noWrap/>
            <w:hideMark/>
          </w:tcPr>
          <w:p w14:paraId="58E83CFA"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60782EF1"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7DADB182"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05" w:type="pct"/>
            <w:gridSpan w:val="2"/>
            <w:noWrap/>
            <w:hideMark/>
          </w:tcPr>
          <w:p w14:paraId="0B7FBFE4" w14:textId="77777777" w:rsidR="00923F6C" w:rsidRPr="00AB2BB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AB2BBA" w14:paraId="1D5F4F5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8DBD993" w14:textId="77777777" w:rsidR="00923F6C" w:rsidRPr="00AB2BBA" w:rsidRDefault="00923F6C" w:rsidP="002B72E8">
            <w:pPr>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Normalized</w:t>
            </w:r>
            <w:r w:rsidRPr="00AB2BBA">
              <w:rPr>
                <w:rFonts w:ascii="Arial" w:eastAsia="Times New Roman" w:hAnsi="Arial" w:cs="Arial"/>
                <w:color w:val="000000"/>
                <w:kern w:val="0"/>
                <w:sz w:val="20"/>
                <w:szCs w:val="20"/>
                <w14:ligatures w14:val="none"/>
              </w:rPr>
              <w:t xml:space="preserve"> income before taxes</w:t>
            </w:r>
          </w:p>
        </w:tc>
        <w:tc>
          <w:tcPr>
            <w:tcW w:w="605" w:type="pct"/>
            <w:gridSpan w:val="2"/>
            <w:noWrap/>
            <w:hideMark/>
          </w:tcPr>
          <w:p w14:paraId="3536C88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-16.21%</w:t>
            </w:r>
          </w:p>
        </w:tc>
        <w:tc>
          <w:tcPr>
            <w:tcW w:w="605" w:type="pct"/>
            <w:gridSpan w:val="2"/>
            <w:noWrap/>
            <w:hideMark/>
          </w:tcPr>
          <w:p w14:paraId="11B79AA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21.54%</w:t>
            </w:r>
          </w:p>
        </w:tc>
        <w:tc>
          <w:tcPr>
            <w:tcW w:w="605" w:type="pct"/>
            <w:gridSpan w:val="2"/>
            <w:noWrap/>
            <w:hideMark/>
          </w:tcPr>
          <w:p w14:paraId="4BB456E0"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43.47%</w:t>
            </w:r>
          </w:p>
        </w:tc>
        <w:tc>
          <w:tcPr>
            <w:tcW w:w="605" w:type="pct"/>
            <w:gridSpan w:val="2"/>
            <w:noWrap/>
            <w:hideMark/>
          </w:tcPr>
          <w:p w14:paraId="6075AC4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-33.81%</w:t>
            </w:r>
          </w:p>
        </w:tc>
      </w:tr>
      <w:tr w:rsidR="00923F6C" w:rsidRPr="00AB2BBA" w14:paraId="061E09F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6C73F992"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Effect of special items on income taxes</w:t>
            </w:r>
          </w:p>
        </w:tc>
        <w:tc>
          <w:tcPr>
            <w:tcW w:w="605" w:type="pct"/>
            <w:gridSpan w:val="2"/>
            <w:noWrap/>
            <w:hideMark/>
          </w:tcPr>
          <w:p w14:paraId="383A59FD"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-46.34%</w:t>
            </w:r>
          </w:p>
        </w:tc>
        <w:tc>
          <w:tcPr>
            <w:tcW w:w="605" w:type="pct"/>
            <w:gridSpan w:val="2"/>
            <w:noWrap/>
            <w:hideMark/>
          </w:tcPr>
          <w:p w14:paraId="319B13C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720.00%</w:t>
            </w:r>
          </w:p>
        </w:tc>
        <w:tc>
          <w:tcPr>
            <w:tcW w:w="605" w:type="pct"/>
            <w:gridSpan w:val="2"/>
            <w:noWrap/>
            <w:hideMark/>
          </w:tcPr>
          <w:p w14:paraId="255397F6"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-52.38%</w:t>
            </w:r>
          </w:p>
        </w:tc>
        <w:tc>
          <w:tcPr>
            <w:tcW w:w="605" w:type="pct"/>
            <w:gridSpan w:val="2"/>
            <w:noWrap/>
            <w:hideMark/>
          </w:tcPr>
          <w:p w14:paraId="12F96ED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2492.59%</w:t>
            </w:r>
          </w:p>
        </w:tc>
      </w:tr>
      <w:tr w:rsidR="00923F6C" w:rsidRPr="00AB2BBA" w14:paraId="1F20B30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9713D18"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Income tax excluding impact of special items</w:t>
            </w:r>
          </w:p>
        </w:tc>
        <w:tc>
          <w:tcPr>
            <w:tcW w:w="605" w:type="pct"/>
            <w:gridSpan w:val="2"/>
            <w:noWrap/>
            <w:hideMark/>
          </w:tcPr>
          <w:p w14:paraId="18419EE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4.78%</w:t>
            </w:r>
          </w:p>
        </w:tc>
        <w:tc>
          <w:tcPr>
            <w:tcW w:w="605" w:type="pct"/>
            <w:gridSpan w:val="2"/>
            <w:noWrap/>
            <w:hideMark/>
          </w:tcPr>
          <w:p w14:paraId="287AE8CE"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29.01%</w:t>
            </w:r>
          </w:p>
        </w:tc>
        <w:tc>
          <w:tcPr>
            <w:tcW w:w="605" w:type="pct"/>
            <w:gridSpan w:val="2"/>
            <w:noWrap/>
            <w:hideMark/>
          </w:tcPr>
          <w:p w14:paraId="0E41E03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47.27%</w:t>
            </w:r>
          </w:p>
        </w:tc>
        <w:tc>
          <w:tcPr>
            <w:tcW w:w="605" w:type="pct"/>
            <w:gridSpan w:val="2"/>
            <w:noWrap/>
            <w:hideMark/>
          </w:tcPr>
          <w:p w14:paraId="1044168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-35.67%</w:t>
            </w:r>
          </w:p>
        </w:tc>
      </w:tr>
      <w:tr w:rsidR="00923F6C" w:rsidRPr="00AB2BBA" w14:paraId="10237AC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4481BF2E"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Normalized income after tax</w:t>
            </w:r>
          </w:p>
        </w:tc>
        <w:tc>
          <w:tcPr>
            <w:tcW w:w="605" w:type="pct"/>
            <w:gridSpan w:val="2"/>
            <w:noWrap/>
            <w:hideMark/>
          </w:tcPr>
          <w:p w14:paraId="4090302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-21.39%</w:t>
            </w:r>
          </w:p>
        </w:tc>
        <w:tc>
          <w:tcPr>
            <w:tcW w:w="605" w:type="pct"/>
            <w:gridSpan w:val="2"/>
            <w:noWrap/>
            <w:hideMark/>
          </w:tcPr>
          <w:p w14:paraId="769476AC"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20.00%</w:t>
            </w:r>
          </w:p>
        </w:tc>
        <w:tc>
          <w:tcPr>
            <w:tcW w:w="605" w:type="pct"/>
            <w:gridSpan w:val="2"/>
            <w:noWrap/>
            <w:hideMark/>
          </w:tcPr>
          <w:p w14:paraId="3899A64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42.14%</w:t>
            </w:r>
          </w:p>
        </w:tc>
        <w:tc>
          <w:tcPr>
            <w:tcW w:w="605" w:type="pct"/>
            <w:gridSpan w:val="2"/>
            <w:noWrap/>
            <w:hideMark/>
          </w:tcPr>
          <w:p w14:paraId="798C22E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-33.24%</w:t>
            </w:r>
          </w:p>
        </w:tc>
      </w:tr>
      <w:tr w:rsidR="00923F6C" w:rsidRPr="00AB2BBA" w14:paraId="4B3B36C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C298772"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Normalized income avail. to common</w:t>
            </w:r>
          </w:p>
        </w:tc>
        <w:tc>
          <w:tcPr>
            <w:tcW w:w="605" w:type="pct"/>
            <w:gridSpan w:val="2"/>
            <w:noWrap/>
            <w:hideMark/>
          </w:tcPr>
          <w:p w14:paraId="203DFCE1"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-21.39%</w:t>
            </w:r>
          </w:p>
        </w:tc>
        <w:tc>
          <w:tcPr>
            <w:tcW w:w="605" w:type="pct"/>
            <w:gridSpan w:val="2"/>
            <w:noWrap/>
            <w:hideMark/>
          </w:tcPr>
          <w:p w14:paraId="051AFCC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20.00%</w:t>
            </w:r>
          </w:p>
        </w:tc>
        <w:tc>
          <w:tcPr>
            <w:tcW w:w="605" w:type="pct"/>
            <w:gridSpan w:val="2"/>
            <w:noWrap/>
            <w:hideMark/>
          </w:tcPr>
          <w:p w14:paraId="775F811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43.00%</w:t>
            </w:r>
          </w:p>
        </w:tc>
        <w:tc>
          <w:tcPr>
            <w:tcW w:w="605" w:type="pct"/>
            <w:gridSpan w:val="2"/>
            <w:noWrap/>
            <w:hideMark/>
          </w:tcPr>
          <w:p w14:paraId="25E7DDF8"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-33.65%</w:t>
            </w:r>
          </w:p>
        </w:tc>
      </w:tr>
      <w:tr w:rsidR="00923F6C" w:rsidRPr="00AB2BBA" w14:paraId="4F4F6DB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9B064C7"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Basic normalized EPS</w:t>
            </w:r>
          </w:p>
        </w:tc>
        <w:tc>
          <w:tcPr>
            <w:tcW w:w="605" w:type="pct"/>
            <w:gridSpan w:val="2"/>
            <w:noWrap/>
            <w:hideMark/>
          </w:tcPr>
          <w:p w14:paraId="3F16F7E4"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-19.28%</w:t>
            </w:r>
          </w:p>
        </w:tc>
        <w:tc>
          <w:tcPr>
            <w:tcW w:w="605" w:type="pct"/>
            <w:gridSpan w:val="2"/>
            <w:noWrap/>
            <w:hideMark/>
          </w:tcPr>
          <w:p w14:paraId="6F30B83F"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20.29%</w:t>
            </w:r>
          </w:p>
        </w:tc>
        <w:tc>
          <w:tcPr>
            <w:tcW w:w="605" w:type="pct"/>
            <w:gridSpan w:val="2"/>
            <w:noWrap/>
            <w:hideMark/>
          </w:tcPr>
          <w:p w14:paraId="3B19419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40.82%</w:t>
            </w:r>
          </w:p>
        </w:tc>
        <w:tc>
          <w:tcPr>
            <w:tcW w:w="605" w:type="pct"/>
            <w:gridSpan w:val="2"/>
            <w:noWrap/>
            <w:hideMark/>
          </w:tcPr>
          <w:p w14:paraId="52F65609"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-33.78%</w:t>
            </w:r>
          </w:p>
        </w:tc>
      </w:tr>
      <w:tr w:rsidR="00923F6C" w:rsidRPr="00AB2BBA" w14:paraId="67620D1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81" w:type="pct"/>
            <w:gridSpan w:val="2"/>
            <w:noWrap/>
            <w:hideMark/>
          </w:tcPr>
          <w:p w14:paraId="3531B6AA" w14:textId="77777777" w:rsidR="00923F6C" w:rsidRPr="00AB2BBA" w:rsidRDefault="00923F6C" w:rsidP="002B72E8">
            <w:pPr>
              <w:rPr>
                <w:rFonts w:ascii="Arial" w:eastAsia="Times New Roman" w:hAnsi="Arial" w:cs="Arial"/>
                <w:b w:val="0"/>
                <w:bCs w:val="0"/>
                <w:color w:val="000000"/>
                <w:kern w:val="0"/>
                <w:sz w:val="20"/>
                <w:szCs w:val="20"/>
                <w14:ligatures w14:val="none"/>
              </w:rPr>
            </w:pPr>
            <w:r w:rsidRPr="00AB2BBA">
              <w:rPr>
                <w:rFonts w:ascii="Arial" w:eastAsia="Times New Roman" w:hAnsi="Arial" w:cs="Arial"/>
                <w:b w:val="0"/>
                <w:bCs w:val="0"/>
                <w:color w:val="000000"/>
                <w:kern w:val="0"/>
                <w:sz w:val="20"/>
                <w:szCs w:val="20"/>
                <w14:ligatures w14:val="none"/>
              </w:rPr>
              <w:t>Diluted normalized EPS</w:t>
            </w:r>
          </w:p>
        </w:tc>
        <w:tc>
          <w:tcPr>
            <w:tcW w:w="605" w:type="pct"/>
            <w:gridSpan w:val="2"/>
            <w:noWrap/>
            <w:hideMark/>
          </w:tcPr>
          <w:p w14:paraId="4F396AC7"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-19.51%</w:t>
            </w:r>
          </w:p>
        </w:tc>
        <w:tc>
          <w:tcPr>
            <w:tcW w:w="605" w:type="pct"/>
            <w:gridSpan w:val="2"/>
            <w:noWrap/>
            <w:hideMark/>
          </w:tcPr>
          <w:p w14:paraId="68C23805"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20.59%</w:t>
            </w:r>
          </w:p>
        </w:tc>
        <w:tc>
          <w:tcPr>
            <w:tcW w:w="605" w:type="pct"/>
            <w:gridSpan w:val="2"/>
            <w:noWrap/>
            <w:hideMark/>
          </w:tcPr>
          <w:p w14:paraId="7DEC0EF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41.67%</w:t>
            </w:r>
          </w:p>
        </w:tc>
        <w:tc>
          <w:tcPr>
            <w:tcW w:w="605" w:type="pct"/>
            <w:gridSpan w:val="2"/>
            <w:noWrap/>
            <w:hideMark/>
          </w:tcPr>
          <w:p w14:paraId="64067923" w14:textId="77777777" w:rsidR="00923F6C" w:rsidRPr="00AB2BB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AB2BBA">
              <w:rPr>
                <w:rFonts w:ascii="Arial" w:eastAsia="Times New Roman" w:hAnsi="Arial" w:cs="Arial"/>
                <w:color w:val="000000"/>
                <w:kern w:val="0"/>
                <w:sz w:val="20"/>
                <w:szCs w:val="20"/>
                <w14:ligatures w14:val="none"/>
              </w:rPr>
              <w:t>-34.25%</w:t>
            </w:r>
          </w:p>
        </w:tc>
      </w:tr>
      <w:tr w:rsidR="00923F6C" w:rsidRPr="00306156" w14:paraId="35EE8E2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10"/>
            <w:noWrap/>
            <w:hideMark/>
          </w:tcPr>
          <w:p w14:paraId="379D9309" w14:textId="77777777" w:rsidR="00923F6C" w:rsidRPr="005615C5" w:rsidRDefault="00923F6C" w:rsidP="002B72E8">
            <w:pPr>
              <w:spacing w:line="360" w:lineRule="auto"/>
              <w:jc w:val="center"/>
              <w:rPr>
                <w:rFonts w:ascii="Arial" w:eastAsia="Times New Roman" w:hAnsi="Arial" w:cs="Arial"/>
                <w:color w:val="000000" w:themeColor="text1"/>
                <w:kern w:val="0"/>
                <w:sz w:val="20"/>
                <w:szCs w:val="20"/>
                <w14:ligatures w14:val="none"/>
              </w:rPr>
            </w:pPr>
            <w:r w:rsidRPr="005615C5">
              <w:rPr>
                <w:rFonts w:ascii="Arial" w:eastAsia="Times New Roman" w:hAnsi="Arial" w:cs="Arial"/>
                <w:color w:val="000000" w:themeColor="text1"/>
                <w:kern w:val="0"/>
                <w:sz w:val="20"/>
                <w:szCs w:val="20"/>
                <w14:ligatures w14:val="none"/>
              </w:rPr>
              <w:lastRenderedPageBreak/>
              <w:t>BARRATT DEVELOPMENT PLC</w:t>
            </w:r>
          </w:p>
          <w:p w14:paraId="331E8C06" w14:textId="77777777" w:rsidR="00923F6C" w:rsidRPr="00306156" w:rsidRDefault="00923F6C" w:rsidP="002B72E8">
            <w:pPr>
              <w:spacing w:line="360" w:lineRule="auto"/>
              <w:jc w:val="center"/>
              <w:rPr>
                <w:rFonts w:ascii="Arial" w:eastAsia="Times New Roman" w:hAnsi="Arial" w:cs="Arial"/>
                <w:color w:val="FFFFFF"/>
                <w:kern w:val="0"/>
                <w:sz w:val="20"/>
                <w:szCs w:val="20"/>
                <w14:ligatures w14:val="none"/>
              </w:rPr>
            </w:pPr>
            <w:r w:rsidRPr="00841A74">
              <w:rPr>
                <w:rFonts w:ascii="Arial" w:eastAsia="Times New Roman" w:hAnsi="Arial" w:cs="Arial"/>
                <w:color w:val="FF0000"/>
                <w:kern w:val="0"/>
                <w:sz w:val="20"/>
                <w:szCs w:val="20"/>
                <w14:ligatures w14:val="none"/>
              </w:rPr>
              <w:t>VERTICAL ANALYSIS</w:t>
            </w:r>
          </w:p>
        </w:tc>
      </w:tr>
      <w:tr w:rsidR="00923F6C" w:rsidRPr="00306156" w14:paraId="79D48E0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1BD0756B"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Fiscal data as of Jun 30 2023</w:t>
            </w:r>
          </w:p>
        </w:tc>
        <w:tc>
          <w:tcPr>
            <w:tcW w:w="558" w:type="pct"/>
            <w:gridSpan w:val="2"/>
            <w:noWrap/>
            <w:hideMark/>
          </w:tcPr>
          <w:p w14:paraId="2735380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06156">
              <w:rPr>
                <w:rFonts w:ascii="Arial" w:eastAsia="Times New Roman" w:hAnsi="Arial" w:cs="Arial"/>
                <w:b/>
                <w:bCs/>
                <w:color w:val="000000"/>
                <w:kern w:val="0"/>
                <w:sz w:val="20"/>
                <w:szCs w:val="20"/>
                <w14:ligatures w14:val="none"/>
              </w:rPr>
              <w:t>2023 (%)</w:t>
            </w:r>
          </w:p>
        </w:tc>
        <w:tc>
          <w:tcPr>
            <w:tcW w:w="558" w:type="pct"/>
            <w:gridSpan w:val="2"/>
            <w:noWrap/>
            <w:hideMark/>
          </w:tcPr>
          <w:p w14:paraId="3FB33A3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06156">
              <w:rPr>
                <w:rFonts w:ascii="Arial" w:eastAsia="Times New Roman" w:hAnsi="Arial" w:cs="Arial"/>
                <w:b/>
                <w:bCs/>
                <w:color w:val="000000"/>
                <w:kern w:val="0"/>
                <w:sz w:val="20"/>
                <w:szCs w:val="20"/>
                <w14:ligatures w14:val="none"/>
              </w:rPr>
              <w:t>2022 (%)</w:t>
            </w:r>
          </w:p>
        </w:tc>
        <w:tc>
          <w:tcPr>
            <w:tcW w:w="558" w:type="pct"/>
            <w:gridSpan w:val="2"/>
            <w:noWrap/>
            <w:hideMark/>
          </w:tcPr>
          <w:p w14:paraId="59CC0E8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06156">
              <w:rPr>
                <w:rFonts w:ascii="Arial" w:eastAsia="Times New Roman" w:hAnsi="Arial" w:cs="Arial"/>
                <w:b/>
                <w:bCs/>
                <w:color w:val="000000"/>
                <w:kern w:val="0"/>
                <w:sz w:val="20"/>
                <w:szCs w:val="20"/>
                <w14:ligatures w14:val="none"/>
              </w:rPr>
              <w:t>2021 (%)</w:t>
            </w:r>
          </w:p>
        </w:tc>
        <w:tc>
          <w:tcPr>
            <w:tcW w:w="558" w:type="pct"/>
            <w:gridSpan w:val="2"/>
            <w:noWrap/>
            <w:hideMark/>
          </w:tcPr>
          <w:p w14:paraId="0455B7F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06156">
              <w:rPr>
                <w:rFonts w:ascii="Arial" w:eastAsia="Times New Roman" w:hAnsi="Arial" w:cs="Arial"/>
                <w:b/>
                <w:bCs/>
                <w:color w:val="000000"/>
                <w:kern w:val="0"/>
                <w:sz w:val="20"/>
                <w:szCs w:val="20"/>
                <w14:ligatures w14:val="none"/>
              </w:rPr>
              <w:t>2020 (%)</w:t>
            </w:r>
          </w:p>
        </w:tc>
        <w:tc>
          <w:tcPr>
            <w:tcW w:w="615" w:type="pct"/>
            <w:noWrap/>
            <w:hideMark/>
          </w:tcPr>
          <w:p w14:paraId="677E782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06156">
              <w:rPr>
                <w:rFonts w:ascii="Arial" w:eastAsia="Times New Roman" w:hAnsi="Arial" w:cs="Arial"/>
                <w:b/>
                <w:bCs/>
                <w:color w:val="000000"/>
                <w:kern w:val="0"/>
                <w:sz w:val="20"/>
                <w:szCs w:val="20"/>
                <w14:ligatures w14:val="none"/>
              </w:rPr>
              <w:t>2019 (%)</w:t>
            </w:r>
          </w:p>
        </w:tc>
      </w:tr>
      <w:tr w:rsidR="00923F6C" w:rsidRPr="00306156" w14:paraId="7A96B98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6A5A0AF8"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ASSETS</w:t>
            </w:r>
          </w:p>
        </w:tc>
        <w:tc>
          <w:tcPr>
            <w:tcW w:w="558" w:type="pct"/>
            <w:gridSpan w:val="2"/>
            <w:noWrap/>
            <w:hideMark/>
          </w:tcPr>
          <w:p w14:paraId="1B63B752"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5B7C757E"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50B43F29"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2DE7E050"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33951D6D"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2FD28D1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0359906C"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Cash And Short-Term Investments</w:t>
            </w:r>
          </w:p>
        </w:tc>
        <w:tc>
          <w:tcPr>
            <w:tcW w:w="558" w:type="pct"/>
            <w:gridSpan w:val="2"/>
            <w:noWrap/>
            <w:hideMark/>
          </w:tcPr>
          <w:p w14:paraId="1E06414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16%</w:t>
            </w:r>
          </w:p>
        </w:tc>
        <w:tc>
          <w:tcPr>
            <w:tcW w:w="558" w:type="pct"/>
            <w:gridSpan w:val="2"/>
            <w:noWrap/>
            <w:hideMark/>
          </w:tcPr>
          <w:p w14:paraId="7101E8B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16%</w:t>
            </w:r>
          </w:p>
        </w:tc>
        <w:tc>
          <w:tcPr>
            <w:tcW w:w="558" w:type="pct"/>
            <w:gridSpan w:val="2"/>
            <w:noWrap/>
            <w:hideMark/>
          </w:tcPr>
          <w:p w14:paraId="7148FA8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20%</w:t>
            </w:r>
          </w:p>
        </w:tc>
        <w:tc>
          <w:tcPr>
            <w:tcW w:w="558" w:type="pct"/>
            <w:gridSpan w:val="2"/>
            <w:noWrap/>
            <w:hideMark/>
          </w:tcPr>
          <w:p w14:paraId="17C1309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9%</w:t>
            </w:r>
          </w:p>
        </w:tc>
        <w:tc>
          <w:tcPr>
            <w:tcW w:w="615" w:type="pct"/>
            <w:noWrap/>
            <w:hideMark/>
          </w:tcPr>
          <w:p w14:paraId="697104D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15%</w:t>
            </w:r>
          </w:p>
        </w:tc>
      </w:tr>
      <w:tr w:rsidR="00923F6C" w:rsidRPr="00306156" w14:paraId="65D2666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B7C3414"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Receivables, Net</w:t>
            </w:r>
          </w:p>
        </w:tc>
        <w:tc>
          <w:tcPr>
            <w:tcW w:w="558" w:type="pct"/>
            <w:gridSpan w:val="2"/>
            <w:noWrap/>
            <w:hideMark/>
          </w:tcPr>
          <w:p w14:paraId="26E6B2F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7B6D77F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319F1ED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406EB9E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615" w:type="pct"/>
            <w:noWrap/>
            <w:hideMark/>
          </w:tcPr>
          <w:p w14:paraId="72DEBBA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r>
      <w:tr w:rsidR="00923F6C" w:rsidRPr="00306156" w14:paraId="06967C5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3AFBB83"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Inventory</w:t>
            </w:r>
          </w:p>
        </w:tc>
        <w:tc>
          <w:tcPr>
            <w:tcW w:w="558" w:type="pct"/>
            <w:gridSpan w:val="2"/>
            <w:noWrap/>
            <w:hideMark/>
          </w:tcPr>
          <w:p w14:paraId="17B9639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65%</w:t>
            </w:r>
          </w:p>
        </w:tc>
        <w:tc>
          <w:tcPr>
            <w:tcW w:w="558" w:type="pct"/>
            <w:gridSpan w:val="2"/>
            <w:noWrap/>
            <w:hideMark/>
          </w:tcPr>
          <w:p w14:paraId="3E2F3B6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64%</w:t>
            </w:r>
          </w:p>
        </w:tc>
        <w:tc>
          <w:tcPr>
            <w:tcW w:w="558" w:type="pct"/>
            <w:gridSpan w:val="2"/>
            <w:noWrap/>
            <w:hideMark/>
          </w:tcPr>
          <w:p w14:paraId="3506AF3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62%</w:t>
            </w:r>
          </w:p>
        </w:tc>
        <w:tc>
          <w:tcPr>
            <w:tcW w:w="558" w:type="pct"/>
            <w:gridSpan w:val="2"/>
            <w:noWrap/>
            <w:hideMark/>
          </w:tcPr>
          <w:p w14:paraId="5C7BBD4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73%</w:t>
            </w:r>
          </w:p>
        </w:tc>
        <w:tc>
          <w:tcPr>
            <w:tcW w:w="615" w:type="pct"/>
            <w:noWrap/>
            <w:hideMark/>
          </w:tcPr>
          <w:p w14:paraId="1219E5E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65%</w:t>
            </w:r>
          </w:p>
        </w:tc>
      </w:tr>
      <w:tr w:rsidR="00923F6C" w:rsidRPr="00306156" w14:paraId="797FBBF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62D7EEE"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Prepaid expenses</w:t>
            </w:r>
          </w:p>
        </w:tc>
        <w:tc>
          <w:tcPr>
            <w:tcW w:w="558" w:type="pct"/>
            <w:gridSpan w:val="2"/>
            <w:noWrap/>
            <w:hideMark/>
          </w:tcPr>
          <w:p w14:paraId="2A6B626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74ABD40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7EF0ED1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7BC5B87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6B42B75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0057AC8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45C258A"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Other current assets, total</w:t>
            </w:r>
          </w:p>
        </w:tc>
        <w:tc>
          <w:tcPr>
            <w:tcW w:w="558" w:type="pct"/>
            <w:gridSpan w:val="2"/>
            <w:noWrap/>
            <w:hideMark/>
          </w:tcPr>
          <w:p w14:paraId="4E18FB5E"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2F7035FE"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7ED419E0"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29F1A6F4"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369EACCB"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5B4D1E8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E82AD81"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Total current assets</w:t>
            </w:r>
          </w:p>
        </w:tc>
        <w:tc>
          <w:tcPr>
            <w:tcW w:w="558" w:type="pct"/>
            <w:gridSpan w:val="2"/>
            <w:noWrap/>
            <w:hideMark/>
          </w:tcPr>
          <w:p w14:paraId="36470E6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84%</w:t>
            </w:r>
          </w:p>
        </w:tc>
        <w:tc>
          <w:tcPr>
            <w:tcW w:w="558" w:type="pct"/>
            <w:gridSpan w:val="2"/>
            <w:noWrap/>
            <w:hideMark/>
          </w:tcPr>
          <w:p w14:paraId="5EFF38F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84%</w:t>
            </w:r>
          </w:p>
        </w:tc>
        <w:tc>
          <w:tcPr>
            <w:tcW w:w="558" w:type="pct"/>
            <w:gridSpan w:val="2"/>
            <w:noWrap/>
            <w:hideMark/>
          </w:tcPr>
          <w:p w14:paraId="003834A5"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85%</w:t>
            </w:r>
          </w:p>
        </w:tc>
        <w:tc>
          <w:tcPr>
            <w:tcW w:w="558" w:type="pct"/>
            <w:gridSpan w:val="2"/>
            <w:noWrap/>
            <w:hideMark/>
          </w:tcPr>
          <w:p w14:paraId="07484F2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84%</w:t>
            </w:r>
          </w:p>
        </w:tc>
        <w:tc>
          <w:tcPr>
            <w:tcW w:w="615" w:type="pct"/>
            <w:noWrap/>
            <w:hideMark/>
          </w:tcPr>
          <w:p w14:paraId="7C120B6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84%</w:t>
            </w:r>
          </w:p>
        </w:tc>
      </w:tr>
      <w:tr w:rsidR="00923F6C" w:rsidRPr="00306156" w14:paraId="3E75AB9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8998FD7"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Property, plant &amp; equipment, net</w:t>
            </w:r>
          </w:p>
        </w:tc>
        <w:tc>
          <w:tcPr>
            <w:tcW w:w="558" w:type="pct"/>
            <w:gridSpan w:val="2"/>
            <w:noWrap/>
            <w:hideMark/>
          </w:tcPr>
          <w:p w14:paraId="763000A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2A96B0F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720F853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587568A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615" w:type="pct"/>
            <w:noWrap/>
            <w:hideMark/>
          </w:tcPr>
          <w:p w14:paraId="2B3C2C2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262E55C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3443272"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Goodwill, net</w:t>
            </w:r>
          </w:p>
        </w:tc>
        <w:tc>
          <w:tcPr>
            <w:tcW w:w="558" w:type="pct"/>
            <w:gridSpan w:val="2"/>
            <w:noWrap/>
            <w:hideMark/>
          </w:tcPr>
          <w:p w14:paraId="2A50058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11%</w:t>
            </w:r>
          </w:p>
        </w:tc>
        <w:tc>
          <w:tcPr>
            <w:tcW w:w="558" w:type="pct"/>
            <w:gridSpan w:val="2"/>
            <w:noWrap/>
            <w:hideMark/>
          </w:tcPr>
          <w:p w14:paraId="5AF1A64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w:t>
            </w:r>
          </w:p>
        </w:tc>
        <w:tc>
          <w:tcPr>
            <w:tcW w:w="558" w:type="pct"/>
            <w:gridSpan w:val="2"/>
            <w:noWrap/>
            <w:hideMark/>
          </w:tcPr>
          <w:p w14:paraId="038594A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11%</w:t>
            </w:r>
          </w:p>
        </w:tc>
        <w:tc>
          <w:tcPr>
            <w:tcW w:w="558" w:type="pct"/>
            <w:gridSpan w:val="2"/>
            <w:noWrap/>
            <w:hideMark/>
          </w:tcPr>
          <w:p w14:paraId="36A51C8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12%</w:t>
            </w:r>
          </w:p>
        </w:tc>
        <w:tc>
          <w:tcPr>
            <w:tcW w:w="615" w:type="pct"/>
            <w:noWrap/>
            <w:hideMark/>
          </w:tcPr>
          <w:p w14:paraId="7744D1B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11%</w:t>
            </w:r>
          </w:p>
        </w:tc>
      </w:tr>
      <w:tr w:rsidR="00923F6C" w:rsidRPr="00306156" w14:paraId="671C7A3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A9DE70B"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Intangibles, net</w:t>
            </w:r>
          </w:p>
        </w:tc>
        <w:tc>
          <w:tcPr>
            <w:tcW w:w="558" w:type="pct"/>
            <w:gridSpan w:val="2"/>
            <w:noWrap/>
            <w:hideMark/>
          </w:tcPr>
          <w:p w14:paraId="76B587D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2D28D35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124180A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75F1A01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615" w:type="pct"/>
            <w:noWrap/>
            <w:hideMark/>
          </w:tcPr>
          <w:p w14:paraId="51989F1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r>
      <w:tr w:rsidR="00923F6C" w:rsidRPr="00306156" w14:paraId="465E70B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A888A29"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Long term investments</w:t>
            </w:r>
          </w:p>
        </w:tc>
        <w:tc>
          <w:tcPr>
            <w:tcW w:w="558" w:type="pct"/>
            <w:gridSpan w:val="2"/>
            <w:noWrap/>
            <w:hideMark/>
          </w:tcPr>
          <w:p w14:paraId="732910F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097DF92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40CB2F7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558" w:type="pct"/>
            <w:gridSpan w:val="2"/>
            <w:noWrap/>
            <w:hideMark/>
          </w:tcPr>
          <w:p w14:paraId="4DE7F4B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615" w:type="pct"/>
            <w:noWrap/>
            <w:hideMark/>
          </w:tcPr>
          <w:p w14:paraId="56A300B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r>
      <w:tr w:rsidR="00923F6C" w:rsidRPr="00306156" w14:paraId="61E1745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0165A2C"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Note receivable - long term</w:t>
            </w:r>
          </w:p>
        </w:tc>
        <w:tc>
          <w:tcPr>
            <w:tcW w:w="558" w:type="pct"/>
            <w:gridSpan w:val="2"/>
            <w:noWrap/>
            <w:hideMark/>
          </w:tcPr>
          <w:p w14:paraId="648E06F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37AE791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3B6934A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4E1528A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1CC58DE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14EB853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2139FC63"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Other long-term assets</w:t>
            </w:r>
          </w:p>
        </w:tc>
        <w:tc>
          <w:tcPr>
            <w:tcW w:w="558" w:type="pct"/>
            <w:gridSpan w:val="2"/>
            <w:noWrap/>
            <w:hideMark/>
          </w:tcPr>
          <w:p w14:paraId="48942B52"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774EBBF5"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228D97AC"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2D006A17"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03F2CE93"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7EEB1ED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2A616D96"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Total assets</w:t>
            </w:r>
          </w:p>
        </w:tc>
        <w:tc>
          <w:tcPr>
            <w:tcW w:w="558" w:type="pct"/>
            <w:gridSpan w:val="2"/>
            <w:noWrap/>
            <w:hideMark/>
          </w:tcPr>
          <w:p w14:paraId="76B5E39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3AE8F85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168CDFD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35738BE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615" w:type="pct"/>
            <w:noWrap/>
            <w:hideMark/>
          </w:tcPr>
          <w:p w14:paraId="2CCAE62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r>
      <w:tr w:rsidR="00923F6C" w:rsidRPr="00306156" w14:paraId="492CB73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1D0BB178"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LIABILITIES</w:t>
            </w:r>
          </w:p>
        </w:tc>
        <w:tc>
          <w:tcPr>
            <w:tcW w:w="558" w:type="pct"/>
            <w:gridSpan w:val="2"/>
            <w:noWrap/>
            <w:hideMark/>
          </w:tcPr>
          <w:p w14:paraId="64A41073"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517ED0A"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1ED4345"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63A6F1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0AC52BC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3CA241E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37D8C54"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Accounts payable</w:t>
            </w:r>
          </w:p>
        </w:tc>
        <w:tc>
          <w:tcPr>
            <w:tcW w:w="558" w:type="pct"/>
            <w:gridSpan w:val="2"/>
            <w:noWrap/>
            <w:hideMark/>
          </w:tcPr>
          <w:p w14:paraId="127D532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w:t>
            </w:r>
          </w:p>
        </w:tc>
        <w:tc>
          <w:tcPr>
            <w:tcW w:w="558" w:type="pct"/>
            <w:gridSpan w:val="2"/>
            <w:noWrap/>
            <w:hideMark/>
          </w:tcPr>
          <w:p w14:paraId="6CECA4F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w:t>
            </w:r>
          </w:p>
        </w:tc>
        <w:tc>
          <w:tcPr>
            <w:tcW w:w="558" w:type="pct"/>
            <w:gridSpan w:val="2"/>
            <w:noWrap/>
            <w:hideMark/>
          </w:tcPr>
          <w:p w14:paraId="4D81535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9%</w:t>
            </w:r>
          </w:p>
        </w:tc>
        <w:tc>
          <w:tcPr>
            <w:tcW w:w="558" w:type="pct"/>
            <w:gridSpan w:val="2"/>
            <w:noWrap/>
            <w:hideMark/>
          </w:tcPr>
          <w:p w14:paraId="756853D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w:t>
            </w:r>
          </w:p>
        </w:tc>
        <w:tc>
          <w:tcPr>
            <w:tcW w:w="615" w:type="pct"/>
            <w:noWrap/>
            <w:hideMark/>
          </w:tcPr>
          <w:p w14:paraId="3E64D09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13%</w:t>
            </w:r>
          </w:p>
        </w:tc>
      </w:tr>
      <w:tr w:rsidR="00923F6C" w:rsidRPr="00306156" w14:paraId="3282B21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7C67AEE"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Accrued expenses</w:t>
            </w:r>
          </w:p>
        </w:tc>
        <w:tc>
          <w:tcPr>
            <w:tcW w:w="558" w:type="pct"/>
            <w:gridSpan w:val="2"/>
            <w:noWrap/>
            <w:hideMark/>
          </w:tcPr>
          <w:p w14:paraId="5466D1A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c>
          <w:tcPr>
            <w:tcW w:w="558" w:type="pct"/>
            <w:gridSpan w:val="2"/>
            <w:noWrap/>
            <w:hideMark/>
          </w:tcPr>
          <w:p w14:paraId="0785E1A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w:t>
            </w:r>
          </w:p>
        </w:tc>
        <w:tc>
          <w:tcPr>
            <w:tcW w:w="558" w:type="pct"/>
            <w:gridSpan w:val="2"/>
            <w:noWrap/>
            <w:hideMark/>
          </w:tcPr>
          <w:p w14:paraId="362F031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w:t>
            </w:r>
          </w:p>
        </w:tc>
        <w:tc>
          <w:tcPr>
            <w:tcW w:w="558" w:type="pct"/>
            <w:gridSpan w:val="2"/>
            <w:noWrap/>
            <w:hideMark/>
          </w:tcPr>
          <w:p w14:paraId="4497268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w:t>
            </w:r>
          </w:p>
        </w:tc>
        <w:tc>
          <w:tcPr>
            <w:tcW w:w="615" w:type="pct"/>
            <w:noWrap/>
            <w:hideMark/>
          </w:tcPr>
          <w:p w14:paraId="75AE15A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w:t>
            </w:r>
          </w:p>
        </w:tc>
      </w:tr>
      <w:tr w:rsidR="00923F6C" w:rsidRPr="00306156" w14:paraId="6C6FBF7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AF6FC30"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Notes payable/short-term debt</w:t>
            </w:r>
          </w:p>
        </w:tc>
        <w:tc>
          <w:tcPr>
            <w:tcW w:w="558" w:type="pct"/>
            <w:gridSpan w:val="2"/>
            <w:noWrap/>
            <w:hideMark/>
          </w:tcPr>
          <w:p w14:paraId="5035A37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34CDDB6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58662AC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6284B90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18BB81D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55F2C2B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1611D75C"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Current portion long-term debt/capital leases</w:t>
            </w:r>
          </w:p>
        </w:tc>
        <w:tc>
          <w:tcPr>
            <w:tcW w:w="558" w:type="pct"/>
            <w:gridSpan w:val="2"/>
            <w:noWrap/>
            <w:hideMark/>
          </w:tcPr>
          <w:p w14:paraId="457F99B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4B38211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435B8BD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2A1067F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c>
          <w:tcPr>
            <w:tcW w:w="615" w:type="pct"/>
            <w:noWrap/>
            <w:hideMark/>
          </w:tcPr>
          <w:p w14:paraId="52710C5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w:t>
            </w:r>
          </w:p>
        </w:tc>
      </w:tr>
      <w:tr w:rsidR="00923F6C" w:rsidRPr="00306156" w14:paraId="4184E2C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D23C169"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Other current liabilities, total</w:t>
            </w:r>
          </w:p>
        </w:tc>
        <w:tc>
          <w:tcPr>
            <w:tcW w:w="558" w:type="pct"/>
            <w:gridSpan w:val="2"/>
            <w:noWrap/>
            <w:hideMark/>
          </w:tcPr>
          <w:p w14:paraId="3FBFD36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c>
          <w:tcPr>
            <w:tcW w:w="558" w:type="pct"/>
            <w:gridSpan w:val="2"/>
            <w:noWrap/>
            <w:hideMark/>
          </w:tcPr>
          <w:p w14:paraId="3D1EE73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c>
          <w:tcPr>
            <w:tcW w:w="558" w:type="pct"/>
            <w:gridSpan w:val="2"/>
            <w:noWrap/>
            <w:hideMark/>
          </w:tcPr>
          <w:p w14:paraId="65993B6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4288425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615" w:type="pct"/>
            <w:noWrap/>
            <w:hideMark/>
          </w:tcPr>
          <w:p w14:paraId="0065193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r>
      <w:tr w:rsidR="00923F6C" w:rsidRPr="00306156" w14:paraId="79E476A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21FD45BD"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current liabilities</w:t>
            </w:r>
          </w:p>
        </w:tc>
        <w:tc>
          <w:tcPr>
            <w:tcW w:w="558" w:type="pct"/>
            <w:gridSpan w:val="2"/>
            <w:noWrap/>
            <w:hideMark/>
          </w:tcPr>
          <w:p w14:paraId="0C692A2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18%</w:t>
            </w:r>
          </w:p>
        </w:tc>
        <w:tc>
          <w:tcPr>
            <w:tcW w:w="558" w:type="pct"/>
            <w:gridSpan w:val="2"/>
            <w:noWrap/>
            <w:hideMark/>
          </w:tcPr>
          <w:p w14:paraId="39838A8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21%</w:t>
            </w:r>
          </w:p>
        </w:tc>
        <w:tc>
          <w:tcPr>
            <w:tcW w:w="558" w:type="pct"/>
            <w:gridSpan w:val="2"/>
            <w:noWrap/>
            <w:hideMark/>
          </w:tcPr>
          <w:p w14:paraId="06669E9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20%</w:t>
            </w:r>
          </w:p>
        </w:tc>
        <w:tc>
          <w:tcPr>
            <w:tcW w:w="558" w:type="pct"/>
            <w:gridSpan w:val="2"/>
            <w:noWrap/>
            <w:hideMark/>
          </w:tcPr>
          <w:p w14:paraId="29DE9AC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21%</w:t>
            </w:r>
          </w:p>
        </w:tc>
        <w:tc>
          <w:tcPr>
            <w:tcW w:w="615" w:type="pct"/>
            <w:noWrap/>
            <w:hideMark/>
          </w:tcPr>
          <w:p w14:paraId="5BE4F6F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25%</w:t>
            </w:r>
          </w:p>
        </w:tc>
      </w:tr>
      <w:tr w:rsidR="00923F6C" w:rsidRPr="00306156" w14:paraId="6370675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CA861E5"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long-term debt</w:t>
            </w:r>
          </w:p>
        </w:tc>
        <w:tc>
          <w:tcPr>
            <w:tcW w:w="558" w:type="pct"/>
            <w:gridSpan w:val="2"/>
            <w:noWrap/>
            <w:hideMark/>
          </w:tcPr>
          <w:p w14:paraId="72C072D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5C01B9F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4947B38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5EC060B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615" w:type="pct"/>
            <w:noWrap/>
            <w:hideMark/>
          </w:tcPr>
          <w:p w14:paraId="154A6E2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r>
      <w:tr w:rsidR="00923F6C" w:rsidRPr="00306156" w14:paraId="0F3182C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6A397601"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debt</w:t>
            </w:r>
          </w:p>
        </w:tc>
        <w:tc>
          <w:tcPr>
            <w:tcW w:w="558" w:type="pct"/>
            <w:gridSpan w:val="2"/>
            <w:noWrap/>
            <w:hideMark/>
          </w:tcPr>
          <w:p w14:paraId="3970F8C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3E05B4A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7BF03EE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4AA96A9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c>
          <w:tcPr>
            <w:tcW w:w="615" w:type="pct"/>
            <w:noWrap/>
            <w:hideMark/>
          </w:tcPr>
          <w:p w14:paraId="606B4B3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r>
      <w:tr w:rsidR="00923F6C" w:rsidRPr="00306156" w14:paraId="7E04ECB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7973DC0B"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Deferred income tax</w:t>
            </w:r>
          </w:p>
        </w:tc>
        <w:tc>
          <w:tcPr>
            <w:tcW w:w="558" w:type="pct"/>
            <w:gridSpan w:val="2"/>
            <w:noWrap/>
            <w:hideMark/>
          </w:tcPr>
          <w:p w14:paraId="6CCD8F9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2509E4B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079883D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0105D76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5824274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01F3493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1DF95CA8"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Minority interest</w:t>
            </w:r>
          </w:p>
        </w:tc>
        <w:tc>
          <w:tcPr>
            <w:tcW w:w="558" w:type="pct"/>
            <w:gridSpan w:val="2"/>
            <w:noWrap/>
            <w:hideMark/>
          </w:tcPr>
          <w:p w14:paraId="0264536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5DE05D0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035CA6E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147B33C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557EF11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36BC26A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6D4B5D66"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Other liabilities, total</w:t>
            </w:r>
          </w:p>
        </w:tc>
        <w:tc>
          <w:tcPr>
            <w:tcW w:w="558" w:type="pct"/>
            <w:gridSpan w:val="2"/>
            <w:noWrap/>
            <w:hideMark/>
          </w:tcPr>
          <w:p w14:paraId="7F4AFD4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8%</w:t>
            </w:r>
          </w:p>
        </w:tc>
        <w:tc>
          <w:tcPr>
            <w:tcW w:w="558" w:type="pct"/>
            <w:gridSpan w:val="2"/>
            <w:noWrap/>
            <w:hideMark/>
          </w:tcPr>
          <w:p w14:paraId="7AE37AD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w:t>
            </w:r>
          </w:p>
        </w:tc>
        <w:tc>
          <w:tcPr>
            <w:tcW w:w="558" w:type="pct"/>
            <w:gridSpan w:val="2"/>
            <w:noWrap/>
            <w:hideMark/>
          </w:tcPr>
          <w:p w14:paraId="03ED43A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4%</w:t>
            </w:r>
          </w:p>
        </w:tc>
        <w:tc>
          <w:tcPr>
            <w:tcW w:w="558" w:type="pct"/>
            <w:gridSpan w:val="2"/>
            <w:noWrap/>
            <w:hideMark/>
          </w:tcPr>
          <w:p w14:paraId="404A4A7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5%</w:t>
            </w:r>
          </w:p>
        </w:tc>
        <w:tc>
          <w:tcPr>
            <w:tcW w:w="615" w:type="pct"/>
            <w:noWrap/>
            <w:hideMark/>
          </w:tcPr>
          <w:p w14:paraId="7D18AD45"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w:t>
            </w:r>
          </w:p>
        </w:tc>
      </w:tr>
      <w:tr w:rsidR="00923F6C" w:rsidRPr="00306156" w14:paraId="1D91B70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6B24A95D"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liabilities</w:t>
            </w:r>
          </w:p>
        </w:tc>
        <w:tc>
          <w:tcPr>
            <w:tcW w:w="558" w:type="pct"/>
            <w:gridSpan w:val="2"/>
            <w:noWrap/>
            <w:hideMark/>
          </w:tcPr>
          <w:p w14:paraId="788251E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30%</w:t>
            </w:r>
          </w:p>
        </w:tc>
        <w:tc>
          <w:tcPr>
            <w:tcW w:w="558" w:type="pct"/>
            <w:gridSpan w:val="2"/>
            <w:noWrap/>
            <w:hideMark/>
          </w:tcPr>
          <w:p w14:paraId="3A8D650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31%</w:t>
            </w:r>
          </w:p>
        </w:tc>
        <w:tc>
          <w:tcPr>
            <w:tcW w:w="558" w:type="pct"/>
            <w:gridSpan w:val="2"/>
            <w:noWrap/>
            <w:hideMark/>
          </w:tcPr>
          <w:p w14:paraId="5D69DAD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27%</w:t>
            </w:r>
          </w:p>
        </w:tc>
        <w:tc>
          <w:tcPr>
            <w:tcW w:w="558" w:type="pct"/>
            <w:gridSpan w:val="2"/>
            <w:noWrap/>
            <w:hideMark/>
          </w:tcPr>
          <w:p w14:paraId="40FC67E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30%</w:t>
            </w:r>
          </w:p>
        </w:tc>
        <w:tc>
          <w:tcPr>
            <w:tcW w:w="615" w:type="pct"/>
            <w:noWrap/>
            <w:hideMark/>
          </w:tcPr>
          <w:p w14:paraId="2E2A086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34%</w:t>
            </w:r>
          </w:p>
        </w:tc>
      </w:tr>
      <w:tr w:rsidR="00923F6C" w:rsidRPr="00306156" w14:paraId="359B004C"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7A267BCC"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SHAREHOLDERS EQUITY</w:t>
            </w:r>
          </w:p>
        </w:tc>
        <w:tc>
          <w:tcPr>
            <w:tcW w:w="558" w:type="pct"/>
            <w:gridSpan w:val="2"/>
            <w:noWrap/>
            <w:hideMark/>
          </w:tcPr>
          <w:p w14:paraId="31684A87"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8FFFBFB"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5F7284FA"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47645EE2"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7098EBCD"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277181B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166741F2"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Common stock</w:t>
            </w:r>
          </w:p>
        </w:tc>
        <w:tc>
          <w:tcPr>
            <w:tcW w:w="558" w:type="pct"/>
            <w:gridSpan w:val="2"/>
            <w:noWrap/>
            <w:hideMark/>
          </w:tcPr>
          <w:p w14:paraId="1259AEB1"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158F849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3DDF1303"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558" w:type="pct"/>
            <w:gridSpan w:val="2"/>
            <w:noWrap/>
            <w:hideMark/>
          </w:tcPr>
          <w:p w14:paraId="31E938BA"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c>
          <w:tcPr>
            <w:tcW w:w="615" w:type="pct"/>
            <w:noWrap/>
            <w:hideMark/>
          </w:tcPr>
          <w:p w14:paraId="5B31FAD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w:t>
            </w:r>
          </w:p>
        </w:tc>
      </w:tr>
      <w:tr w:rsidR="00923F6C" w:rsidRPr="00306156" w14:paraId="267F1E51"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88B3C3A"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Additional paid-in capital</w:t>
            </w:r>
          </w:p>
        </w:tc>
        <w:tc>
          <w:tcPr>
            <w:tcW w:w="558" w:type="pct"/>
            <w:gridSpan w:val="2"/>
            <w:noWrap/>
            <w:hideMark/>
          </w:tcPr>
          <w:p w14:paraId="20924D9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27B88A5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6DA0845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c>
          <w:tcPr>
            <w:tcW w:w="558" w:type="pct"/>
            <w:gridSpan w:val="2"/>
            <w:noWrap/>
            <w:hideMark/>
          </w:tcPr>
          <w:p w14:paraId="42031D0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4%</w:t>
            </w:r>
          </w:p>
        </w:tc>
        <w:tc>
          <w:tcPr>
            <w:tcW w:w="615" w:type="pct"/>
            <w:noWrap/>
            <w:hideMark/>
          </w:tcPr>
          <w:p w14:paraId="0C7CB02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3%</w:t>
            </w:r>
          </w:p>
        </w:tc>
      </w:tr>
      <w:tr w:rsidR="00923F6C" w:rsidRPr="00306156" w14:paraId="57E7B4F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75BAC1D8"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Retained earnings (accumulated deficit)</w:t>
            </w:r>
          </w:p>
        </w:tc>
        <w:tc>
          <w:tcPr>
            <w:tcW w:w="558" w:type="pct"/>
            <w:gridSpan w:val="2"/>
            <w:noWrap/>
            <w:hideMark/>
          </w:tcPr>
          <w:p w14:paraId="18AB730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66%</w:t>
            </w:r>
          </w:p>
        </w:tc>
        <w:tc>
          <w:tcPr>
            <w:tcW w:w="558" w:type="pct"/>
            <w:gridSpan w:val="2"/>
            <w:noWrap/>
            <w:hideMark/>
          </w:tcPr>
          <w:p w14:paraId="0469B60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65%</w:t>
            </w:r>
          </w:p>
        </w:tc>
        <w:tc>
          <w:tcPr>
            <w:tcW w:w="558" w:type="pct"/>
            <w:gridSpan w:val="2"/>
            <w:noWrap/>
            <w:hideMark/>
          </w:tcPr>
          <w:p w14:paraId="6679117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68%</w:t>
            </w:r>
          </w:p>
        </w:tc>
        <w:tc>
          <w:tcPr>
            <w:tcW w:w="558" w:type="pct"/>
            <w:gridSpan w:val="2"/>
            <w:noWrap/>
            <w:hideMark/>
          </w:tcPr>
          <w:p w14:paraId="4DA0FEA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66%</w:t>
            </w:r>
          </w:p>
        </w:tc>
        <w:tc>
          <w:tcPr>
            <w:tcW w:w="615" w:type="pct"/>
            <w:noWrap/>
            <w:hideMark/>
          </w:tcPr>
          <w:p w14:paraId="3455BAB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62%</w:t>
            </w:r>
          </w:p>
        </w:tc>
      </w:tr>
      <w:tr w:rsidR="00923F6C" w:rsidRPr="00306156" w14:paraId="4518952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6F178A47"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Treasury stock - common</w:t>
            </w:r>
          </w:p>
        </w:tc>
        <w:tc>
          <w:tcPr>
            <w:tcW w:w="558" w:type="pct"/>
            <w:gridSpan w:val="2"/>
            <w:noWrap/>
            <w:hideMark/>
          </w:tcPr>
          <w:p w14:paraId="7520B85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034D70ED"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4CF1DCE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75B5967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525940D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r w:rsidR="00923F6C" w:rsidRPr="00306156" w14:paraId="2DFF5E0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5B1DC87C"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Unrealized gain (loss)</w:t>
            </w:r>
          </w:p>
        </w:tc>
        <w:tc>
          <w:tcPr>
            <w:tcW w:w="558" w:type="pct"/>
            <w:gridSpan w:val="2"/>
            <w:noWrap/>
            <w:hideMark/>
          </w:tcPr>
          <w:p w14:paraId="20A1316A"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62F1665B"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61F08966"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63D3EDD0"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545723A5"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306ADD2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38C76B18"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Other equity, total</w:t>
            </w:r>
          </w:p>
        </w:tc>
        <w:tc>
          <w:tcPr>
            <w:tcW w:w="558" w:type="pct"/>
            <w:gridSpan w:val="2"/>
            <w:noWrap/>
            <w:hideMark/>
          </w:tcPr>
          <w:p w14:paraId="556439CE"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10A759F"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094F09D1"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8" w:type="pct"/>
            <w:gridSpan w:val="2"/>
            <w:noWrap/>
            <w:hideMark/>
          </w:tcPr>
          <w:p w14:paraId="38383B1E"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5" w:type="pct"/>
            <w:noWrap/>
            <w:hideMark/>
          </w:tcPr>
          <w:p w14:paraId="6040C8F9" w14:textId="77777777" w:rsidR="00923F6C" w:rsidRPr="00306156"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06156" w14:paraId="1F7CB35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0EB34C88" w14:textId="77777777" w:rsidR="00923F6C" w:rsidRPr="00306156" w:rsidRDefault="00923F6C" w:rsidP="002B72E8">
            <w:pPr>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Total equity</w:t>
            </w:r>
          </w:p>
        </w:tc>
        <w:tc>
          <w:tcPr>
            <w:tcW w:w="558" w:type="pct"/>
            <w:gridSpan w:val="2"/>
            <w:noWrap/>
            <w:hideMark/>
          </w:tcPr>
          <w:p w14:paraId="0F8BC0B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70%</w:t>
            </w:r>
          </w:p>
        </w:tc>
        <w:tc>
          <w:tcPr>
            <w:tcW w:w="558" w:type="pct"/>
            <w:gridSpan w:val="2"/>
            <w:noWrap/>
            <w:hideMark/>
          </w:tcPr>
          <w:p w14:paraId="7F6C247B"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69%</w:t>
            </w:r>
          </w:p>
        </w:tc>
        <w:tc>
          <w:tcPr>
            <w:tcW w:w="558" w:type="pct"/>
            <w:gridSpan w:val="2"/>
            <w:noWrap/>
            <w:hideMark/>
          </w:tcPr>
          <w:p w14:paraId="72C08F3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73%</w:t>
            </w:r>
          </w:p>
        </w:tc>
        <w:tc>
          <w:tcPr>
            <w:tcW w:w="558" w:type="pct"/>
            <w:gridSpan w:val="2"/>
            <w:noWrap/>
            <w:hideMark/>
          </w:tcPr>
          <w:p w14:paraId="60445AC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70%</w:t>
            </w:r>
          </w:p>
        </w:tc>
        <w:tc>
          <w:tcPr>
            <w:tcW w:w="615" w:type="pct"/>
            <w:noWrap/>
            <w:hideMark/>
          </w:tcPr>
          <w:p w14:paraId="395C2824"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66%</w:t>
            </w:r>
          </w:p>
        </w:tc>
      </w:tr>
      <w:tr w:rsidR="00923F6C" w:rsidRPr="00306156" w14:paraId="0213B6C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0DF9B8CD"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liabilities &amp; shareholders' equity</w:t>
            </w:r>
          </w:p>
        </w:tc>
        <w:tc>
          <w:tcPr>
            <w:tcW w:w="558" w:type="pct"/>
            <w:gridSpan w:val="2"/>
            <w:noWrap/>
            <w:hideMark/>
          </w:tcPr>
          <w:p w14:paraId="403344E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09E7F146"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221FAE3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558" w:type="pct"/>
            <w:gridSpan w:val="2"/>
            <w:noWrap/>
            <w:hideMark/>
          </w:tcPr>
          <w:p w14:paraId="346C79FC"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c>
          <w:tcPr>
            <w:tcW w:w="615" w:type="pct"/>
            <w:noWrap/>
            <w:hideMark/>
          </w:tcPr>
          <w:p w14:paraId="40907CE2"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100%</w:t>
            </w:r>
          </w:p>
        </w:tc>
      </w:tr>
      <w:tr w:rsidR="00923F6C" w:rsidRPr="00306156" w14:paraId="08A202F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956DCFC"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Total common shares outstanding</w:t>
            </w:r>
          </w:p>
        </w:tc>
        <w:tc>
          <w:tcPr>
            <w:tcW w:w="558" w:type="pct"/>
            <w:gridSpan w:val="2"/>
            <w:noWrap/>
            <w:hideMark/>
          </w:tcPr>
          <w:p w14:paraId="2468855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12%</w:t>
            </w:r>
          </w:p>
        </w:tc>
        <w:tc>
          <w:tcPr>
            <w:tcW w:w="558" w:type="pct"/>
            <w:gridSpan w:val="2"/>
            <w:noWrap/>
            <w:hideMark/>
          </w:tcPr>
          <w:p w14:paraId="58D04A9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12%</w:t>
            </w:r>
          </w:p>
        </w:tc>
        <w:tc>
          <w:tcPr>
            <w:tcW w:w="558" w:type="pct"/>
            <w:gridSpan w:val="2"/>
            <w:noWrap/>
            <w:hideMark/>
          </w:tcPr>
          <w:p w14:paraId="49CBA4CE"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14%</w:t>
            </w:r>
          </w:p>
        </w:tc>
        <w:tc>
          <w:tcPr>
            <w:tcW w:w="558" w:type="pct"/>
            <w:gridSpan w:val="2"/>
            <w:noWrap/>
            <w:hideMark/>
          </w:tcPr>
          <w:p w14:paraId="247E5405"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15%</w:t>
            </w:r>
          </w:p>
        </w:tc>
        <w:tc>
          <w:tcPr>
            <w:tcW w:w="615" w:type="pct"/>
            <w:noWrap/>
            <w:hideMark/>
          </w:tcPr>
          <w:p w14:paraId="1D6A0DD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14%</w:t>
            </w:r>
          </w:p>
        </w:tc>
      </w:tr>
      <w:tr w:rsidR="00923F6C" w:rsidRPr="00306156" w14:paraId="09A3C3B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154" w:type="pct"/>
            <w:noWrap/>
            <w:hideMark/>
          </w:tcPr>
          <w:p w14:paraId="4A5996DA" w14:textId="77777777" w:rsidR="00923F6C" w:rsidRPr="00306156" w:rsidRDefault="00923F6C" w:rsidP="002B72E8">
            <w:pPr>
              <w:rPr>
                <w:rFonts w:ascii="Arial" w:eastAsia="Times New Roman" w:hAnsi="Arial" w:cs="Arial"/>
                <w:b w:val="0"/>
                <w:bCs w:val="0"/>
                <w:color w:val="000000"/>
                <w:kern w:val="0"/>
                <w:sz w:val="20"/>
                <w:szCs w:val="20"/>
                <w14:ligatures w14:val="none"/>
              </w:rPr>
            </w:pPr>
            <w:r w:rsidRPr="00306156">
              <w:rPr>
                <w:rFonts w:ascii="Arial" w:eastAsia="Times New Roman" w:hAnsi="Arial" w:cs="Arial"/>
                <w:b w:val="0"/>
                <w:bCs w:val="0"/>
                <w:color w:val="000000"/>
                <w:kern w:val="0"/>
                <w:sz w:val="20"/>
                <w:szCs w:val="20"/>
                <w14:ligatures w14:val="none"/>
              </w:rPr>
              <w:t>Treasury shares - common primary issue</w:t>
            </w:r>
          </w:p>
        </w:tc>
        <w:tc>
          <w:tcPr>
            <w:tcW w:w="558" w:type="pct"/>
            <w:gridSpan w:val="2"/>
            <w:noWrap/>
            <w:hideMark/>
          </w:tcPr>
          <w:p w14:paraId="69FCF518"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285399FF"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2A47A447"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558" w:type="pct"/>
            <w:gridSpan w:val="2"/>
            <w:noWrap/>
            <w:hideMark/>
          </w:tcPr>
          <w:p w14:paraId="19760D10"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c>
          <w:tcPr>
            <w:tcW w:w="615" w:type="pct"/>
            <w:noWrap/>
            <w:hideMark/>
          </w:tcPr>
          <w:p w14:paraId="60DFED69" w14:textId="77777777" w:rsidR="00923F6C" w:rsidRPr="00306156"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06156">
              <w:rPr>
                <w:rFonts w:ascii="Arial" w:eastAsia="Times New Roman" w:hAnsi="Arial" w:cs="Arial"/>
                <w:color w:val="000000"/>
                <w:kern w:val="0"/>
                <w:sz w:val="20"/>
                <w:szCs w:val="20"/>
                <w14:ligatures w14:val="none"/>
              </w:rPr>
              <w:t>0%</w:t>
            </w:r>
          </w:p>
        </w:tc>
      </w:tr>
    </w:tbl>
    <w:p w14:paraId="6A990765" w14:textId="77777777" w:rsidR="00923F6C" w:rsidRDefault="00923F6C" w:rsidP="00923F6C">
      <w:pPr>
        <w:spacing w:line="360" w:lineRule="auto"/>
        <w:jc w:val="both"/>
      </w:pPr>
    </w:p>
    <w:p w14:paraId="0BBD9073" w14:textId="77777777" w:rsidR="00923F6C" w:rsidRDefault="00923F6C" w:rsidP="00923F6C">
      <w:pPr>
        <w:spacing w:line="360" w:lineRule="auto"/>
        <w:jc w:val="both"/>
      </w:pPr>
    </w:p>
    <w:p w14:paraId="025B4EB1" w14:textId="77777777" w:rsidR="00923F6C" w:rsidRDefault="00923F6C" w:rsidP="00923F6C">
      <w:pPr>
        <w:spacing w:line="360" w:lineRule="auto"/>
        <w:jc w:val="both"/>
      </w:pPr>
    </w:p>
    <w:tbl>
      <w:tblPr>
        <w:tblStyle w:val="GridTable1Light-Accent5"/>
        <w:tblW w:w="5000" w:type="pct"/>
        <w:tblLook w:val="04A0" w:firstRow="1" w:lastRow="0" w:firstColumn="1" w:lastColumn="0" w:noHBand="0" w:noVBand="1"/>
      </w:tblPr>
      <w:tblGrid>
        <w:gridCol w:w="4855"/>
        <w:gridCol w:w="899"/>
        <w:gridCol w:w="899"/>
        <w:gridCol w:w="899"/>
        <w:gridCol w:w="899"/>
        <w:gridCol w:w="899"/>
      </w:tblGrid>
      <w:tr w:rsidR="00923F6C" w:rsidRPr="00D872EA" w14:paraId="4697EC65" w14:textId="77777777" w:rsidTr="002B72E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3E697A6" w14:textId="77777777" w:rsidR="00923F6C" w:rsidRPr="00D872EA" w:rsidRDefault="00923F6C" w:rsidP="002B72E8">
            <w:pPr>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lastRenderedPageBreak/>
              <w:t>Fiscal data as of Jun 30 2023</w:t>
            </w:r>
          </w:p>
        </w:tc>
        <w:tc>
          <w:tcPr>
            <w:tcW w:w="481" w:type="pct"/>
            <w:noWrap/>
            <w:hideMark/>
          </w:tcPr>
          <w:p w14:paraId="40546963" w14:textId="77777777" w:rsidR="00923F6C" w:rsidRPr="00D872EA"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t>2023 (%)</w:t>
            </w:r>
          </w:p>
        </w:tc>
        <w:tc>
          <w:tcPr>
            <w:tcW w:w="481" w:type="pct"/>
            <w:noWrap/>
            <w:hideMark/>
          </w:tcPr>
          <w:p w14:paraId="015BE0A3" w14:textId="77777777" w:rsidR="00923F6C" w:rsidRPr="00D872EA"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t>2022 (%)</w:t>
            </w:r>
          </w:p>
        </w:tc>
        <w:tc>
          <w:tcPr>
            <w:tcW w:w="481" w:type="pct"/>
            <w:noWrap/>
            <w:hideMark/>
          </w:tcPr>
          <w:p w14:paraId="3CC58410" w14:textId="77777777" w:rsidR="00923F6C" w:rsidRPr="00D872EA"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t>2021 (%)</w:t>
            </w:r>
          </w:p>
        </w:tc>
        <w:tc>
          <w:tcPr>
            <w:tcW w:w="481" w:type="pct"/>
            <w:noWrap/>
            <w:hideMark/>
          </w:tcPr>
          <w:p w14:paraId="00683229" w14:textId="77777777" w:rsidR="00923F6C" w:rsidRPr="00D872EA"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t>2020 (%)</w:t>
            </w:r>
          </w:p>
        </w:tc>
        <w:tc>
          <w:tcPr>
            <w:tcW w:w="481" w:type="pct"/>
            <w:noWrap/>
            <w:hideMark/>
          </w:tcPr>
          <w:p w14:paraId="3858ED64" w14:textId="77777777" w:rsidR="00923F6C" w:rsidRPr="00D872EA"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kern w:val="0"/>
                <w:sz w:val="20"/>
                <w:szCs w:val="20"/>
                <w14:ligatures w14:val="none"/>
              </w:rPr>
            </w:pPr>
            <w:r w:rsidRPr="00D872EA">
              <w:rPr>
                <w:rFonts w:ascii="Arial" w:eastAsia="Times New Roman" w:hAnsi="Arial" w:cs="Arial"/>
                <w:color w:val="000000" w:themeColor="text1"/>
                <w:kern w:val="0"/>
                <w:sz w:val="20"/>
                <w:szCs w:val="20"/>
                <w14:ligatures w14:val="none"/>
              </w:rPr>
              <w:t>2019 (%)</w:t>
            </w:r>
          </w:p>
        </w:tc>
      </w:tr>
      <w:tr w:rsidR="00923F6C" w:rsidRPr="00D872EA" w14:paraId="7601306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4D54C977"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Total revenue</w:t>
            </w:r>
          </w:p>
        </w:tc>
        <w:tc>
          <w:tcPr>
            <w:tcW w:w="481" w:type="pct"/>
            <w:noWrap/>
            <w:hideMark/>
          </w:tcPr>
          <w:p w14:paraId="48C1ADD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100.00%</w:t>
            </w:r>
          </w:p>
        </w:tc>
        <w:tc>
          <w:tcPr>
            <w:tcW w:w="481" w:type="pct"/>
            <w:noWrap/>
            <w:hideMark/>
          </w:tcPr>
          <w:p w14:paraId="493752F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100.00%</w:t>
            </w:r>
          </w:p>
        </w:tc>
        <w:tc>
          <w:tcPr>
            <w:tcW w:w="481" w:type="pct"/>
            <w:noWrap/>
            <w:hideMark/>
          </w:tcPr>
          <w:p w14:paraId="6A75E41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100.00%</w:t>
            </w:r>
          </w:p>
        </w:tc>
        <w:tc>
          <w:tcPr>
            <w:tcW w:w="481" w:type="pct"/>
            <w:noWrap/>
            <w:hideMark/>
          </w:tcPr>
          <w:p w14:paraId="47BBCF1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100.00%</w:t>
            </w:r>
          </w:p>
        </w:tc>
        <w:tc>
          <w:tcPr>
            <w:tcW w:w="481" w:type="pct"/>
            <w:noWrap/>
            <w:hideMark/>
          </w:tcPr>
          <w:p w14:paraId="0B05BBC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100.00%</w:t>
            </w:r>
          </w:p>
        </w:tc>
      </w:tr>
      <w:tr w:rsidR="00923F6C" w:rsidRPr="00D872EA" w14:paraId="16FE80C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6ABF12F"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OPERATING EXPENSES</w:t>
            </w:r>
          </w:p>
        </w:tc>
        <w:tc>
          <w:tcPr>
            <w:tcW w:w="481" w:type="pct"/>
            <w:noWrap/>
            <w:hideMark/>
          </w:tcPr>
          <w:p w14:paraId="2D50706B"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1F57245"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402D79CA"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BA6011E"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1A85B85D"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5A7A939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3CA04171"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Cost of revenue total</w:t>
            </w:r>
          </w:p>
        </w:tc>
        <w:tc>
          <w:tcPr>
            <w:tcW w:w="481" w:type="pct"/>
            <w:noWrap/>
            <w:hideMark/>
          </w:tcPr>
          <w:p w14:paraId="6AFB676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78.76%</w:t>
            </w:r>
          </w:p>
        </w:tc>
        <w:tc>
          <w:tcPr>
            <w:tcW w:w="481" w:type="pct"/>
            <w:noWrap/>
            <w:hideMark/>
          </w:tcPr>
          <w:p w14:paraId="49BA2AE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75.17%</w:t>
            </w:r>
          </w:p>
        </w:tc>
        <w:tc>
          <w:tcPr>
            <w:tcW w:w="481" w:type="pct"/>
            <w:noWrap/>
            <w:hideMark/>
          </w:tcPr>
          <w:p w14:paraId="060D26D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77.78%</w:t>
            </w:r>
          </w:p>
        </w:tc>
        <w:tc>
          <w:tcPr>
            <w:tcW w:w="481" w:type="pct"/>
            <w:noWrap/>
            <w:hideMark/>
          </w:tcPr>
          <w:p w14:paraId="41985CD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78.62%</w:t>
            </w:r>
          </w:p>
        </w:tc>
        <w:tc>
          <w:tcPr>
            <w:tcW w:w="481" w:type="pct"/>
            <w:noWrap/>
            <w:hideMark/>
          </w:tcPr>
          <w:p w14:paraId="0D2EE10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77.18%</w:t>
            </w:r>
          </w:p>
        </w:tc>
      </w:tr>
      <w:tr w:rsidR="00923F6C" w:rsidRPr="00D872EA" w14:paraId="5968DA5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B7DED57"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Selling, general and admin. expenses, total</w:t>
            </w:r>
          </w:p>
        </w:tc>
        <w:tc>
          <w:tcPr>
            <w:tcW w:w="481" w:type="pct"/>
            <w:noWrap/>
            <w:hideMark/>
          </w:tcPr>
          <w:p w14:paraId="1906ED6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5.09%</w:t>
            </w:r>
          </w:p>
        </w:tc>
        <w:tc>
          <w:tcPr>
            <w:tcW w:w="481" w:type="pct"/>
            <w:noWrap/>
            <w:hideMark/>
          </w:tcPr>
          <w:p w14:paraId="39CDAD1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4.86%</w:t>
            </w:r>
          </w:p>
        </w:tc>
        <w:tc>
          <w:tcPr>
            <w:tcW w:w="481" w:type="pct"/>
            <w:noWrap/>
            <w:hideMark/>
          </w:tcPr>
          <w:p w14:paraId="2275C85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4.32%</w:t>
            </w:r>
          </w:p>
        </w:tc>
        <w:tc>
          <w:tcPr>
            <w:tcW w:w="481" w:type="pct"/>
            <w:noWrap/>
            <w:hideMark/>
          </w:tcPr>
          <w:p w14:paraId="1B94411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3.74%</w:t>
            </w:r>
          </w:p>
        </w:tc>
        <w:tc>
          <w:tcPr>
            <w:tcW w:w="481" w:type="pct"/>
            <w:noWrap/>
            <w:hideMark/>
          </w:tcPr>
          <w:p w14:paraId="21912C9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4.47%</w:t>
            </w:r>
          </w:p>
        </w:tc>
      </w:tr>
      <w:tr w:rsidR="00923F6C" w:rsidRPr="00D872EA" w14:paraId="404DE7D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68D7056"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Depreciation/amortization</w:t>
            </w:r>
          </w:p>
        </w:tc>
        <w:tc>
          <w:tcPr>
            <w:tcW w:w="481" w:type="pct"/>
            <w:noWrap/>
            <w:hideMark/>
          </w:tcPr>
          <w:p w14:paraId="1B1B4B3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1214AC3"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753DBCC8"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C80295C"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BBF9899"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57DEAE7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7C32CA6"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Unusual expense(income)</w:t>
            </w:r>
          </w:p>
        </w:tc>
        <w:tc>
          <w:tcPr>
            <w:tcW w:w="481" w:type="pct"/>
            <w:noWrap/>
            <w:hideMark/>
          </w:tcPr>
          <w:p w14:paraId="6594891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3.36%</w:t>
            </w:r>
          </w:p>
        </w:tc>
        <w:tc>
          <w:tcPr>
            <w:tcW w:w="481" w:type="pct"/>
            <w:noWrap/>
            <w:hideMark/>
          </w:tcPr>
          <w:p w14:paraId="0E5CE8D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7.84%</w:t>
            </w:r>
          </w:p>
        </w:tc>
        <w:tc>
          <w:tcPr>
            <w:tcW w:w="481" w:type="pct"/>
            <w:noWrap/>
            <w:hideMark/>
          </w:tcPr>
          <w:p w14:paraId="1D5D48A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1.16%</w:t>
            </w:r>
          </w:p>
        </w:tc>
        <w:tc>
          <w:tcPr>
            <w:tcW w:w="481" w:type="pct"/>
            <w:noWrap/>
            <w:hideMark/>
          </w:tcPr>
          <w:p w14:paraId="1EB8687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3.33%</w:t>
            </w:r>
          </w:p>
        </w:tc>
        <w:tc>
          <w:tcPr>
            <w:tcW w:w="481" w:type="pct"/>
            <w:noWrap/>
            <w:hideMark/>
          </w:tcPr>
          <w:p w14:paraId="238C492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0.09%</w:t>
            </w:r>
          </w:p>
        </w:tc>
      </w:tr>
      <w:tr w:rsidR="00923F6C" w:rsidRPr="00D872EA" w14:paraId="0AA894A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14D8C508"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Other operating expenses, total</w:t>
            </w:r>
          </w:p>
        </w:tc>
        <w:tc>
          <w:tcPr>
            <w:tcW w:w="481" w:type="pct"/>
            <w:noWrap/>
            <w:hideMark/>
          </w:tcPr>
          <w:p w14:paraId="5B0B92A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-0.06%</w:t>
            </w:r>
          </w:p>
        </w:tc>
        <w:tc>
          <w:tcPr>
            <w:tcW w:w="481" w:type="pct"/>
            <w:noWrap/>
            <w:hideMark/>
          </w:tcPr>
          <w:p w14:paraId="66060D3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-0.06%</w:t>
            </w:r>
          </w:p>
        </w:tc>
        <w:tc>
          <w:tcPr>
            <w:tcW w:w="481" w:type="pct"/>
            <w:noWrap/>
            <w:hideMark/>
          </w:tcPr>
          <w:p w14:paraId="1135330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-0.11%</w:t>
            </w:r>
          </w:p>
        </w:tc>
        <w:tc>
          <w:tcPr>
            <w:tcW w:w="481" w:type="pct"/>
            <w:noWrap/>
            <w:hideMark/>
          </w:tcPr>
          <w:p w14:paraId="40F32A5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-0.11%</w:t>
            </w:r>
          </w:p>
        </w:tc>
        <w:tc>
          <w:tcPr>
            <w:tcW w:w="481" w:type="pct"/>
            <w:noWrap/>
            <w:hideMark/>
          </w:tcPr>
          <w:p w14:paraId="4BAB6E0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-0.63%</w:t>
            </w:r>
          </w:p>
        </w:tc>
      </w:tr>
      <w:tr w:rsidR="00923F6C" w:rsidRPr="00D872EA" w14:paraId="1BC146E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05C890B"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Total operating expense</w:t>
            </w:r>
          </w:p>
        </w:tc>
        <w:tc>
          <w:tcPr>
            <w:tcW w:w="481" w:type="pct"/>
            <w:noWrap/>
            <w:hideMark/>
          </w:tcPr>
          <w:p w14:paraId="7902167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87.16%</w:t>
            </w:r>
          </w:p>
        </w:tc>
        <w:tc>
          <w:tcPr>
            <w:tcW w:w="481" w:type="pct"/>
            <w:noWrap/>
            <w:hideMark/>
          </w:tcPr>
          <w:p w14:paraId="6024477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87.81%</w:t>
            </w:r>
          </w:p>
        </w:tc>
        <w:tc>
          <w:tcPr>
            <w:tcW w:w="481" w:type="pct"/>
            <w:noWrap/>
            <w:hideMark/>
          </w:tcPr>
          <w:p w14:paraId="6AD69B0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83.13%</w:t>
            </w:r>
          </w:p>
        </w:tc>
        <w:tc>
          <w:tcPr>
            <w:tcW w:w="481" w:type="pct"/>
            <w:noWrap/>
            <w:hideMark/>
          </w:tcPr>
          <w:p w14:paraId="46069D4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85.58%</w:t>
            </w:r>
          </w:p>
        </w:tc>
        <w:tc>
          <w:tcPr>
            <w:tcW w:w="481" w:type="pct"/>
            <w:noWrap/>
            <w:hideMark/>
          </w:tcPr>
          <w:p w14:paraId="06CDAF0D"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81.13%</w:t>
            </w:r>
          </w:p>
        </w:tc>
      </w:tr>
      <w:tr w:rsidR="00923F6C" w:rsidRPr="00D872EA" w14:paraId="2E25388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0CA3388"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Operating income</w:t>
            </w:r>
          </w:p>
        </w:tc>
        <w:tc>
          <w:tcPr>
            <w:tcW w:w="481" w:type="pct"/>
            <w:noWrap/>
            <w:hideMark/>
          </w:tcPr>
          <w:p w14:paraId="4827CEE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12.85%</w:t>
            </w:r>
          </w:p>
        </w:tc>
        <w:tc>
          <w:tcPr>
            <w:tcW w:w="481" w:type="pct"/>
            <w:noWrap/>
            <w:hideMark/>
          </w:tcPr>
          <w:p w14:paraId="3A3986B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12.19%</w:t>
            </w:r>
          </w:p>
        </w:tc>
        <w:tc>
          <w:tcPr>
            <w:tcW w:w="481" w:type="pct"/>
            <w:noWrap/>
            <w:hideMark/>
          </w:tcPr>
          <w:p w14:paraId="4BF17AD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16.87%</w:t>
            </w:r>
          </w:p>
        </w:tc>
        <w:tc>
          <w:tcPr>
            <w:tcW w:w="481" w:type="pct"/>
            <w:noWrap/>
            <w:hideMark/>
          </w:tcPr>
          <w:p w14:paraId="0A03311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14.42%</w:t>
            </w:r>
          </w:p>
        </w:tc>
        <w:tc>
          <w:tcPr>
            <w:tcW w:w="481" w:type="pct"/>
            <w:noWrap/>
            <w:hideMark/>
          </w:tcPr>
          <w:p w14:paraId="377F6A7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18.87%</w:t>
            </w:r>
          </w:p>
        </w:tc>
      </w:tr>
      <w:tr w:rsidR="00923F6C" w:rsidRPr="00D872EA" w14:paraId="2457BF9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4F60A80"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Other, net</w:t>
            </w:r>
          </w:p>
        </w:tc>
        <w:tc>
          <w:tcPr>
            <w:tcW w:w="481" w:type="pct"/>
            <w:noWrap/>
            <w:hideMark/>
          </w:tcPr>
          <w:p w14:paraId="4DFDB59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-0.43%</w:t>
            </w:r>
          </w:p>
        </w:tc>
        <w:tc>
          <w:tcPr>
            <w:tcW w:w="481" w:type="pct"/>
            <w:noWrap/>
            <w:hideMark/>
          </w:tcPr>
          <w:p w14:paraId="192BC9E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-0.36%</w:t>
            </w:r>
          </w:p>
        </w:tc>
        <w:tc>
          <w:tcPr>
            <w:tcW w:w="481" w:type="pct"/>
            <w:noWrap/>
            <w:hideMark/>
          </w:tcPr>
          <w:p w14:paraId="3FEC91C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-0.33%</w:t>
            </w:r>
          </w:p>
        </w:tc>
        <w:tc>
          <w:tcPr>
            <w:tcW w:w="481" w:type="pct"/>
            <w:noWrap/>
            <w:hideMark/>
          </w:tcPr>
          <w:p w14:paraId="71A185B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-0.61%</w:t>
            </w:r>
          </w:p>
        </w:tc>
        <w:tc>
          <w:tcPr>
            <w:tcW w:w="481" w:type="pct"/>
            <w:noWrap/>
            <w:hideMark/>
          </w:tcPr>
          <w:p w14:paraId="5C93921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-0.46%</w:t>
            </w:r>
          </w:p>
        </w:tc>
      </w:tr>
      <w:tr w:rsidR="00923F6C" w:rsidRPr="00D872EA" w14:paraId="59B4F61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555DD1C8"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INCOME TAXES, MINORITY INTEREST AND EXTRA ITEMS</w:t>
            </w:r>
          </w:p>
        </w:tc>
        <w:tc>
          <w:tcPr>
            <w:tcW w:w="481" w:type="pct"/>
            <w:noWrap/>
            <w:hideMark/>
          </w:tcPr>
          <w:p w14:paraId="0B45BBE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D464305"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B85CFD6"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7832759"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D895CAC"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73E83D7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E50E43D"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Net income before taxes</w:t>
            </w:r>
          </w:p>
        </w:tc>
        <w:tc>
          <w:tcPr>
            <w:tcW w:w="481" w:type="pct"/>
            <w:noWrap/>
            <w:hideMark/>
          </w:tcPr>
          <w:p w14:paraId="5050A78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13.25%</w:t>
            </w:r>
          </w:p>
        </w:tc>
        <w:tc>
          <w:tcPr>
            <w:tcW w:w="481" w:type="pct"/>
            <w:noWrap/>
            <w:hideMark/>
          </w:tcPr>
          <w:p w14:paraId="4137450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12.19%</w:t>
            </w:r>
          </w:p>
        </w:tc>
        <w:tc>
          <w:tcPr>
            <w:tcW w:w="481" w:type="pct"/>
            <w:noWrap/>
            <w:hideMark/>
          </w:tcPr>
          <w:p w14:paraId="005EE6D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16.87%</w:t>
            </w:r>
          </w:p>
        </w:tc>
        <w:tc>
          <w:tcPr>
            <w:tcW w:w="481" w:type="pct"/>
            <w:noWrap/>
            <w:hideMark/>
          </w:tcPr>
          <w:p w14:paraId="53CBB2A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14.39%</w:t>
            </w:r>
          </w:p>
        </w:tc>
        <w:tc>
          <w:tcPr>
            <w:tcW w:w="481" w:type="pct"/>
            <w:noWrap/>
            <w:hideMark/>
          </w:tcPr>
          <w:p w14:paraId="4890BE7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19.11%</w:t>
            </w:r>
          </w:p>
        </w:tc>
      </w:tr>
      <w:tr w:rsidR="00923F6C" w:rsidRPr="00D872EA" w14:paraId="7C107BB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F89D9D7"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Provision for income taxes</w:t>
            </w:r>
          </w:p>
        </w:tc>
        <w:tc>
          <w:tcPr>
            <w:tcW w:w="481" w:type="pct"/>
            <w:noWrap/>
            <w:hideMark/>
          </w:tcPr>
          <w:p w14:paraId="5676D32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3.29%</w:t>
            </w:r>
          </w:p>
        </w:tc>
        <w:tc>
          <w:tcPr>
            <w:tcW w:w="481" w:type="pct"/>
            <w:noWrap/>
            <w:hideMark/>
          </w:tcPr>
          <w:p w14:paraId="278FC5B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2.41%</w:t>
            </w:r>
          </w:p>
        </w:tc>
        <w:tc>
          <w:tcPr>
            <w:tcW w:w="481" w:type="pct"/>
            <w:noWrap/>
            <w:hideMark/>
          </w:tcPr>
          <w:p w14:paraId="51A157B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3.16%</w:t>
            </w:r>
          </w:p>
        </w:tc>
        <w:tc>
          <w:tcPr>
            <w:tcW w:w="481" w:type="pct"/>
            <w:noWrap/>
            <w:hideMark/>
          </w:tcPr>
          <w:p w14:paraId="35B018C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2.60%</w:t>
            </w:r>
          </w:p>
        </w:tc>
        <w:tc>
          <w:tcPr>
            <w:tcW w:w="481" w:type="pct"/>
            <w:noWrap/>
            <w:hideMark/>
          </w:tcPr>
          <w:p w14:paraId="3FB41ED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3.57%</w:t>
            </w:r>
          </w:p>
        </w:tc>
      </w:tr>
      <w:tr w:rsidR="00923F6C" w:rsidRPr="00D872EA" w14:paraId="38E460A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1F680D1B"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Net income after taxes</w:t>
            </w:r>
          </w:p>
        </w:tc>
        <w:tc>
          <w:tcPr>
            <w:tcW w:w="481" w:type="pct"/>
            <w:noWrap/>
            <w:hideMark/>
          </w:tcPr>
          <w:p w14:paraId="75CB79A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9.96%</w:t>
            </w:r>
          </w:p>
        </w:tc>
        <w:tc>
          <w:tcPr>
            <w:tcW w:w="481" w:type="pct"/>
            <w:noWrap/>
            <w:hideMark/>
          </w:tcPr>
          <w:p w14:paraId="1A0617D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9.78%</w:t>
            </w:r>
          </w:p>
        </w:tc>
        <w:tc>
          <w:tcPr>
            <w:tcW w:w="481" w:type="pct"/>
            <w:noWrap/>
            <w:hideMark/>
          </w:tcPr>
          <w:p w14:paraId="76CE553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13.72%</w:t>
            </w:r>
          </w:p>
        </w:tc>
        <w:tc>
          <w:tcPr>
            <w:tcW w:w="481" w:type="pct"/>
            <w:noWrap/>
            <w:hideMark/>
          </w:tcPr>
          <w:p w14:paraId="64A840A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11.79%</w:t>
            </w:r>
          </w:p>
        </w:tc>
        <w:tc>
          <w:tcPr>
            <w:tcW w:w="481" w:type="pct"/>
            <w:noWrap/>
            <w:hideMark/>
          </w:tcPr>
          <w:p w14:paraId="25C6061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15.52%</w:t>
            </w:r>
          </w:p>
        </w:tc>
      </w:tr>
      <w:tr w:rsidR="00923F6C" w:rsidRPr="00D872EA" w14:paraId="28CE9AEF"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C5C6DF0"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Minority interest</w:t>
            </w:r>
          </w:p>
        </w:tc>
        <w:tc>
          <w:tcPr>
            <w:tcW w:w="481" w:type="pct"/>
            <w:noWrap/>
            <w:hideMark/>
          </w:tcPr>
          <w:p w14:paraId="70F25B6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c>
          <w:tcPr>
            <w:tcW w:w="481" w:type="pct"/>
            <w:noWrap/>
            <w:hideMark/>
          </w:tcPr>
          <w:p w14:paraId="1CA9D97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c>
          <w:tcPr>
            <w:tcW w:w="481" w:type="pct"/>
            <w:noWrap/>
            <w:hideMark/>
          </w:tcPr>
          <w:p w14:paraId="3B074EC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22658E1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-0.09%</w:t>
            </w:r>
          </w:p>
        </w:tc>
        <w:tc>
          <w:tcPr>
            <w:tcW w:w="481" w:type="pct"/>
            <w:noWrap/>
            <w:hideMark/>
          </w:tcPr>
          <w:p w14:paraId="2D080C5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r>
      <w:tr w:rsidR="00923F6C" w:rsidRPr="00D872EA" w14:paraId="5533530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191A8C2F"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Net income before extra. Items</w:t>
            </w:r>
          </w:p>
        </w:tc>
        <w:tc>
          <w:tcPr>
            <w:tcW w:w="481" w:type="pct"/>
            <w:noWrap/>
            <w:hideMark/>
          </w:tcPr>
          <w:p w14:paraId="2A8093E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9.96%</w:t>
            </w:r>
          </w:p>
        </w:tc>
        <w:tc>
          <w:tcPr>
            <w:tcW w:w="481" w:type="pct"/>
            <w:noWrap/>
            <w:hideMark/>
          </w:tcPr>
          <w:p w14:paraId="21B6106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9.78%</w:t>
            </w:r>
          </w:p>
        </w:tc>
        <w:tc>
          <w:tcPr>
            <w:tcW w:w="481" w:type="pct"/>
            <w:noWrap/>
            <w:hideMark/>
          </w:tcPr>
          <w:p w14:paraId="60A02E4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13.72%</w:t>
            </w:r>
          </w:p>
        </w:tc>
        <w:tc>
          <w:tcPr>
            <w:tcW w:w="481" w:type="pct"/>
            <w:noWrap/>
            <w:hideMark/>
          </w:tcPr>
          <w:p w14:paraId="7C1D864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11.70%</w:t>
            </w:r>
          </w:p>
        </w:tc>
        <w:tc>
          <w:tcPr>
            <w:tcW w:w="481" w:type="pct"/>
            <w:noWrap/>
            <w:hideMark/>
          </w:tcPr>
          <w:p w14:paraId="13B656F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15.54%</w:t>
            </w:r>
          </w:p>
        </w:tc>
      </w:tr>
      <w:tr w:rsidR="00923F6C" w:rsidRPr="00D872EA" w14:paraId="40F3597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D04A203"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Total extraordinary items</w:t>
            </w:r>
          </w:p>
        </w:tc>
        <w:tc>
          <w:tcPr>
            <w:tcW w:w="481" w:type="pct"/>
            <w:noWrap/>
            <w:hideMark/>
          </w:tcPr>
          <w:p w14:paraId="25C81399"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7A4AB81"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3541BF3"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CC119EF"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770CCBCC"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31AA299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52BC8DA3"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Net income</w:t>
            </w:r>
          </w:p>
        </w:tc>
        <w:tc>
          <w:tcPr>
            <w:tcW w:w="481" w:type="pct"/>
            <w:noWrap/>
            <w:hideMark/>
          </w:tcPr>
          <w:p w14:paraId="26928AC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9.96%</w:t>
            </w:r>
          </w:p>
        </w:tc>
        <w:tc>
          <w:tcPr>
            <w:tcW w:w="481" w:type="pct"/>
            <w:noWrap/>
            <w:hideMark/>
          </w:tcPr>
          <w:p w14:paraId="5EE2784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9.78%</w:t>
            </w:r>
          </w:p>
        </w:tc>
        <w:tc>
          <w:tcPr>
            <w:tcW w:w="481" w:type="pct"/>
            <w:noWrap/>
            <w:hideMark/>
          </w:tcPr>
          <w:p w14:paraId="312C943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13.72%</w:t>
            </w:r>
          </w:p>
        </w:tc>
        <w:tc>
          <w:tcPr>
            <w:tcW w:w="481" w:type="pct"/>
            <w:noWrap/>
            <w:hideMark/>
          </w:tcPr>
          <w:p w14:paraId="163F78D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11.70%</w:t>
            </w:r>
          </w:p>
        </w:tc>
        <w:tc>
          <w:tcPr>
            <w:tcW w:w="481" w:type="pct"/>
            <w:noWrap/>
            <w:hideMark/>
          </w:tcPr>
          <w:p w14:paraId="1C0CC9E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15.54%</w:t>
            </w:r>
          </w:p>
        </w:tc>
      </w:tr>
      <w:tr w:rsidR="00923F6C" w:rsidRPr="00D872EA" w14:paraId="0D0D1F1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80A3FB3"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Inc.</w:t>
            </w:r>
            <w:r>
              <w:rPr>
                <w:rFonts w:ascii="Arial" w:eastAsia="Times New Roman" w:hAnsi="Arial" w:cs="Arial"/>
                <w:b w:val="0"/>
                <w:bCs w:val="0"/>
                <w:color w:val="000000"/>
                <w:kern w:val="0"/>
                <w:sz w:val="20"/>
                <w:szCs w:val="20"/>
                <w14:ligatures w14:val="none"/>
              </w:rPr>
              <w:t xml:space="preserve"> </w:t>
            </w:r>
            <w:r w:rsidRPr="00D872EA">
              <w:rPr>
                <w:rFonts w:ascii="Arial" w:eastAsia="Times New Roman" w:hAnsi="Arial" w:cs="Arial"/>
                <w:b w:val="0"/>
                <w:bCs w:val="0"/>
                <w:color w:val="000000"/>
                <w:kern w:val="0"/>
                <w:sz w:val="20"/>
                <w:szCs w:val="20"/>
                <w14:ligatures w14:val="none"/>
              </w:rPr>
              <w:t>avail. to common excl. extra. Items</w:t>
            </w:r>
          </w:p>
        </w:tc>
        <w:tc>
          <w:tcPr>
            <w:tcW w:w="481" w:type="pct"/>
            <w:noWrap/>
            <w:hideMark/>
          </w:tcPr>
          <w:p w14:paraId="6C3A988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9.96%</w:t>
            </w:r>
          </w:p>
        </w:tc>
        <w:tc>
          <w:tcPr>
            <w:tcW w:w="481" w:type="pct"/>
            <w:noWrap/>
            <w:hideMark/>
          </w:tcPr>
          <w:p w14:paraId="1EFB7A5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9.78%</w:t>
            </w:r>
          </w:p>
        </w:tc>
        <w:tc>
          <w:tcPr>
            <w:tcW w:w="481" w:type="pct"/>
            <w:noWrap/>
            <w:hideMark/>
          </w:tcPr>
          <w:p w14:paraId="309063A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13.72%</w:t>
            </w:r>
          </w:p>
        </w:tc>
        <w:tc>
          <w:tcPr>
            <w:tcW w:w="481" w:type="pct"/>
            <w:noWrap/>
            <w:hideMark/>
          </w:tcPr>
          <w:p w14:paraId="2E4B923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11.70%</w:t>
            </w:r>
          </w:p>
        </w:tc>
        <w:tc>
          <w:tcPr>
            <w:tcW w:w="481" w:type="pct"/>
            <w:noWrap/>
            <w:hideMark/>
          </w:tcPr>
          <w:p w14:paraId="24347F8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15.54%</w:t>
            </w:r>
          </w:p>
        </w:tc>
      </w:tr>
      <w:tr w:rsidR="00923F6C" w:rsidRPr="00D872EA" w14:paraId="15FFEB6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4B6E3594"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Inc.</w:t>
            </w:r>
            <w:r>
              <w:rPr>
                <w:rFonts w:ascii="Arial" w:eastAsia="Times New Roman" w:hAnsi="Arial" w:cs="Arial"/>
                <w:b w:val="0"/>
                <w:bCs w:val="0"/>
                <w:color w:val="000000"/>
                <w:kern w:val="0"/>
                <w:sz w:val="20"/>
                <w:szCs w:val="20"/>
                <w14:ligatures w14:val="none"/>
              </w:rPr>
              <w:t xml:space="preserve"> </w:t>
            </w:r>
            <w:r w:rsidRPr="00D872EA">
              <w:rPr>
                <w:rFonts w:ascii="Arial" w:eastAsia="Times New Roman" w:hAnsi="Arial" w:cs="Arial"/>
                <w:b w:val="0"/>
                <w:bCs w:val="0"/>
                <w:color w:val="000000"/>
                <w:kern w:val="0"/>
                <w:sz w:val="20"/>
                <w:szCs w:val="20"/>
                <w14:ligatures w14:val="none"/>
              </w:rPr>
              <w:t>avail. to common incl. extra. Items</w:t>
            </w:r>
          </w:p>
        </w:tc>
        <w:tc>
          <w:tcPr>
            <w:tcW w:w="481" w:type="pct"/>
            <w:noWrap/>
            <w:hideMark/>
          </w:tcPr>
          <w:p w14:paraId="5E0A5D8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9.96%</w:t>
            </w:r>
          </w:p>
        </w:tc>
        <w:tc>
          <w:tcPr>
            <w:tcW w:w="481" w:type="pct"/>
            <w:noWrap/>
            <w:hideMark/>
          </w:tcPr>
          <w:p w14:paraId="4EB22FE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9.78%</w:t>
            </w:r>
          </w:p>
        </w:tc>
        <w:tc>
          <w:tcPr>
            <w:tcW w:w="481" w:type="pct"/>
            <w:noWrap/>
            <w:hideMark/>
          </w:tcPr>
          <w:p w14:paraId="24E4651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13.72%</w:t>
            </w:r>
          </w:p>
        </w:tc>
        <w:tc>
          <w:tcPr>
            <w:tcW w:w="481" w:type="pct"/>
            <w:noWrap/>
            <w:hideMark/>
          </w:tcPr>
          <w:p w14:paraId="6906273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11.70%</w:t>
            </w:r>
          </w:p>
        </w:tc>
        <w:tc>
          <w:tcPr>
            <w:tcW w:w="481" w:type="pct"/>
            <w:noWrap/>
            <w:hideMark/>
          </w:tcPr>
          <w:p w14:paraId="2C1AAA3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15.54%</w:t>
            </w:r>
          </w:p>
        </w:tc>
      </w:tr>
      <w:tr w:rsidR="00923F6C" w:rsidRPr="00D872EA" w14:paraId="7962785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15F67A7B"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EPS RECONCILIATION</w:t>
            </w:r>
          </w:p>
        </w:tc>
        <w:tc>
          <w:tcPr>
            <w:tcW w:w="481" w:type="pct"/>
            <w:noWrap/>
            <w:hideMark/>
          </w:tcPr>
          <w:p w14:paraId="2BC56CAB"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4FE6A780"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EB4A8FF"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3C43420"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9108246"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0E62765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51AEA0CE"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Basic/primary weighted average shares</w:t>
            </w:r>
          </w:p>
        </w:tc>
        <w:tc>
          <w:tcPr>
            <w:tcW w:w="481" w:type="pct"/>
            <w:noWrap/>
            <w:hideMark/>
          </w:tcPr>
          <w:p w14:paraId="335BCF8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18.79%</w:t>
            </w:r>
          </w:p>
        </w:tc>
        <w:tc>
          <w:tcPr>
            <w:tcW w:w="481" w:type="pct"/>
            <w:noWrap/>
            <w:hideMark/>
          </w:tcPr>
          <w:p w14:paraId="6435864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19.34%</w:t>
            </w:r>
          </w:p>
        </w:tc>
        <w:tc>
          <w:tcPr>
            <w:tcW w:w="481" w:type="pct"/>
            <w:noWrap/>
            <w:hideMark/>
          </w:tcPr>
          <w:p w14:paraId="746DEF0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21.11%</w:t>
            </w:r>
          </w:p>
        </w:tc>
        <w:tc>
          <w:tcPr>
            <w:tcW w:w="481" w:type="pct"/>
            <w:noWrap/>
            <w:hideMark/>
          </w:tcPr>
          <w:p w14:paraId="3878663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29.66%</w:t>
            </w:r>
          </w:p>
        </w:tc>
        <w:tc>
          <w:tcPr>
            <w:tcW w:w="481" w:type="pct"/>
            <w:noWrap/>
            <w:hideMark/>
          </w:tcPr>
          <w:p w14:paraId="7DF72C1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21.21%</w:t>
            </w:r>
          </w:p>
        </w:tc>
      </w:tr>
      <w:tr w:rsidR="00923F6C" w:rsidRPr="00D872EA" w14:paraId="0344B0F2"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7262023A"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Basic/primary eps excl. extra items</w:t>
            </w:r>
          </w:p>
        </w:tc>
        <w:tc>
          <w:tcPr>
            <w:tcW w:w="481" w:type="pct"/>
            <w:noWrap/>
            <w:hideMark/>
          </w:tcPr>
          <w:p w14:paraId="34FC4E2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4E4E008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21784D1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1F32F8E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01826AB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220A6DA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7D44EBCF"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Basic/primary eps incl. extra items</w:t>
            </w:r>
          </w:p>
        </w:tc>
        <w:tc>
          <w:tcPr>
            <w:tcW w:w="481" w:type="pct"/>
            <w:noWrap/>
            <w:hideMark/>
          </w:tcPr>
          <w:p w14:paraId="58175CD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13529B2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6315D25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573465B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1030250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631652D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51DFBF6"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 xml:space="preserve">Dilution </w:t>
            </w:r>
            <w:r>
              <w:rPr>
                <w:rFonts w:ascii="Arial" w:eastAsia="Times New Roman" w:hAnsi="Arial" w:cs="Arial"/>
                <w:b w:val="0"/>
                <w:bCs w:val="0"/>
                <w:color w:val="000000"/>
                <w:kern w:val="0"/>
                <w:sz w:val="20"/>
                <w:szCs w:val="20"/>
                <w14:ligatures w14:val="none"/>
              </w:rPr>
              <w:t>Adjustment</w:t>
            </w:r>
          </w:p>
        </w:tc>
        <w:tc>
          <w:tcPr>
            <w:tcW w:w="481" w:type="pct"/>
            <w:noWrap/>
            <w:hideMark/>
          </w:tcPr>
          <w:p w14:paraId="6A57C0BD"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438A119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2D19C28"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E607D40"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6B1EE7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r>
      <w:tr w:rsidR="00923F6C" w:rsidRPr="00D872EA" w14:paraId="619B7DE6"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A754631"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Diluted weighted average shares</w:t>
            </w:r>
          </w:p>
        </w:tc>
        <w:tc>
          <w:tcPr>
            <w:tcW w:w="481" w:type="pct"/>
            <w:noWrap/>
            <w:hideMark/>
          </w:tcPr>
          <w:p w14:paraId="3012AD3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18.96%</w:t>
            </w:r>
          </w:p>
        </w:tc>
        <w:tc>
          <w:tcPr>
            <w:tcW w:w="481" w:type="pct"/>
            <w:noWrap/>
            <w:hideMark/>
          </w:tcPr>
          <w:p w14:paraId="578B70D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19.63%</w:t>
            </w:r>
          </w:p>
        </w:tc>
        <w:tc>
          <w:tcPr>
            <w:tcW w:w="481" w:type="pct"/>
            <w:noWrap/>
            <w:hideMark/>
          </w:tcPr>
          <w:p w14:paraId="1B74D6D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21.43%</w:t>
            </w:r>
          </w:p>
        </w:tc>
        <w:tc>
          <w:tcPr>
            <w:tcW w:w="481" w:type="pct"/>
            <w:noWrap/>
            <w:hideMark/>
          </w:tcPr>
          <w:p w14:paraId="6C632E8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30.07%</w:t>
            </w:r>
          </w:p>
        </w:tc>
        <w:tc>
          <w:tcPr>
            <w:tcW w:w="481" w:type="pct"/>
            <w:noWrap/>
            <w:hideMark/>
          </w:tcPr>
          <w:p w14:paraId="33FBE56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21.50%</w:t>
            </w:r>
          </w:p>
        </w:tc>
      </w:tr>
      <w:tr w:rsidR="00923F6C" w:rsidRPr="00D872EA" w14:paraId="408BF7D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539BB38"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 xml:space="preserve">Diluted </w:t>
            </w:r>
            <w:r>
              <w:rPr>
                <w:rFonts w:ascii="Arial" w:eastAsia="Times New Roman" w:hAnsi="Arial" w:cs="Arial"/>
                <w:b w:val="0"/>
                <w:bCs w:val="0"/>
                <w:color w:val="000000"/>
                <w:kern w:val="0"/>
                <w:sz w:val="20"/>
                <w:szCs w:val="20"/>
                <w14:ligatures w14:val="none"/>
              </w:rPr>
              <w:t>EPS</w:t>
            </w:r>
            <w:r w:rsidRPr="00D872EA">
              <w:rPr>
                <w:rFonts w:ascii="Arial" w:eastAsia="Times New Roman" w:hAnsi="Arial" w:cs="Arial"/>
                <w:b w:val="0"/>
                <w:bCs w:val="0"/>
                <w:color w:val="000000"/>
                <w:kern w:val="0"/>
                <w:sz w:val="20"/>
                <w:szCs w:val="20"/>
                <w14:ligatures w14:val="none"/>
              </w:rPr>
              <w:t xml:space="preserve"> excl. extra items</w:t>
            </w:r>
          </w:p>
        </w:tc>
        <w:tc>
          <w:tcPr>
            <w:tcW w:w="481" w:type="pct"/>
            <w:noWrap/>
            <w:hideMark/>
          </w:tcPr>
          <w:p w14:paraId="32D024F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762603F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2B7339C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7E7D5F4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2ABD705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18F098B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54B020CA"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 xml:space="preserve">Diluted </w:t>
            </w:r>
            <w:r>
              <w:rPr>
                <w:rFonts w:ascii="Arial" w:eastAsia="Times New Roman" w:hAnsi="Arial" w:cs="Arial"/>
                <w:b w:val="0"/>
                <w:bCs w:val="0"/>
                <w:color w:val="000000"/>
                <w:kern w:val="0"/>
                <w:sz w:val="20"/>
                <w:szCs w:val="20"/>
                <w14:ligatures w14:val="none"/>
              </w:rPr>
              <w:t>EPS</w:t>
            </w:r>
            <w:r w:rsidRPr="00D872EA">
              <w:rPr>
                <w:rFonts w:ascii="Arial" w:eastAsia="Times New Roman" w:hAnsi="Arial" w:cs="Arial"/>
                <w:b w:val="0"/>
                <w:bCs w:val="0"/>
                <w:color w:val="000000"/>
                <w:kern w:val="0"/>
                <w:sz w:val="20"/>
                <w:szCs w:val="20"/>
                <w14:ligatures w14:val="none"/>
              </w:rPr>
              <w:t xml:space="preserve"> incl. extra items</w:t>
            </w:r>
          </w:p>
        </w:tc>
        <w:tc>
          <w:tcPr>
            <w:tcW w:w="481" w:type="pct"/>
            <w:noWrap/>
            <w:hideMark/>
          </w:tcPr>
          <w:p w14:paraId="03E6C0E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4681FC8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03C1DF3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3F9D642D"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1418DD5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2DD8F28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11F8835"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COMMON STOCK DIVIDENDS</w:t>
            </w:r>
          </w:p>
        </w:tc>
        <w:tc>
          <w:tcPr>
            <w:tcW w:w="481" w:type="pct"/>
            <w:noWrap/>
            <w:hideMark/>
          </w:tcPr>
          <w:p w14:paraId="11B95065"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D4DDED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c>
          <w:tcPr>
            <w:tcW w:w="481" w:type="pct"/>
            <w:noWrap/>
            <w:hideMark/>
          </w:tcPr>
          <w:p w14:paraId="7F6A1DF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50C7A5A"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6ABE9EA4"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74F6268A"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76DC6BDF"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DPS - common stock primary issue</w:t>
            </w:r>
          </w:p>
        </w:tc>
        <w:tc>
          <w:tcPr>
            <w:tcW w:w="481" w:type="pct"/>
            <w:noWrap/>
            <w:hideMark/>
          </w:tcPr>
          <w:p w14:paraId="0123338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3E7BF8D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3506183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45DAC4B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c>
          <w:tcPr>
            <w:tcW w:w="481" w:type="pct"/>
            <w:noWrap/>
            <w:hideMark/>
          </w:tcPr>
          <w:p w14:paraId="74B8EA0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r>
      <w:tr w:rsidR="00923F6C" w:rsidRPr="00D872EA" w14:paraId="47E54648"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23177D7"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Gross dividend - common stock</w:t>
            </w:r>
          </w:p>
        </w:tc>
        <w:tc>
          <w:tcPr>
            <w:tcW w:w="481" w:type="pct"/>
            <w:noWrap/>
            <w:hideMark/>
          </w:tcPr>
          <w:p w14:paraId="5ECF48B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6.16%</w:t>
            </w:r>
          </w:p>
        </w:tc>
        <w:tc>
          <w:tcPr>
            <w:tcW w:w="481" w:type="pct"/>
            <w:noWrap/>
            <w:hideMark/>
          </w:tcPr>
          <w:p w14:paraId="5126B8D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7.12%</w:t>
            </w:r>
          </w:p>
        </w:tc>
        <w:tc>
          <w:tcPr>
            <w:tcW w:w="481" w:type="pct"/>
            <w:noWrap/>
            <w:hideMark/>
          </w:tcPr>
          <w:p w14:paraId="558D770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6.21%</w:t>
            </w:r>
          </w:p>
        </w:tc>
        <w:tc>
          <w:tcPr>
            <w:tcW w:w="481" w:type="pct"/>
            <w:noWrap/>
            <w:hideMark/>
          </w:tcPr>
          <w:p w14:paraId="2F1B40F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0.00%</w:t>
            </w:r>
          </w:p>
        </w:tc>
        <w:tc>
          <w:tcPr>
            <w:tcW w:w="481" w:type="pct"/>
            <w:noWrap/>
            <w:hideMark/>
          </w:tcPr>
          <w:p w14:paraId="4398619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9.85%</w:t>
            </w:r>
          </w:p>
        </w:tc>
      </w:tr>
      <w:tr w:rsidR="00923F6C" w:rsidRPr="00D872EA" w14:paraId="28E99DA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41C6233B"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PRO FORMA INCOME</w:t>
            </w:r>
          </w:p>
        </w:tc>
        <w:tc>
          <w:tcPr>
            <w:tcW w:w="481" w:type="pct"/>
            <w:noWrap/>
            <w:hideMark/>
          </w:tcPr>
          <w:p w14:paraId="69425790"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12613F1"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1CD7DC38"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02817C1"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D23FE90"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2FD558A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552B4A4"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Pro forma net income</w:t>
            </w:r>
          </w:p>
        </w:tc>
        <w:tc>
          <w:tcPr>
            <w:tcW w:w="481" w:type="pct"/>
            <w:noWrap/>
            <w:hideMark/>
          </w:tcPr>
          <w:p w14:paraId="70E8B34B"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A333B89"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A7FB0D8"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FAFF92D"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7CF721B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74F4D47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6B7AD9B"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Interest expense, supplemental</w:t>
            </w:r>
          </w:p>
        </w:tc>
        <w:tc>
          <w:tcPr>
            <w:tcW w:w="481" w:type="pct"/>
            <w:noWrap/>
            <w:hideMark/>
          </w:tcPr>
          <w:p w14:paraId="6F8BD51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0.21%</w:t>
            </w:r>
          </w:p>
        </w:tc>
        <w:tc>
          <w:tcPr>
            <w:tcW w:w="481" w:type="pct"/>
            <w:noWrap/>
            <w:hideMark/>
          </w:tcPr>
          <w:p w14:paraId="627AE5FD"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0.19%</w:t>
            </w:r>
          </w:p>
        </w:tc>
        <w:tc>
          <w:tcPr>
            <w:tcW w:w="481" w:type="pct"/>
            <w:noWrap/>
            <w:hideMark/>
          </w:tcPr>
          <w:p w14:paraId="1FD606E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0.23%</w:t>
            </w:r>
          </w:p>
        </w:tc>
        <w:tc>
          <w:tcPr>
            <w:tcW w:w="481" w:type="pct"/>
            <w:noWrap/>
            <w:hideMark/>
          </w:tcPr>
          <w:p w14:paraId="70D2DC1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0.35%</w:t>
            </w:r>
          </w:p>
        </w:tc>
        <w:tc>
          <w:tcPr>
            <w:tcW w:w="481" w:type="pct"/>
            <w:noWrap/>
            <w:hideMark/>
          </w:tcPr>
          <w:p w14:paraId="6453912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0.20%</w:t>
            </w:r>
          </w:p>
        </w:tc>
      </w:tr>
      <w:tr w:rsidR="00923F6C" w:rsidRPr="00D872EA" w14:paraId="09102B20"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6F88D69D"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SUPPLEMENTAL INCOME</w:t>
            </w:r>
          </w:p>
        </w:tc>
        <w:tc>
          <w:tcPr>
            <w:tcW w:w="481" w:type="pct"/>
            <w:noWrap/>
            <w:hideMark/>
          </w:tcPr>
          <w:p w14:paraId="6F9E3427"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2343A465"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750683A4"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15F51953"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76D94A9C"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70A9299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4C532631"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Depreciation, supplemental</w:t>
            </w:r>
          </w:p>
        </w:tc>
        <w:tc>
          <w:tcPr>
            <w:tcW w:w="481" w:type="pct"/>
            <w:noWrap/>
            <w:hideMark/>
          </w:tcPr>
          <w:p w14:paraId="2CED0F2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0.34%</w:t>
            </w:r>
          </w:p>
        </w:tc>
        <w:tc>
          <w:tcPr>
            <w:tcW w:w="481" w:type="pct"/>
            <w:noWrap/>
            <w:hideMark/>
          </w:tcPr>
          <w:p w14:paraId="1D6B0D7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0.36%</w:t>
            </w:r>
          </w:p>
        </w:tc>
        <w:tc>
          <w:tcPr>
            <w:tcW w:w="481" w:type="pct"/>
            <w:noWrap/>
            <w:hideMark/>
          </w:tcPr>
          <w:p w14:paraId="2EF0F802"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0.42%</w:t>
            </w:r>
          </w:p>
        </w:tc>
        <w:tc>
          <w:tcPr>
            <w:tcW w:w="481" w:type="pct"/>
            <w:noWrap/>
            <w:hideMark/>
          </w:tcPr>
          <w:p w14:paraId="6D6733C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0.56%</w:t>
            </w:r>
          </w:p>
        </w:tc>
        <w:tc>
          <w:tcPr>
            <w:tcW w:w="481" w:type="pct"/>
            <w:noWrap/>
            <w:hideMark/>
          </w:tcPr>
          <w:p w14:paraId="2B3A24F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0.09%</w:t>
            </w:r>
          </w:p>
        </w:tc>
      </w:tr>
      <w:tr w:rsidR="00923F6C" w:rsidRPr="00D872EA" w14:paraId="47F1D4AD"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4AE5EFA"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Total special items</w:t>
            </w:r>
          </w:p>
        </w:tc>
        <w:tc>
          <w:tcPr>
            <w:tcW w:w="481" w:type="pct"/>
            <w:noWrap/>
            <w:hideMark/>
          </w:tcPr>
          <w:p w14:paraId="507E68D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3.36%</w:t>
            </w:r>
          </w:p>
        </w:tc>
        <w:tc>
          <w:tcPr>
            <w:tcW w:w="481" w:type="pct"/>
            <w:noWrap/>
            <w:hideMark/>
          </w:tcPr>
          <w:p w14:paraId="1C8A1ADD"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7.84%</w:t>
            </w:r>
          </w:p>
        </w:tc>
        <w:tc>
          <w:tcPr>
            <w:tcW w:w="481" w:type="pct"/>
            <w:noWrap/>
            <w:hideMark/>
          </w:tcPr>
          <w:p w14:paraId="793560AE"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1.16%</w:t>
            </w:r>
          </w:p>
        </w:tc>
        <w:tc>
          <w:tcPr>
            <w:tcW w:w="481" w:type="pct"/>
            <w:noWrap/>
            <w:hideMark/>
          </w:tcPr>
          <w:p w14:paraId="0FCAEF9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3.33%</w:t>
            </w:r>
          </w:p>
        </w:tc>
        <w:tc>
          <w:tcPr>
            <w:tcW w:w="481" w:type="pct"/>
            <w:noWrap/>
            <w:hideMark/>
          </w:tcPr>
          <w:p w14:paraId="775661C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0.09%</w:t>
            </w:r>
          </w:p>
        </w:tc>
      </w:tr>
      <w:tr w:rsidR="00923F6C" w:rsidRPr="00D872EA" w14:paraId="587833B3"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378D27B"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NORMALISED INCOME</w:t>
            </w:r>
          </w:p>
        </w:tc>
        <w:tc>
          <w:tcPr>
            <w:tcW w:w="481" w:type="pct"/>
            <w:noWrap/>
            <w:hideMark/>
          </w:tcPr>
          <w:p w14:paraId="6D2F8628"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533AA5B1"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BF34634"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0ED8F6A3"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481" w:type="pct"/>
            <w:noWrap/>
            <w:hideMark/>
          </w:tcPr>
          <w:p w14:paraId="347A721B" w14:textId="77777777" w:rsidR="00923F6C" w:rsidRPr="00D872EA"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D872EA" w14:paraId="478EDBA7"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16643538" w14:textId="77777777" w:rsidR="00923F6C" w:rsidRPr="00D872EA" w:rsidRDefault="00923F6C" w:rsidP="002B72E8">
            <w:pPr>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Normalized income before taxes</w:t>
            </w:r>
          </w:p>
        </w:tc>
        <w:tc>
          <w:tcPr>
            <w:tcW w:w="481" w:type="pct"/>
            <w:noWrap/>
            <w:hideMark/>
          </w:tcPr>
          <w:p w14:paraId="1D5A5AF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16.61%</w:t>
            </w:r>
          </w:p>
        </w:tc>
        <w:tc>
          <w:tcPr>
            <w:tcW w:w="481" w:type="pct"/>
            <w:noWrap/>
            <w:hideMark/>
          </w:tcPr>
          <w:p w14:paraId="2E619E3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20.03%</w:t>
            </w:r>
          </w:p>
        </w:tc>
        <w:tc>
          <w:tcPr>
            <w:tcW w:w="481" w:type="pct"/>
            <w:noWrap/>
            <w:hideMark/>
          </w:tcPr>
          <w:p w14:paraId="71FF529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18.04%</w:t>
            </w:r>
          </w:p>
        </w:tc>
        <w:tc>
          <w:tcPr>
            <w:tcW w:w="481" w:type="pct"/>
            <w:noWrap/>
            <w:hideMark/>
          </w:tcPr>
          <w:p w14:paraId="6B101D9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17.70%</w:t>
            </w:r>
          </w:p>
        </w:tc>
        <w:tc>
          <w:tcPr>
            <w:tcW w:w="481" w:type="pct"/>
            <w:noWrap/>
            <w:hideMark/>
          </w:tcPr>
          <w:p w14:paraId="644BB5E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19.19%</w:t>
            </w:r>
          </w:p>
        </w:tc>
      </w:tr>
      <w:tr w:rsidR="00923F6C" w:rsidRPr="00D872EA" w14:paraId="7E3D3225"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4E8D62FE"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Effect of special items on income taxes</w:t>
            </w:r>
          </w:p>
        </w:tc>
        <w:tc>
          <w:tcPr>
            <w:tcW w:w="481" w:type="pct"/>
            <w:noWrap/>
            <w:hideMark/>
          </w:tcPr>
          <w:p w14:paraId="211B957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0.83%</w:t>
            </w:r>
          </w:p>
        </w:tc>
        <w:tc>
          <w:tcPr>
            <w:tcW w:w="481" w:type="pct"/>
            <w:noWrap/>
            <w:hideMark/>
          </w:tcPr>
          <w:p w14:paraId="3A43003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1.56%</w:t>
            </w:r>
          </w:p>
        </w:tc>
        <w:tc>
          <w:tcPr>
            <w:tcW w:w="481" w:type="pct"/>
            <w:noWrap/>
            <w:hideMark/>
          </w:tcPr>
          <w:p w14:paraId="376BA74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0.21%</w:t>
            </w:r>
          </w:p>
        </w:tc>
        <w:tc>
          <w:tcPr>
            <w:tcW w:w="481" w:type="pct"/>
            <w:noWrap/>
            <w:hideMark/>
          </w:tcPr>
          <w:p w14:paraId="37FD273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0.61%</w:t>
            </w:r>
          </w:p>
        </w:tc>
        <w:tc>
          <w:tcPr>
            <w:tcW w:w="481" w:type="pct"/>
            <w:noWrap/>
            <w:hideMark/>
          </w:tcPr>
          <w:p w14:paraId="05D602FC"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2CADDB8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CB9A2EA"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Income tax excluding impact of special items</w:t>
            </w:r>
          </w:p>
        </w:tc>
        <w:tc>
          <w:tcPr>
            <w:tcW w:w="481" w:type="pct"/>
            <w:noWrap/>
            <w:hideMark/>
          </w:tcPr>
          <w:p w14:paraId="48ABAD0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4.12%</w:t>
            </w:r>
          </w:p>
        </w:tc>
        <w:tc>
          <w:tcPr>
            <w:tcW w:w="481" w:type="pct"/>
            <w:noWrap/>
            <w:hideMark/>
          </w:tcPr>
          <w:p w14:paraId="7D1973A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3.97%</w:t>
            </w:r>
          </w:p>
        </w:tc>
        <w:tc>
          <w:tcPr>
            <w:tcW w:w="481" w:type="pct"/>
            <w:noWrap/>
            <w:hideMark/>
          </w:tcPr>
          <w:p w14:paraId="5475C70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3.37%</w:t>
            </w:r>
          </w:p>
        </w:tc>
        <w:tc>
          <w:tcPr>
            <w:tcW w:w="481" w:type="pct"/>
            <w:noWrap/>
            <w:hideMark/>
          </w:tcPr>
          <w:p w14:paraId="4560FB6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3.22%</w:t>
            </w:r>
          </w:p>
        </w:tc>
        <w:tc>
          <w:tcPr>
            <w:tcW w:w="481" w:type="pct"/>
            <w:noWrap/>
            <w:hideMark/>
          </w:tcPr>
          <w:p w14:paraId="349AAB6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3.59%</w:t>
            </w:r>
          </w:p>
        </w:tc>
      </w:tr>
      <w:tr w:rsidR="00923F6C" w:rsidRPr="00D872EA" w14:paraId="646C8B3B"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24CC3086"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Normalized income after tax</w:t>
            </w:r>
          </w:p>
        </w:tc>
        <w:tc>
          <w:tcPr>
            <w:tcW w:w="481" w:type="pct"/>
            <w:noWrap/>
            <w:hideMark/>
          </w:tcPr>
          <w:p w14:paraId="486E540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12.50%</w:t>
            </w:r>
          </w:p>
        </w:tc>
        <w:tc>
          <w:tcPr>
            <w:tcW w:w="481" w:type="pct"/>
            <w:noWrap/>
            <w:hideMark/>
          </w:tcPr>
          <w:p w14:paraId="4B9A781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16.06%</w:t>
            </w:r>
          </w:p>
        </w:tc>
        <w:tc>
          <w:tcPr>
            <w:tcW w:w="481" w:type="pct"/>
            <w:noWrap/>
            <w:hideMark/>
          </w:tcPr>
          <w:p w14:paraId="7FFE0B9A"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14.65%</w:t>
            </w:r>
          </w:p>
        </w:tc>
        <w:tc>
          <w:tcPr>
            <w:tcW w:w="481" w:type="pct"/>
            <w:noWrap/>
            <w:hideMark/>
          </w:tcPr>
          <w:p w14:paraId="50101FCF"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14.51%</w:t>
            </w:r>
          </w:p>
        </w:tc>
        <w:tc>
          <w:tcPr>
            <w:tcW w:w="481" w:type="pct"/>
            <w:noWrap/>
            <w:hideMark/>
          </w:tcPr>
          <w:p w14:paraId="15A134A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15.60%</w:t>
            </w:r>
          </w:p>
        </w:tc>
      </w:tr>
      <w:tr w:rsidR="00923F6C" w:rsidRPr="00D872EA" w14:paraId="22923A94"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33263D9C"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Normalized income avail. to common</w:t>
            </w:r>
          </w:p>
        </w:tc>
        <w:tc>
          <w:tcPr>
            <w:tcW w:w="481" w:type="pct"/>
            <w:noWrap/>
            <w:hideMark/>
          </w:tcPr>
          <w:p w14:paraId="5D166814"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12.50%</w:t>
            </w:r>
          </w:p>
        </w:tc>
        <w:tc>
          <w:tcPr>
            <w:tcW w:w="481" w:type="pct"/>
            <w:noWrap/>
            <w:hideMark/>
          </w:tcPr>
          <w:p w14:paraId="3FA3C26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16.06%</w:t>
            </w:r>
          </w:p>
        </w:tc>
        <w:tc>
          <w:tcPr>
            <w:tcW w:w="481" w:type="pct"/>
            <w:noWrap/>
            <w:hideMark/>
          </w:tcPr>
          <w:p w14:paraId="0864A110"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14.65%</w:t>
            </w:r>
          </w:p>
        </w:tc>
        <w:tc>
          <w:tcPr>
            <w:tcW w:w="481" w:type="pct"/>
            <w:noWrap/>
            <w:hideMark/>
          </w:tcPr>
          <w:p w14:paraId="1783A18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14.42%</w:t>
            </w:r>
          </w:p>
        </w:tc>
        <w:tc>
          <w:tcPr>
            <w:tcW w:w="481" w:type="pct"/>
            <w:noWrap/>
            <w:hideMark/>
          </w:tcPr>
          <w:p w14:paraId="2FD89328"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15.60%</w:t>
            </w:r>
          </w:p>
        </w:tc>
      </w:tr>
      <w:tr w:rsidR="00923F6C" w:rsidRPr="00D872EA" w14:paraId="7412761E"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5EDDF975"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Basic normalized EPS</w:t>
            </w:r>
          </w:p>
        </w:tc>
        <w:tc>
          <w:tcPr>
            <w:tcW w:w="481" w:type="pct"/>
            <w:noWrap/>
            <w:hideMark/>
          </w:tcPr>
          <w:p w14:paraId="04B7F877"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20C3A37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c>
          <w:tcPr>
            <w:tcW w:w="481" w:type="pct"/>
            <w:noWrap/>
            <w:hideMark/>
          </w:tcPr>
          <w:p w14:paraId="0C636CA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5D4BA9F1"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3AC35EA3"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r w:rsidR="00923F6C" w:rsidRPr="00D872EA" w14:paraId="0B6D9E69" w14:textId="77777777" w:rsidTr="002B72E8">
        <w:trPr>
          <w:trHeight w:val="255"/>
        </w:trPr>
        <w:tc>
          <w:tcPr>
            <w:cnfStyle w:val="001000000000" w:firstRow="0" w:lastRow="0" w:firstColumn="1" w:lastColumn="0" w:oddVBand="0" w:evenVBand="0" w:oddHBand="0" w:evenHBand="0" w:firstRowFirstColumn="0" w:firstRowLastColumn="0" w:lastRowFirstColumn="0" w:lastRowLastColumn="0"/>
            <w:tcW w:w="2596" w:type="pct"/>
            <w:noWrap/>
            <w:hideMark/>
          </w:tcPr>
          <w:p w14:paraId="034A541D" w14:textId="77777777" w:rsidR="00923F6C" w:rsidRPr="00D872EA" w:rsidRDefault="00923F6C" w:rsidP="002B72E8">
            <w:pPr>
              <w:rPr>
                <w:rFonts w:ascii="Arial" w:eastAsia="Times New Roman" w:hAnsi="Arial" w:cs="Arial"/>
                <w:b w:val="0"/>
                <w:bCs w:val="0"/>
                <w:color w:val="000000"/>
                <w:kern w:val="0"/>
                <w:sz w:val="20"/>
                <w:szCs w:val="20"/>
                <w14:ligatures w14:val="none"/>
              </w:rPr>
            </w:pPr>
            <w:r w:rsidRPr="00D872EA">
              <w:rPr>
                <w:rFonts w:ascii="Arial" w:eastAsia="Times New Roman" w:hAnsi="Arial" w:cs="Arial"/>
                <w:b w:val="0"/>
                <w:bCs w:val="0"/>
                <w:color w:val="000000"/>
                <w:kern w:val="0"/>
                <w:sz w:val="20"/>
                <w:szCs w:val="20"/>
                <w14:ligatures w14:val="none"/>
              </w:rPr>
              <w:t>Diluted normalized EPS</w:t>
            </w:r>
          </w:p>
        </w:tc>
        <w:tc>
          <w:tcPr>
            <w:tcW w:w="481" w:type="pct"/>
            <w:noWrap/>
            <w:hideMark/>
          </w:tcPr>
          <w:p w14:paraId="55898FB6"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195B1549"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c>
          <w:tcPr>
            <w:tcW w:w="481" w:type="pct"/>
            <w:noWrap/>
            <w:hideMark/>
          </w:tcPr>
          <w:p w14:paraId="564C45A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47199B25"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0.01%</w:t>
            </w:r>
          </w:p>
        </w:tc>
        <w:tc>
          <w:tcPr>
            <w:tcW w:w="481" w:type="pct"/>
            <w:noWrap/>
            <w:hideMark/>
          </w:tcPr>
          <w:p w14:paraId="3C61B51B" w14:textId="77777777" w:rsidR="00923F6C" w:rsidRPr="00D872EA"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D872EA">
              <w:rPr>
                <w:rFonts w:ascii="Arial" w:eastAsia="Times New Roman" w:hAnsi="Arial" w:cs="Arial"/>
                <w:color w:val="000000"/>
                <w:kern w:val="0"/>
                <w:sz w:val="20"/>
                <w:szCs w:val="20"/>
                <w14:ligatures w14:val="none"/>
              </w:rPr>
              <w:t>0.02%</w:t>
            </w:r>
          </w:p>
        </w:tc>
      </w:tr>
    </w:tbl>
    <w:tbl>
      <w:tblPr>
        <w:tblStyle w:val="GridTable1Light-Accent2"/>
        <w:tblW w:w="5000" w:type="pct"/>
        <w:tblLook w:val="04A0" w:firstRow="1" w:lastRow="0" w:firstColumn="1" w:lastColumn="0" w:noHBand="0" w:noVBand="1"/>
      </w:tblPr>
      <w:tblGrid>
        <w:gridCol w:w="4290"/>
        <w:gridCol w:w="1265"/>
        <w:gridCol w:w="1265"/>
        <w:gridCol w:w="1265"/>
        <w:gridCol w:w="1265"/>
      </w:tblGrid>
      <w:tr w:rsidR="00923F6C" w:rsidRPr="0033173E" w14:paraId="718AB689" w14:textId="77777777" w:rsidTr="00265EA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0762CE35" w14:textId="77777777" w:rsidR="00923F6C" w:rsidRPr="0033173E" w:rsidRDefault="00923F6C" w:rsidP="002B72E8">
            <w:pPr>
              <w:spacing w:line="360" w:lineRule="auto"/>
              <w:jc w:val="center"/>
              <w:rPr>
                <w:rFonts w:ascii="Arial" w:eastAsia="Times New Roman" w:hAnsi="Arial" w:cs="Arial"/>
                <w:kern w:val="0"/>
                <w:sz w:val="20"/>
                <w:szCs w:val="20"/>
                <w14:ligatures w14:val="none"/>
              </w:rPr>
            </w:pPr>
            <w:r w:rsidRPr="0033173E">
              <w:rPr>
                <w:rFonts w:ascii="Arial" w:eastAsia="Times New Roman" w:hAnsi="Arial" w:cs="Arial"/>
                <w:kern w:val="0"/>
                <w:sz w:val="20"/>
                <w:szCs w:val="20"/>
                <w14:ligatures w14:val="none"/>
              </w:rPr>
              <w:lastRenderedPageBreak/>
              <w:t>THE BERKELEY HOLDING GROUPS PLC</w:t>
            </w:r>
          </w:p>
          <w:p w14:paraId="748D733C" w14:textId="77777777" w:rsidR="00923F6C" w:rsidRPr="0033173E" w:rsidRDefault="00923F6C" w:rsidP="002B72E8">
            <w:pPr>
              <w:spacing w:line="360" w:lineRule="auto"/>
              <w:jc w:val="center"/>
              <w:rPr>
                <w:rFonts w:ascii="Arial" w:eastAsia="Times New Roman" w:hAnsi="Arial" w:cs="Arial"/>
                <w:kern w:val="0"/>
                <w:sz w:val="20"/>
                <w:szCs w:val="20"/>
                <w14:ligatures w14:val="none"/>
              </w:rPr>
            </w:pPr>
            <w:r w:rsidRPr="003A3601">
              <w:rPr>
                <w:rFonts w:ascii="Arial" w:eastAsia="Times New Roman" w:hAnsi="Arial" w:cs="Arial"/>
                <w:color w:val="FF0000"/>
                <w:kern w:val="0"/>
                <w:sz w:val="20"/>
                <w:szCs w:val="20"/>
                <w14:ligatures w14:val="none"/>
              </w:rPr>
              <w:t>HORIZONTAL ANALYSIS</w:t>
            </w:r>
          </w:p>
        </w:tc>
      </w:tr>
      <w:tr w:rsidR="00923F6C" w:rsidRPr="0033173E" w14:paraId="2B8514D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71899BC7"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Fiscal data as of Apr 30 2023</w:t>
            </w:r>
          </w:p>
        </w:tc>
        <w:tc>
          <w:tcPr>
            <w:tcW w:w="676" w:type="pct"/>
            <w:noWrap/>
            <w:hideMark/>
          </w:tcPr>
          <w:p w14:paraId="472A24C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3173E">
              <w:rPr>
                <w:rFonts w:ascii="Arial" w:eastAsia="Times New Roman" w:hAnsi="Arial" w:cs="Arial"/>
                <w:b/>
                <w:bCs/>
                <w:color w:val="000000"/>
                <w:kern w:val="0"/>
                <w:sz w:val="20"/>
                <w:szCs w:val="20"/>
                <w14:ligatures w14:val="none"/>
              </w:rPr>
              <w:t>2023-22 (%)</w:t>
            </w:r>
          </w:p>
        </w:tc>
        <w:tc>
          <w:tcPr>
            <w:tcW w:w="676" w:type="pct"/>
            <w:noWrap/>
            <w:hideMark/>
          </w:tcPr>
          <w:p w14:paraId="36D2513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3173E">
              <w:rPr>
                <w:rFonts w:ascii="Arial" w:eastAsia="Times New Roman" w:hAnsi="Arial" w:cs="Arial"/>
                <w:b/>
                <w:bCs/>
                <w:color w:val="000000"/>
                <w:kern w:val="0"/>
                <w:sz w:val="20"/>
                <w:szCs w:val="20"/>
                <w14:ligatures w14:val="none"/>
              </w:rPr>
              <w:t>2022-21 (%)</w:t>
            </w:r>
          </w:p>
        </w:tc>
        <w:tc>
          <w:tcPr>
            <w:tcW w:w="676" w:type="pct"/>
            <w:noWrap/>
            <w:hideMark/>
          </w:tcPr>
          <w:p w14:paraId="3D81AFA6"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3173E">
              <w:rPr>
                <w:rFonts w:ascii="Arial" w:eastAsia="Times New Roman" w:hAnsi="Arial" w:cs="Arial"/>
                <w:b/>
                <w:bCs/>
                <w:color w:val="000000"/>
                <w:kern w:val="0"/>
                <w:sz w:val="20"/>
                <w:szCs w:val="20"/>
                <w14:ligatures w14:val="none"/>
              </w:rPr>
              <w:t>2021-20 (%)</w:t>
            </w:r>
          </w:p>
        </w:tc>
        <w:tc>
          <w:tcPr>
            <w:tcW w:w="676" w:type="pct"/>
            <w:noWrap/>
            <w:hideMark/>
          </w:tcPr>
          <w:p w14:paraId="333C4DE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33173E">
              <w:rPr>
                <w:rFonts w:ascii="Arial" w:eastAsia="Times New Roman" w:hAnsi="Arial" w:cs="Arial"/>
                <w:b/>
                <w:bCs/>
                <w:color w:val="000000"/>
                <w:kern w:val="0"/>
                <w:sz w:val="20"/>
                <w:szCs w:val="20"/>
                <w14:ligatures w14:val="none"/>
              </w:rPr>
              <w:t>2020-19 (%)</w:t>
            </w:r>
          </w:p>
        </w:tc>
      </w:tr>
      <w:tr w:rsidR="00923F6C" w:rsidRPr="0033173E" w14:paraId="17CDADA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B7C92D5"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ASSETS</w:t>
            </w:r>
          </w:p>
        </w:tc>
        <w:tc>
          <w:tcPr>
            <w:tcW w:w="676" w:type="pct"/>
            <w:noWrap/>
            <w:hideMark/>
          </w:tcPr>
          <w:p w14:paraId="6519C759"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9019699"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CFB2953"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0A6D2268"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511BEF2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88C7AAC"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Cash And Short-Term Investments</w:t>
            </w:r>
          </w:p>
        </w:tc>
        <w:tc>
          <w:tcPr>
            <w:tcW w:w="676" w:type="pct"/>
            <w:noWrap/>
            <w:hideMark/>
          </w:tcPr>
          <w:p w14:paraId="504AF47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15.18%</w:t>
            </w:r>
          </w:p>
        </w:tc>
        <w:tc>
          <w:tcPr>
            <w:tcW w:w="676" w:type="pct"/>
            <w:noWrap/>
            <w:hideMark/>
          </w:tcPr>
          <w:p w14:paraId="6692881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-34.94%</w:t>
            </w:r>
          </w:p>
        </w:tc>
        <w:tc>
          <w:tcPr>
            <w:tcW w:w="676" w:type="pct"/>
            <w:noWrap/>
            <w:hideMark/>
          </w:tcPr>
          <w:p w14:paraId="1E7B15E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-12.87%</w:t>
            </w:r>
          </w:p>
        </w:tc>
        <w:tc>
          <w:tcPr>
            <w:tcW w:w="676" w:type="pct"/>
            <w:noWrap/>
            <w:hideMark/>
          </w:tcPr>
          <w:p w14:paraId="7302E519"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28.55%</w:t>
            </w:r>
          </w:p>
        </w:tc>
      </w:tr>
      <w:tr w:rsidR="00923F6C" w:rsidRPr="0033173E" w14:paraId="167E8D0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37B2D422"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Receivables, Net</w:t>
            </w:r>
          </w:p>
        </w:tc>
        <w:tc>
          <w:tcPr>
            <w:tcW w:w="676" w:type="pct"/>
            <w:noWrap/>
            <w:hideMark/>
          </w:tcPr>
          <w:p w14:paraId="6280E6D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-46.97%</w:t>
            </w:r>
          </w:p>
        </w:tc>
        <w:tc>
          <w:tcPr>
            <w:tcW w:w="676" w:type="pct"/>
            <w:noWrap/>
            <w:hideMark/>
          </w:tcPr>
          <w:p w14:paraId="062441F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73.68%</w:t>
            </w:r>
          </w:p>
        </w:tc>
        <w:tc>
          <w:tcPr>
            <w:tcW w:w="676" w:type="pct"/>
            <w:noWrap/>
            <w:hideMark/>
          </w:tcPr>
          <w:p w14:paraId="38043AC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28.81%</w:t>
            </w:r>
          </w:p>
        </w:tc>
        <w:tc>
          <w:tcPr>
            <w:tcW w:w="676" w:type="pct"/>
            <w:noWrap/>
            <w:hideMark/>
          </w:tcPr>
          <w:p w14:paraId="154F18F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r>
      <w:tr w:rsidR="00923F6C" w:rsidRPr="0033173E" w14:paraId="6B78EB9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FF6488D"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Inventory</w:t>
            </w:r>
          </w:p>
        </w:tc>
        <w:tc>
          <w:tcPr>
            <w:tcW w:w="676" w:type="pct"/>
            <w:noWrap/>
            <w:hideMark/>
          </w:tcPr>
          <w:p w14:paraId="764A035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3.27%</w:t>
            </w:r>
          </w:p>
        </w:tc>
        <w:tc>
          <w:tcPr>
            <w:tcW w:w="676" w:type="pct"/>
            <w:noWrap/>
            <w:hideMark/>
          </w:tcPr>
          <w:p w14:paraId="1070053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40.54%</w:t>
            </w:r>
          </w:p>
        </w:tc>
        <w:tc>
          <w:tcPr>
            <w:tcW w:w="676" w:type="pct"/>
            <w:noWrap/>
            <w:hideMark/>
          </w:tcPr>
          <w:p w14:paraId="3483ECC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2.76%</w:t>
            </w:r>
          </w:p>
        </w:tc>
        <w:tc>
          <w:tcPr>
            <w:tcW w:w="676" w:type="pct"/>
            <w:noWrap/>
            <w:hideMark/>
          </w:tcPr>
          <w:p w14:paraId="441EC50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14.13%</w:t>
            </w:r>
          </w:p>
        </w:tc>
      </w:tr>
      <w:tr w:rsidR="00923F6C" w:rsidRPr="0033173E" w14:paraId="5458B09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18F1ED99"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Prepaid expenses</w:t>
            </w:r>
          </w:p>
        </w:tc>
        <w:tc>
          <w:tcPr>
            <w:tcW w:w="676" w:type="pct"/>
            <w:noWrap/>
            <w:hideMark/>
          </w:tcPr>
          <w:p w14:paraId="1434CAD8"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22.22%</w:t>
            </w:r>
          </w:p>
        </w:tc>
        <w:tc>
          <w:tcPr>
            <w:tcW w:w="676" w:type="pct"/>
            <w:noWrap/>
            <w:hideMark/>
          </w:tcPr>
          <w:p w14:paraId="4856862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143.24%</w:t>
            </w:r>
          </w:p>
        </w:tc>
        <w:tc>
          <w:tcPr>
            <w:tcW w:w="676" w:type="pct"/>
            <w:noWrap/>
            <w:hideMark/>
          </w:tcPr>
          <w:p w14:paraId="3A655D29"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-50.67%</w:t>
            </w:r>
          </w:p>
        </w:tc>
        <w:tc>
          <w:tcPr>
            <w:tcW w:w="676" w:type="pct"/>
            <w:noWrap/>
            <w:hideMark/>
          </w:tcPr>
          <w:p w14:paraId="5DB3C35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70.45%</w:t>
            </w:r>
          </w:p>
        </w:tc>
      </w:tr>
      <w:tr w:rsidR="00923F6C" w:rsidRPr="0033173E" w14:paraId="31B5B98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697BC3EF"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Other current assets, total</w:t>
            </w:r>
          </w:p>
        </w:tc>
        <w:tc>
          <w:tcPr>
            <w:tcW w:w="676" w:type="pct"/>
            <w:noWrap/>
            <w:hideMark/>
          </w:tcPr>
          <w:p w14:paraId="4C18864F"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63E56069"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71B0829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1B8E007F"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4D50C61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39ACB55"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current assets</w:t>
            </w:r>
          </w:p>
        </w:tc>
        <w:tc>
          <w:tcPr>
            <w:tcW w:w="676" w:type="pct"/>
            <w:noWrap/>
            <w:hideMark/>
          </w:tcPr>
          <w:p w14:paraId="04772F3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4.06%</w:t>
            </w:r>
          </w:p>
        </w:tc>
        <w:tc>
          <w:tcPr>
            <w:tcW w:w="676" w:type="pct"/>
            <w:noWrap/>
            <w:hideMark/>
          </w:tcPr>
          <w:p w14:paraId="6B5AC7F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20.31%</w:t>
            </w:r>
          </w:p>
        </w:tc>
        <w:tc>
          <w:tcPr>
            <w:tcW w:w="676" w:type="pct"/>
            <w:noWrap/>
            <w:hideMark/>
          </w:tcPr>
          <w:p w14:paraId="14B7168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-1.96%</w:t>
            </w:r>
          </w:p>
        </w:tc>
        <w:tc>
          <w:tcPr>
            <w:tcW w:w="676" w:type="pct"/>
            <w:noWrap/>
            <w:hideMark/>
          </w:tcPr>
          <w:p w14:paraId="4EE8A00C"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18.15%</w:t>
            </w:r>
          </w:p>
        </w:tc>
      </w:tr>
      <w:tr w:rsidR="00923F6C" w:rsidRPr="0033173E" w14:paraId="7B2A131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ECD8454"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Property, plant &amp; equipment, net</w:t>
            </w:r>
          </w:p>
        </w:tc>
        <w:tc>
          <w:tcPr>
            <w:tcW w:w="676" w:type="pct"/>
            <w:noWrap/>
            <w:hideMark/>
          </w:tcPr>
          <w:p w14:paraId="1D5A680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-13.04%</w:t>
            </w:r>
          </w:p>
        </w:tc>
        <w:tc>
          <w:tcPr>
            <w:tcW w:w="676" w:type="pct"/>
            <w:noWrap/>
            <w:hideMark/>
          </w:tcPr>
          <w:p w14:paraId="3055A26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-6.12%</w:t>
            </w:r>
          </w:p>
        </w:tc>
        <w:tc>
          <w:tcPr>
            <w:tcW w:w="676" w:type="pct"/>
            <w:noWrap/>
            <w:hideMark/>
          </w:tcPr>
          <w:p w14:paraId="6043CBF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-3.92%</w:t>
            </w:r>
          </w:p>
        </w:tc>
        <w:tc>
          <w:tcPr>
            <w:tcW w:w="676" w:type="pct"/>
            <w:noWrap/>
            <w:hideMark/>
          </w:tcPr>
          <w:p w14:paraId="23F4A35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18.60%</w:t>
            </w:r>
          </w:p>
        </w:tc>
      </w:tr>
      <w:tr w:rsidR="00923F6C" w:rsidRPr="0033173E" w14:paraId="5E75B5D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182A7FAB"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Goodwill, net</w:t>
            </w:r>
          </w:p>
        </w:tc>
        <w:tc>
          <w:tcPr>
            <w:tcW w:w="676" w:type="pct"/>
            <w:noWrap/>
            <w:hideMark/>
          </w:tcPr>
          <w:p w14:paraId="31708CC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45D576F9"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29420FA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665ED09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r>
      <w:tr w:rsidR="00923F6C" w:rsidRPr="0033173E" w14:paraId="018E146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64CD78F4"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Intangibles, net</w:t>
            </w:r>
          </w:p>
        </w:tc>
        <w:tc>
          <w:tcPr>
            <w:tcW w:w="676" w:type="pct"/>
            <w:noWrap/>
            <w:hideMark/>
          </w:tcPr>
          <w:p w14:paraId="39A61AE8"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463103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577126CE"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AEA821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601C574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2B1C860"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Long term investments</w:t>
            </w:r>
          </w:p>
        </w:tc>
        <w:tc>
          <w:tcPr>
            <w:tcW w:w="676" w:type="pct"/>
            <w:noWrap/>
            <w:hideMark/>
          </w:tcPr>
          <w:p w14:paraId="3960E89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17.37%</w:t>
            </w:r>
          </w:p>
        </w:tc>
        <w:tc>
          <w:tcPr>
            <w:tcW w:w="676" w:type="pct"/>
            <w:noWrap/>
            <w:hideMark/>
          </w:tcPr>
          <w:p w14:paraId="55C896E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-32.62%</w:t>
            </w:r>
          </w:p>
        </w:tc>
        <w:tc>
          <w:tcPr>
            <w:tcW w:w="676" w:type="pct"/>
            <w:noWrap/>
            <w:hideMark/>
          </w:tcPr>
          <w:p w14:paraId="0B518A1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7.63%</w:t>
            </w:r>
          </w:p>
        </w:tc>
        <w:tc>
          <w:tcPr>
            <w:tcW w:w="676" w:type="pct"/>
            <w:noWrap/>
            <w:hideMark/>
          </w:tcPr>
          <w:p w14:paraId="522B3EF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-30.13%</w:t>
            </w:r>
          </w:p>
        </w:tc>
      </w:tr>
      <w:tr w:rsidR="00923F6C" w:rsidRPr="0033173E" w14:paraId="4F3761B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3A4E6504"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Note receivable - long term</w:t>
            </w:r>
          </w:p>
        </w:tc>
        <w:tc>
          <w:tcPr>
            <w:tcW w:w="676" w:type="pct"/>
            <w:noWrap/>
            <w:hideMark/>
          </w:tcPr>
          <w:p w14:paraId="6C8612D5"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6E8D610C"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40D10A50"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E8569C4"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1353EEE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1AAC7755"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Other long-term assets</w:t>
            </w:r>
          </w:p>
        </w:tc>
        <w:tc>
          <w:tcPr>
            <w:tcW w:w="676" w:type="pct"/>
            <w:noWrap/>
            <w:hideMark/>
          </w:tcPr>
          <w:p w14:paraId="656AC727"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4C6703C0"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707BBC3"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6EBAE79A"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6149774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160062B1"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assets</w:t>
            </w:r>
          </w:p>
        </w:tc>
        <w:tc>
          <w:tcPr>
            <w:tcW w:w="676" w:type="pct"/>
            <w:noWrap/>
            <w:hideMark/>
          </w:tcPr>
          <w:p w14:paraId="27D6ED2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4.13%</w:t>
            </w:r>
          </w:p>
        </w:tc>
        <w:tc>
          <w:tcPr>
            <w:tcW w:w="676" w:type="pct"/>
            <w:noWrap/>
            <w:hideMark/>
          </w:tcPr>
          <w:p w14:paraId="7B55BF1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18.66%</w:t>
            </w:r>
          </w:p>
        </w:tc>
        <w:tc>
          <w:tcPr>
            <w:tcW w:w="676" w:type="pct"/>
            <w:noWrap/>
            <w:hideMark/>
          </w:tcPr>
          <w:p w14:paraId="2391F80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-1.75%</w:t>
            </w:r>
          </w:p>
        </w:tc>
        <w:tc>
          <w:tcPr>
            <w:tcW w:w="676" w:type="pct"/>
            <w:noWrap/>
            <w:hideMark/>
          </w:tcPr>
          <w:p w14:paraId="31E60B3A"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14.44%</w:t>
            </w:r>
          </w:p>
        </w:tc>
      </w:tr>
      <w:tr w:rsidR="00923F6C" w:rsidRPr="0033173E" w14:paraId="06ECE98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5A70C184"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LIABILITIES</w:t>
            </w:r>
          </w:p>
        </w:tc>
        <w:tc>
          <w:tcPr>
            <w:tcW w:w="676" w:type="pct"/>
            <w:noWrap/>
            <w:hideMark/>
          </w:tcPr>
          <w:p w14:paraId="32BCDB0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122BF2AA"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B092A0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699EAA01"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754E506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9C832AB"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Accounts payable</w:t>
            </w:r>
          </w:p>
        </w:tc>
        <w:tc>
          <w:tcPr>
            <w:tcW w:w="676" w:type="pct"/>
            <w:noWrap/>
            <w:hideMark/>
          </w:tcPr>
          <w:p w14:paraId="204C944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-5.19%</w:t>
            </w:r>
          </w:p>
        </w:tc>
        <w:tc>
          <w:tcPr>
            <w:tcW w:w="676" w:type="pct"/>
            <w:noWrap/>
            <w:hideMark/>
          </w:tcPr>
          <w:p w14:paraId="34E2211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24.95%</w:t>
            </w:r>
          </w:p>
        </w:tc>
        <w:tc>
          <w:tcPr>
            <w:tcW w:w="676" w:type="pct"/>
            <w:noWrap/>
            <w:hideMark/>
          </w:tcPr>
          <w:p w14:paraId="621B73D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-13.14%</w:t>
            </w:r>
          </w:p>
        </w:tc>
        <w:tc>
          <w:tcPr>
            <w:tcW w:w="676" w:type="pct"/>
            <w:noWrap/>
            <w:hideMark/>
          </w:tcPr>
          <w:p w14:paraId="5239250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-5.64%</w:t>
            </w:r>
          </w:p>
        </w:tc>
      </w:tr>
      <w:tr w:rsidR="00923F6C" w:rsidRPr="0033173E" w14:paraId="157A39D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586FC84D"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Accrued expenses</w:t>
            </w:r>
          </w:p>
        </w:tc>
        <w:tc>
          <w:tcPr>
            <w:tcW w:w="676" w:type="pct"/>
            <w:noWrap/>
            <w:hideMark/>
          </w:tcPr>
          <w:p w14:paraId="53640B1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-0.53%</w:t>
            </w:r>
          </w:p>
        </w:tc>
        <w:tc>
          <w:tcPr>
            <w:tcW w:w="676" w:type="pct"/>
            <w:noWrap/>
            <w:hideMark/>
          </w:tcPr>
          <w:p w14:paraId="40093D8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-39.68%</w:t>
            </w:r>
          </w:p>
        </w:tc>
        <w:tc>
          <w:tcPr>
            <w:tcW w:w="676" w:type="pct"/>
            <w:noWrap/>
            <w:hideMark/>
          </w:tcPr>
          <w:p w14:paraId="3D8A4048"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5.35%</w:t>
            </w:r>
          </w:p>
        </w:tc>
        <w:tc>
          <w:tcPr>
            <w:tcW w:w="676" w:type="pct"/>
            <w:noWrap/>
            <w:hideMark/>
          </w:tcPr>
          <w:p w14:paraId="7BD0D4A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20.56%</w:t>
            </w:r>
          </w:p>
        </w:tc>
      </w:tr>
      <w:tr w:rsidR="00923F6C" w:rsidRPr="0033173E" w14:paraId="7BC75BF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D090795"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Notes payable/short-term debt</w:t>
            </w:r>
          </w:p>
        </w:tc>
        <w:tc>
          <w:tcPr>
            <w:tcW w:w="676" w:type="pct"/>
            <w:noWrap/>
            <w:hideMark/>
          </w:tcPr>
          <w:p w14:paraId="2E748DE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76" w:type="pct"/>
            <w:noWrap/>
            <w:hideMark/>
          </w:tcPr>
          <w:p w14:paraId="4873FE2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76" w:type="pct"/>
            <w:noWrap/>
            <w:hideMark/>
          </w:tcPr>
          <w:p w14:paraId="24E9087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76" w:type="pct"/>
            <w:noWrap/>
            <w:hideMark/>
          </w:tcPr>
          <w:p w14:paraId="1AF673D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r>
      <w:tr w:rsidR="00923F6C" w:rsidRPr="0033173E" w14:paraId="4BA27D6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A210B66"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Current portion long-term debt/capital leases</w:t>
            </w:r>
          </w:p>
        </w:tc>
        <w:tc>
          <w:tcPr>
            <w:tcW w:w="676" w:type="pct"/>
            <w:noWrap/>
            <w:hideMark/>
          </w:tcPr>
          <w:p w14:paraId="50BEFFBA"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4.76%</w:t>
            </w:r>
          </w:p>
        </w:tc>
        <w:tc>
          <w:tcPr>
            <w:tcW w:w="676" w:type="pct"/>
            <w:noWrap/>
            <w:hideMark/>
          </w:tcPr>
          <w:p w14:paraId="4A655AD6"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40.00%</w:t>
            </w:r>
          </w:p>
        </w:tc>
        <w:tc>
          <w:tcPr>
            <w:tcW w:w="676" w:type="pct"/>
            <w:noWrap/>
            <w:hideMark/>
          </w:tcPr>
          <w:p w14:paraId="2D5A9C89"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-99.25%</w:t>
            </w:r>
          </w:p>
        </w:tc>
        <w:tc>
          <w:tcPr>
            <w:tcW w:w="676" w:type="pct"/>
            <w:noWrap/>
            <w:hideMark/>
          </w:tcPr>
          <w:p w14:paraId="0833F09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r>
      <w:tr w:rsidR="00923F6C" w:rsidRPr="0033173E" w14:paraId="67B605F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33B154AC"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Other current liabilities, total</w:t>
            </w:r>
          </w:p>
        </w:tc>
        <w:tc>
          <w:tcPr>
            <w:tcW w:w="676" w:type="pct"/>
            <w:noWrap/>
            <w:hideMark/>
          </w:tcPr>
          <w:p w14:paraId="350A212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-4.38%</w:t>
            </w:r>
          </w:p>
        </w:tc>
        <w:tc>
          <w:tcPr>
            <w:tcW w:w="676" w:type="pct"/>
            <w:noWrap/>
            <w:hideMark/>
          </w:tcPr>
          <w:p w14:paraId="60A79B4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33.41%</w:t>
            </w:r>
          </w:p>
        </w:tc>
        <w:tc>
          <w:tcPr>
            <w:tcW w:w="676" w:type="pct"/>
            <w:noWrap/>
            <w:hideMark/>
          </w:tcPr>
          <w:p w14:paraId="18FBF9A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2.15%</w:t>
            </w:r>
          </w:p>
        </w:tc>
        <w:tc>
          <w:tcPr>
            <w:tcW w:w="676" w:type="pct"/>
            <w:noWrap/>
            <w:hideMark/>
          </w:tcPr>
          <w:p w14:paraId="15A4A0B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18.70%</w:t>
            </w:r>
          </w:p>
        </w:tc>
      </w:tr>
      <w:tr w:rsidR="00923F6C" w:rsidRPr="0033173E" w14:paraId="36253F7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D0F8FC6"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current liabilities</w:t>
            </w:r>
          </w:p>
        </w:tc>
        <w:tc>
          <w:tcPr>
            <w:tcW w:w="676" w:type="pct"/>
            <w:noWrap/>
            <w:hideMark/>
          </w:tcPr>
          <w:p w14:paraId="690B7DDD"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-4.26%</w:t>
            </w:r>
          </w:p>
        </w:tc>
        <w:tc>
          <w:tcPr>
            <w:tcW w:w="676" w:type="pct"/>
            <w:noWrap/>
            <w:hideMark/>
          </w:tcPr>
          <w:p w14:paraId="78E8667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17.12%</w:t>
            </w:r>
          </w:p>
        </w:tc>
        <w:tc>
          <w:tcPr>
            <w:tcW w:w="676" w:type="pct"/>
            <w:noWrap/>
            <w:hideMark/>
          </w:tcPr>
          <w:p w14:paraId="06AEF11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-12.58%</w:t>
            </w:r>
          </w:p>
        </w:tc>
        <w:tc>
          <w:tcPr>
            <w:tcW w:w="676" w:type="pct"/>
            <w:noWrap/>
            <w:hideMark/>
          </w:tcPr>
          <w:p w14:paraId="0064CD5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22.16%</w:t>
            </w:r>
          </w:p>
        </w:tc>
      </w:tr>
      <w:tr w:rsidR="00923F6C" w:rsidRPr="0033173E" w14:paraId="0B47AAE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E019EEA"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long-term debt</w:t>
            </w:r>
          </w:p>
        </w:tc>
        <w:tc>
          <w:tcPr>
            <w:tcW w:w="676" w:type="pct"/>
            <w:noWrap/>
            <w:hideMark/>
          </w:tcPr>
          <w:p w14:paraId="2F3A4C9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-0.15%</w:t>
            </w:r>
          </w:p>
        </w:tc>
        <w:tc>
          <w:tcPr>
            <w:tcW w:w="676" w:type="pct"/>
            <w:noWrap/>
            <w:hideMark/>
          </w:tcPr>
          <w:p w14:paraId="6A988DE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119.87%</w:t>
            </w:r>
          </w:p>
        </w:tc>
        <w:tc>
          <w:tcPr>
            <w:tcW w:w="676" w:type="pct"/>
            <w:noWrap/>
            <w:hideMark/>
          </w:tcPr>
          <w:p w14:paraId="7987A87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0.33%</w:t>
            </w:r>
          </w:p>
        </w:tc>
        <w:tc>
          <w:tcPr>
            <w:tcW w:w="676" w:type="pct"/>
            <w:noWrap/>
            <w:hideMark/>
          </w:tcPr>
          <w:p w14:paraId="64577C4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0.33%</w:t>
            </w:r>
          </w:p>
        </w:tc>
      </w:tr>
      <w:tr w:rsidR="00923F6C" w:rsidRPr="0033173E" w14:paraId="76CA5DA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5774241A"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debt</w:t>
            </w:r>
          </w:p>
        </w:tc>
        <w:tc>
          <w:tcPr>
            <w:tcW w:w="676" w:type="pct"/>
            <w:noWrap/>
            <w:hideMark/>
          </w:tcPr>
          <w:p w14:paraId="1D99DE87"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-0.15%</w:t>
            </w:r>
          </w:p>
        </w:tc>
        <w:tc>
          <w:tcPr>
            <w:tcW w:w="676" w:type="pct"/>
            <w:noWrap/>
            <w:hideMark/>
          </w:tcPr>
          <w:p w14:paraId="32FA95C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119.80%</w:t>
            </w:r>
          </w:p>
        </w:tc>
        <w:tc>
          <w:tcPr>
            <w:tcW w:w="676" w:type="pct"/>
            <w:noWrap/>
            <w:hideMark/>
          </w:tcPr>
          <w:p w14:paraId="525161CA"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-39.76%</w:t>
            </w:r>
          </w:p>
        </w:tc>
        <w:tc>
          <w:tcPr>
            <w:tcW w:w="676" w:type="pct"/>
            <w:noWrap/>
            <w:hideMark/>
          </w:tcPr>
          <w:p w14:paraId="1721627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67.67%</w:t>
            </w:r>
          </w:p>
        </w:tc>
      </w:tr>
      <w:tr w:rsidR="00923F6C" w:rsidRPr="0033173E" w14:paraId="1EB765B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4C775F8D"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Deferred income tax</w:t>
            </w:r>
          </w:p>
        </w:tc>
        <w:tc>
          <w:tcPr>
            <w:tcW w:w="676" w:type="pct"/>
            <w:noWrap/>
            <w:hideMark/>
          </w:tcPr>
          <w:p w14:paraId="1A99918C"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10715BDD"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67DDE30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465AA6A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1533E53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7CC55D7D"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Minority interest</w:t>
            </w:r>
          </w:p>
        </w:tc>
        <w:tc>
          <w:tcPr>
            <w:tcW w:w="676" w:type="pct"/>
            <w:noWrap/>
            <w:hideMark/>
          </w:tcPr>
          <w:p w14:paraId="3AA07FF8"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A5A14CD"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CDCCFC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E1C77FD"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2272D0A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2ECA987"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Other liabilities, total</w:t>
            </w:r>
          </w:p>
        </w:tc>
        <w:tc>
          <w:tcPr>
            <w:tcW w:w="676" w:type="pct"/>
            <w:noWrap/>
            <w:hideMark/>
          </w:tcPr>
          <w:p w14:paraId="4C3044E8"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19.68%</w:t>
            </w:r>
          </w:p>
        </w:tc>
        <w:tc>
          <w:tcPr>
            <w:tcW w:w="676" w:type="pct"/>
            <w:noWrap/>
            <w:hideMark/>
          </w:tcPr>
          <w:p w14:paraId="72D0603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108.14%</w:t>
            </w:r>
          </w:p>
        </w:tc>
        <w:tc>
          <w:tcPr>
            <w:tcW w:w="676" w:type="pct"/>
            <w:noWrap/>
            <w:hideMark/>
          </w:tcPr>
          <w:p w14:paraId="3F07BFA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21.30%</w:t>
            </w:r>
          </w:p>
        </w:tc>
        <w:tc>
          <w:tcPr>
            <w:tcW w:w="676" w:type="pct"/>
            <w:noWrap/>
            <w:hideMark/>
          </w:tcPr>
          <w:p w14:paraId="274F2608"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224.00%</w:t>
            </w:r>
          </w:p>
        </w:tc>
      </w:tr>
      <w:tr w:rsidR="00923F6C" w:rsidRPr="0033173E" w14:paraId="3A55A9F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9BA9485"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liabilities</w:t>
            </w:r>
          </w:p>
        </w:tc>
        <w:tc>
          <w:tcPr>
            <w:tcW w:w="676" w:type="pct"/>
            <w:noWrap/>
            <w:hideMark/>
          </w:tcPr>
          <w:p w14:paraId="75E07899"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2.17%</w:t>
            </w:r>
          </w:p>
        </w:tc>
        <w:tc>
          <w:tcPr>
            <w:tcW w:w="676" w:type="pct"/>
            <w:noWrap/>
            <w:hideMark/>
          </w:tcPr>
          <w:p w14:paraId="3F7F6DF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45.23%</w:t>
            </w:r>
          </w:p>
        </w:tc>
        <w:tc>
          <w:tcPr>
            <w:tcW w:w="676" w:type="pct"/>
            <w:noWrap/>
            <w:hideMark/>
          </w:tcPr>
          <w:p w14:paraId="16AA2AE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-6.75%</w:t>
            </w:r>
          </w:p>
        </w:tc>
        <w:tc>
          <w:tcPr>
            <w:tcW w:w="676" w:type="pct"/>
            <w:noWrap/>
            <w:hideMark/>
          </w:tcPr>
          <w:p w14:paraId="193C535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29.06%</w:t>
            </w:r>
          </w:p>
        </w:tc>
      </w:tr>
      <w:tr w:rsidR="00923F6C" w:rsidRPr="0033173E" w14:paraId="4B89E67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3652FA9"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SHAREHOLDERS EQUITY</w:t>
            </w:r>
          </w:p>
        </w:tc>
        <w:tc>
          <w:tcPr>
            <w:tcW w:w="676" w:type="pct"/>
            <w:noWrap/>
            <w:hideMark/>
          </w:tcPr>
          <w:p w14:paraId="5BE22735"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0E06FAA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CCB2081"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57AAB90C"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320A82E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45A31CE"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Common stock</w:t>
            </w:r>
          </w:p>
        </w:tc>
        <w:tc>
          <w:tcPr>
            <w:tcW w:w="676" w:type="pct"/>
            <w:noWrap/>
            <w:hideMark/>
          </w:tcPr>
          <w:p w14:paraId="13355A85"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-3.08%</w:t>
            </w:r>
          </w:p>
        </w:tc>
        <w:tc>
          <w:tcPr>
            <w:tcW w:w="676" w:type="pct"/>
            <w:noWrap/>
            <w:hideMark/>
          </w:tcPr>
          <w:p w14:paraId="00DE5A0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-1.52%</w:t>
            </w:r>
          </w:p>
        </w:tc>
        <w:tc>
          <w:tcPr>
            <w:tcW w:w="676" w:type="pct"/>
            <w:noWrap/>
            <w:hideMark/>
          </w:tcPr>
          <w:p w14:paraId="6D2FF9A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-2.94%</w:t>
            </w:r>
          </w:p>
        </w:tc>
        <w:tc>
          <w:tcPr>
            <w:tcW w:w="676" w:type="pct"/>
            <w:noWrap/>
            <w:hideMark/>
          </w:tcPr>
          <w:p w14:paraId="648A8B2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-2.86%</w:t>
            </w:r>
          </w:p>
        </w:tc>
      </w:tr>
      <w:tr w:rsidR="00923F6C" w:rsidRPr="0033173E" w14:paraId="6C25AA0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584DE423"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Additional paid-in capital</w:t>
            </w:r>
          </w:p>
        </w:tc>
        <w:tc>
          <w:tcPr>
            <w:tcW w:w="676" w:type="pct"/>
            <w:noWrap/>
            <w:hideMark/>
          </w:tcPr>
          <w:p w14:paraId="3F360056"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15B7B31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435F518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c>
          <w:tcPr>
            <w:tcW w:w="676" w:type="pct"/>
            <w:noWrap/>
            <w:hideMark/>
          </w:tcPr>
          <w:p w14:paraId="3AC67FE8"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0.00%</w:t>
            </w:r>
          </w:p>
        </w:tc>
      </w:tr>
      <w:tr w:rsidR="00923F6C" w:rsidRPr="0033173E" w14:paraId="6D1DE3A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7BF93BC3"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Retained earnings (accumulated deficit)</w:t>
            </w:r>
          </w:p>
        </w:tc>
        <w:tc>
          <w:tcPr>
            <w:tcW w:w="676" w:type="pct"/>
            <w:noWrap/>
            <w:hideMark/>
          </w:tcPr>
          <w:p w14:paraId="2376AB0B"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6.36%</w:t>
            </w:r>
          </w:p>
        </w:tc>
        <w:tc>
          <w:tcPr>
            <w:tcW w:w="676" w:type="pct"/>
            <w:noWrap/>
            <w:hideMark/>
          </w:tcPr>
          <w:p w14:paraId="1A8C7A9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-1.25%</w:t>
            </w:r>
          </w:p>
        </w:tc>
        <w:tc>
          <w:tcPr>
            <w:tcW w:w="676" w:type="pct"/>
            <w:noWrap/>
            <w:hideMark/>
          </w:tcPr>
          <w:p w14:paraId="1A470803"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2.43%</w:t>
            </w:r>
          </w:p>
        </w:tc>
        <w:tc>
          <w:tcPr>
            <w:tcW w:w="676" w:type="pct"/>
            <w:noWrap/>
            <w:hideMark/>
          </w:tcPr>
          <w:p w14:paraId="320B0DD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4.75%</w:t>
            </w:r>
          </w:p>
        </w:tc>
      </w:tr>
      <w:tr w:rsidR="00923F6C" w:rsidRPr="0033173E" w14:paraId="77DB346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EB2E6D1"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Treasury stock - common</w:t>
            </w:r>
          </w:p>
        </w:tc>
        <w:tc>
          <w:tcPr>
            <w:tcW w:w="676" w:type="pct"/>
            <w:noWrap/>
            <w:hideMark/>
          </w:tcPr>
          <w:p w14:paraId="204DAA7B"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5E92004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2220BA12"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5C8F1310"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1C93299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2F778E8C"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Unrealized gain (loss)</w:t>
            </w:r>
          </w:p>
        </w:tc>
        <w:tc>
          <w:tcPr>
            <w:tcW w:w="676" w:type="pct"/>
            <w:noWrap/>
            <w:hideMark/>
          </w:tcPr>
          <w:p w14:paraId="18A44D08"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722BD9E9"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1753ADB8"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003C18E1"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78E67C9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54AF1BA9"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Other equity, total</w:t>
            </w:r>
          </w:p>
        </w:tc>
        <w:tc>
          <w:tcPr>
            <w:tcW w:w="676" w:type="pct"/>
            <w:noWrap/>
            <w:hideMark/>
          </w:tcPr>
          <w:p w14:paraId="5CC50526"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0D636C15"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3A361CF9"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76" w:type="pct"/>
            <w:noWrap/>
            <w:hideMark/>
          </w:tcPr>
          <w:p w14:paraId="490250E7" w14:textId="77777777" w:rsidR="00923F6C" w:rsidRPr="0033173E"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33173E" w14:paraId="4BFAEA8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3D46A26B"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equity</w:t>
            </w:r>
          </w:p>
        </w:tc>
        <w:tc>
          <w:tcPr>
            <w:tcW w:w="676" w:type="pct"/>
            <w:noWrap/>
            <w:hideMark/>
          </w:tcPr>
          <w:p w14:paraId="59D1BC8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6.25%</w:t>
            </w:r>
          </w:p>
        </w:tc>
        <w:tc>
          <w:tcPr>
            <w:tcW w:w="676" w:type="pct"/>
            <w:noWrap/>
            <w:hideMark/>
          </w:tcPr>
          <w:p w14:paraId="5E3BA40C"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-1.23%</w:t>
            </w:r>
          </w:p>
        </w:tc>
        <w:tc>
          <w:tcPr>
            <w:tcW w:w="676" w:type="pct"/>
            <w:noWrap/>
            <w:hideMark/>
          </w:tcPr>
          <w:p w14:paraId="311141FE"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2.35%</w:t>
            </w:r>
          </w:p>
        </w:tc>
        <w:tc>
          <w:tcPr>
            <w:tcW w:w="676" w:type="pct"/>
            <w:noWrap/>
            <w:hideMark/>
          </w:tcPr>
          <w:p w14:paraId="7E1D7AB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4.69%</w:t>
            </w:r>
          </w:p>
        </w:tc>
      </w:tr>
      <w:tr w:rsidR="00923F6C" w:rsidRPr="0033173E" w14:paraId="58206E4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7404CBC2"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liabilities &amp; shareholders' equity</w:t>
            </w:r>
          </w:p>
        </w:tc>
        <w:tc>
          <w:tcPr>
            <w:tcW w:w="676" w:type="pct"/>
            <w:noWrap/>
            <w:hideMark/>
          </w:tcPr>
          <w:p w14:paraId="7709B59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4.13%</w:t>
            </w:r>
          </w:p>
        </w:tc>
        <w:tc>
          <w:tcPr>
            <w:tcW w:w="676" w:type="pct"/>
            <w:noWrap/>
            <w:hideMark/>
          </w:tcPr>
          <w:p w14:paraId="4A87E26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18.66%</w:t>
            </w:r>
          </w:p>
        </w:tc>
        <w:tc>
          <w:tcPr>
            <w:tcW w:w="676" w:type="pct"/>
            <w:noWrap/>
            <w:hideMark/>
          </w:tcPr>
          <w:p w14:paraId="5A04879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-1.75%</w:t>
            </w:r>
          </w:p>
        </w:tc>
        <w:tc>
          <w:tcPr>
            <w:tcW w:w="676" w:type="pct"/>
            <w:noWrap/>
            <w:hideMark/>
          </w:tcPr>
          <w:p w14:paraId="7AD1A7D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14.44%</w:t>
            </w:r>
          </w:p>
        </w:tc>
      </w:tr>
      <w:tr w:rsidR="00923F6C" w:rsidRPr="0033173E" w14:paraId="578E3C9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6F332973"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Total common shares outstanding</w:t>
            </w:r>
          </w:p>
        </w:tc>
        <w:tc>
          <w:tcPr>
            <w:tcW w:w="676" w:type="pct"/>
            <w:noWrap/>
            <w:hideMark/>
          </w:tcPr>
          <w:p w14:paraId="18CA1F8F"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-2.70%</w:t>
            </w:r>
          </w:p>
        </w:tc>
        <w:tc>
          <w:tcPr>
            <w:tcW w:w="676" w:type="pct"/>
            <w:noWrap/>
            <w:hideMark/>
          </w:tcPr>
          <w:p w14:paraId="1D297151"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-0.89%</w:t>
            </w:r>
          </w:p>
        </w:tc>
        <w:tc>
          <w:tcPr>
            <w:tcW w:w="676" w:type="pct"/>
            <w:noWrap/>
            <w:hideMark/>
          </w:tcPr>
          <w:p w14:paraId="59ECE506"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-3.45%</w:t>
            </w:r>
          </w:p>
        </w:tc>
        <w:tc>
          <w:tcPr>
            <w:tcW w:w="676" w:type="pct"/>
            <w:noWrap/>
            <w:hideMark/>
          </w:tcPr>
          <w:p w14:paraId="701B04A6"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5.45%</w:t>
            </w:r>
          </w:p>
        </w:tc>
      </w:tr>
      <w:tr w:rsidR="00923F6C" w:rsidRPr="0033173E" w14:paraId="7E1177A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294" w:type="pct"/>
            <w:noWrap/>
            <w:hideMark/>
          </w:tcPr>
          <w:p w14:paraId="06B7DA28" w14:textId="77777777" w:rsidR="00923F6C" w:rsidRPr="0033173E" w:rsidRDefault="00923F6C" w:rsidP="002B72E8">
            <w:pPr>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Treasury shares - common primary issue</w:t>
            </w:r>
          </w:p>
        </w:tc>
        <w:tc>
          <w:tcPr>
            <w:tcW w:w="676" w:type="pct"/>
            <w:noWrap/>
            <w:hideMark/>
          </w:tcPr>
          <w:p w14:paraId="5638EDD2"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-2.93%</w:t>
            </w:r>
          </w:p>
        </w:tc>
        <w:tc>
          <w:tcPr>
            <w:tcW w:w="676" w:type="pct"/>
            <w:noWrap/>
            <w:hideMark/>
          </w:tcPr>
          <w:p w14:paraId="6108817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-5.82%</w:t>
            </w:r>
          </w:p>
        </w:tc>
        <w:tc>
          <w:tcPr>
            <w:tcW w:w="676" w:type="pct"/>
            <w:noWrap/>
            <w:hideMark/>
          </w:tcPr>
          <w:p w14:paraId="1E5B3C20"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-2.00%</w:t>
            </w:r>
          </w:p>
        </w:tc>
        <w:tc>
          <w:tcPr>
            <w:tcW w:w="676" w:type="pct"/>
            <w:noWrap/>
            <w:hideMark/>
          </w:tcPr>
          <w:p w14:paraId="2D1E4A34" w14:textId="77777777" w:rsidR="00923F6C" w:rsidRPr="0033173E"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33173E">
              <w:rPr>
                <w:rFonts w:ascii="Arial" w:eastAsia="Times New Roman" w:hAnsi="Arial" w:cs="Arial"/>
                <w:color w:val="000000"/>
                <w:kern w:val="0"/>
                <w:sz w:val="20"/>
                <w:szCs w:val="20"/>
                <w14:ligatures w14:val="none"/>
              </w:rPr>
              <w:t>4.82%</w:t>
            </w:r>
          </w:p>
        </w:tc>
      </w:tr>
    </w:tbl>
    <w:p w14:paraId="7F28BF99" w14:textId="77777777" w:rsidR="00923F6C" w:rsidRDefault="00923F6C" w:rsidP="00923F6C">
      <w:pPr>
        <w:spacing w:line="360" w:lineRule="auto"/>
        <w:jc w:val="both"/>
      </w:pPr>
    </w:p>
    <w:p w14:paraId="594B40C0" w14:textId="77777777" w:rsidR="00923F6C" w:rsidRDefault="00923F6C" w:rsidP="00923F6C">
      <w:pPr>
        <w:spacing w:line="360" w:lineRule="auto"/>
        <w:jc w:val="both"/>
      </w:pPr>
    </w:p>
    <w:p w14:paraId="36FFDC71" w14:textId="77777777" w:rsidR="00923F6C" w:rsidRDefault="00923F6C" w:rsidP="00923F6C">
      <w:pPr>
        <w:spacing w:line="360" w:lineRule="auto"/>
        <w:jc w:val="both"/>
      </w:pPr>
    </w:p>
    <w:tbl>
      <w:tblPr>
        <w:tblStyle w:val="GridTable1Light-Accent2"/>
        <w:tblW w:w="5000" w:type="pct"/>
        <w:tblLook w:val="04A0" w:firstRow="1" w:lastRow="0" w:firstColumn="1" w:lastColumn="0" w:noHBand="0" w:noVBand="1"/>
      </w:tblPr>
      <w:tblGrid>
        <w:gridCol w:w="4087"/>
        <w:gridCol w:w="331"/>
        <w:gridCol w:w="692"/>
        <w:gridCol w:w="541"/>
        <w:gridCol w:w="500"/>
        <w:gridCol w:w="733"/>
        <w:gridCol w:w="314"/>
        <w:gridCol w:w="919"/>
        <w:gridCol w:w="227"/>
        <w:gridCol w:w="1006"/>
      </w:tblGrid>
      <w:tr w:rsidR="00923F6C" w:rsidRPr="00225460" w14:paraId="3C860781" w14:textId="77777777" w:rsidTr="00265EA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0B8BAF6" w14:textId="77777777" w:rsidR="00923F6C" w:rsidRPr="00225460" w:rsidRDefault="00923F6C" w:rsidP="002B72E8">
            <w:pPr>
              <w:rPr>
                <w:rFonts w:ascii="Arial" w:eastAsia="Times New Roman" w:hAnsi="Arial" w:cs="Arial"/>
                <w:kern w:val="0"/>
                <w:sz w:val="20"/>
                <w:szCs w:val="20"/>
                <w14:ligatures w14:val="none"/>
              </w:rPr>
            </w:pPr>
            <w:r w:rsidRPr="00225460">
              <w:rPr>
                <w:rFonts w:ascii="Arial" w:eastAsia="Times New Roman" w:hAnsi="Arial" w:cs="Arial"/>
                <w:kern w:val="0"/>
                <w:sz w:val="20"/>
                <w:szCs w:val="20"/>
                <w14:ligatures w14:val="none"/>
              </w:rPr>
              <w:lastRenderedPageBreak/>
              <w:t>Fiscal data as of Apr 30 2023</w:t>
            </w:r>
          </w:p>
        </w:tc>
        <w:tc>
          <w:tcPr>
            <w:tcW w:w="659" w:type="pct"/>
            <w:gridSpan w:val="2"/>
            <w:noWrap/>
            <w:hideMark/>
          </w:tcPr>
          <w:p w14:paraId="19E93607" w14:textId="77777777" w:rsidR="00923F6C" w:rsidRPr="00225460"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225460">
              <w:rPr>
                <w:rFonts w:ascii="Arial" w:eastAsia="Times New Roman" w:hAnsi="Arial" w:cs="Arial"/>
                <w:kern w:val="0"/>
                <w:sz w:val="20"/>
                <w:szCs w:val="20"/>
                <w14:ligatures w14:val="none"/>
              </w:rPr>
              <w:t>2023-22 (%)</w:t>
            </w:r>
          </w:p>
        </w:tc>
        <w:tc>
          <w:tcPr>
            <w:tcW w:w="659" w:type="pct"/>
            <w:gridSpan w:val="2"/>
            <w:noWrap/>
            <w:hideMark/>
          </w:tcPr>
          <w:p w14:paraId="22CA6909" w14:textId="77777777" w:rsidR="00923F6C" w:rsidRPr="00225460"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225460">
              <w:rPr>
                <w:rFonts w:ascii="Arial" w:eastAsia="Times New Roman" w:hAnsi="Arial" w:cs="Arial"/>
                <w:kern w:val="0"/>
                <w:sz w:val="20"/>
                <w:szCs w:val="20"/>
                <w14:ligatures w14:val="none"/>
              </w:rPr>
              <w:t>2022-21 (%)</w:t>
            </w:r>
          </w:p>
        </w:tc>
        <w:tc>
          <w:tcPr>
            <w:tcW w:w="659" w:type="pct"/>
            <w:gridSpan w:val="2"/>
            <w:noWrap/>
            <w:hideMark/>
          </w:tcPr>
          <w:p w14:paraId="4A2C447A" w14:textId="77777777" w:rsidR="00923F6C" w:rsidRPr="00225460"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225460">
              <w:rPr>
                <w:rFonts w:ascii="Arial" w:eastAsia="Times New Roman" w:hAnsi="Arial" w:cs="Arial"/>
                <w:kern w:val="0"/>
                <w:sz w:val="20"/>
                <w:szCs w:val="20"/>
                <w14:ligatures w14:val="none"/>
              </w:rPr>
              <w:t>2021-20 (%)</w:t>
            </w:r>
          </w:p>
        </w:tc>
        <w:tc>
          <w:tcPr>
            <w:tcW w:w="659" w:type="pct"/>
            <w:gridSpan w:val="2"/>
            <w:noWrap/>
            <w:hideMark/>
          </w:tcPr>
          <w:p w14:paraId="1F4BDDBB" w14:textId="77777777" w:rsidR="00923F6C" w:rsidRPr="00225460"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225460">
              <w:rPr>
                <w:rFonts w:ascii="Arial" w:eastAsia="Times New Roman" w:hAnsi="Arial" w:cs="Arial"/>
                <w:kern w:val="0"/>
                <w:sz w:val="20"/>
                <w:szCs w:val="20"/>
                <w14:ligatures w14:val="none"/>
              </w:rPr>
              <w:t>2020-19 (%)</w:t>
            </w:r>
          </w:p>
        </w:tc>
      </w:tr>
      <w:tr w:rsidR="00923F6C" w:rsidRPr="00225460" w14:paraId="068438F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CDABF0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REVENUE AND GROSS PROFIT</w:t>
            </w:r>
          </w:p>
        </w:tc>
        <w:tc>
          <w:tcPr>
            <w:tcW w:w="659" w:type="pct"/>
            <w:gridSpan w:val="2"/>
            <w:noWrap/>
            <w:hideMark/>
          </w:tcPr>
          <w:p w14:paraId="6EDF16E1"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7F7D9D8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11109A76"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5025BB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3B28731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98A4741"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Total revenue</w:t>
            </w:r>
          </w:p>
        </w:tc>
        <w:tc>
          <w:tcPr>
            <w:tcW w:w="659" w:type="pct"/>
            <w:gridSpan w:val="2"/>
            <w:noWrap/>
            <w:hideMark/>
          </w:tcPr>
          <w:p w14:paraId="68DC553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8.60%</w:t>
            </w:r>
          </w:p>
        </w:tc>
        <w:tc>
          <w:tcPr>
            <w:tcW w:w="659" w:type="pct"/>
            <w:gridSpan w:val="2"/>
            <w:noWrap/>
            <w:hideMark/>
          </w:tcPr>
          <w:p w14:paraId="67BD04B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6.63%</w:t>
            </w:r>
          </w:p>
        </w:tc>
        <w:tc>
          <w:tcPr>
            <w:tcW w:w="659" w:type="pct"/>
            <w:gridSpan w:val="2"/>
            <w:noWrap/>
            <w:hideMark/>
          </w:tcPr>
          <w:p w14:paraId="596A474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14.69%</w:t>
            </w:r>
          </w:p>
        </w:tc>
        <w:tc>
          <w:tcPr>
            <w:tcW w:w="659" w:type="pct"/>
            <w:gridSpan w:val="2"/>
            <w:noWrap/>
            <w:hideMark/>
          </w:tcPr>
          <w:p w14:paraId="5D3E53F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-35.07%</w:t>
            </w:r>
          </w:p>
        </w:tc>
      </w:tr>
      <w:tr w:rsidR="00923F6C" w:rsidRPr="00225460" w14:paraId="4521A83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9D407F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OPERATING EXPENSES</w:t>
            </w:r>
          </w:p>
        </w:tc>
        <w:tc>
          <w:tcPr>
            <w:tcW w:w="659" w:type="pct"/>
            <w:gridSpan w:val="2"/>
            <w:noWrap/>
            <w:hideMark/>
          </w:tcPr>
          <w:p w14:paraId="76420A3B"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E8F7D88"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1CFAD3D"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735C70A"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2AA8EFC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73F412A"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Cost of revenue total</w:t>
            </w:r>
          </w:p>
        </w:tc>
        <w:tc>
          <w:tcPr>
            <w:tcW w:w="659" w:type="pct"/>
            <w:gridSpan w:val="2"/>
            <w:noWrap/>
            <w:hideMark/>
          </w:tcPr>
          <w:p w14:paraId="10B3B36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10.10%</w:t>
            </w:r>
          </w:p>
        </w:tc>
        <w:tc>
          <w:tcPr>
            <w:tcW w:w="659" w:type="pct"/>
            <w:gridSpan w:val="2"/>
            <w:noWrap/>
            <w:hideMark/>
          </w:tcPr>
          <w:p w14:paraId="58F6A41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7.40%</w:t>
            </w:r>
          </w:p>
        </w:tc>
        <w:tc>
          <w:tcPr>
            <w:tcW w:w="659" w:type="pct"/>
            <w:gridSpan w:val="2"/>
            <w:noWrap/>
            <w:hideMark/>
          </w:tcPr>
          <w:p w14:paraId="090254F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22.14%</w:t>
            </w:r>
          </w:p>
        </w:tc>
        <w:tc>
          <w:tcPr>
            <w:tcW w:w="659" w:type="pct"/>
            <w:gridSpan w:val="2"/>
            <w:noWrap/>
            <w:hideMark/>
          </w:tcPr>
          <w:p w14:paraId="3981265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-36.83%</w:t>
            </w:r>
          </w:p>
        </w:tc>
      </w:tr>
      <w:tr w:rsidR="00923F6C" w:rsidRPr="00225460" w14:paraId="72237D0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E03C87D"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Selling, general and admin. expenses, total</w:t>
            </w:r>
          </w:p>
        </w:tc>
        <w:tc>
          <w:tcPr>
            <w:tcW w:w="659" w:type="pct"/>
            <w:gridSpan w:val="2"/>
            <w:noWrap/>
            <w:hideMark/>
          </w:tcPr>
          <w:p w14:paraId="622F2E6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7146B87"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756DFDC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17AD65B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48DB81E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680A98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Depreciation/amortization</w:t>
            </w:r>
          </w:p>
        </w:tc>
        <w:tc>
          <w:tcPr>
            <w:tcW w:w="659" w:type="pct"/>
            <w:gridSpan w:val="2"/>
            <w:noWrap/>
            <w:hideMark/>
          </w:tcPr>
          <w:p w14:paraId="20F438D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4359507"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6A3103A"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8B23D0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72B1053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813E871"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Unusual expense(income)</w:t>
            </w:r>
          </w:p>
        </w:tc>
        <w:tc>
          <w:tcPr>
            <w:tcW w:w="659" w:type="pct"/>
            <w:gridSpan w:val="2"/>
            <w:noWrap/>
            <w:hideMark/>
          </w:tcPr>
          <w:p w14:paraId="1EC9094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17499B2"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1138F30C"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0D0BB5F"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199DE16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0C215FA1"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Other operating expenses, total</w:t>
            </w:r>
          </w:p>
        </w:tc>
        <w:tc>
          <w:tcPr>
            <w:tcW w:w="659" w:type="pct"/>
            <w:gridSpan w:val="2"/>
            <w:noWrap/>
            <w:hideMark/>
          </w:tcPr>
          <w:p w14:paraId="775E5EC1"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14.01%</w:t>
            </w:r>
          </w:p>
        </w:tc>
        <w:tc>
          <w:tcPr>
            <w:tcW w:w="659" w:type="pct"/>
            <w:gridSpan w:val="2"/>
            <w:noWrap/>
            <w:hideMark/>
          </w:tcPr>
          <w:p w14:paraId="7A6605F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18.05%</w:t>
            </w:r>
          </w:p>
        </w:tc>
        <w:tc>
          <w:tcPr>
            <w:tcW w:w="659" w:type="pct"/>
            <w:gridSpan w:val="2"/>
            <w:noWrap/>
            <w:hideMark/>
          </w:tcPr>
          <w:p w14:paraId="36FF349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-20.83%</w:t>
            </w:r>
          </w:p>
        </w:tc>
        <w:tc>
          <w:tcPr>
            <w:tcW w:w="659" w:type="pct"/>
            <w:gridSpan w:val="2"/>
            <w:noWrap/>
            <w:hideMark/>
          </w:tcPr>
          <w:p w14:paraId="77913B5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6.33%</w:t>
            </w:r>
          </w:p>
        </w:tc>
      </w:tr>
      <w:tr w:rsidR="00923F6C" w:rsidRPr="00225460" w14:paraId="0BFB921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8DC1463"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Total operating expense</w:t>
            </w:r>
          </w:p>
        </w:tc>
        <w:tc>
          <w:tcPr>
            <w:tcW w:w="659" w:type="pct"/>
            <w:gridSpan w:val="2"/>
            <w:noWrap/>
            <w:hideMark/>
          </w:tcPr>
          <w:p w14:paraId="0E07051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10.43%</w:t>
            </w:r>
          </w:p>
        </w:tc>
        <w:tc>
          <w:tcPr>
            <w:tcW w:w="659" w:type="pct"/>
            <w:gridSpan w:val="2"/>
            <w:noWrap/>
            <w:hideMark/>
          </w:tcPr>
          <w:p w14:paraId="3E5BF9A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8.24%</w:t>
            </w:r>
          </w:p>
        </w:tc>
        <w:tc>
          <w:tcPr>
            <w:tcW w:w="659" w:type="pct"/>
            <w:gridSpan w:val="2"/>
            <w:noWrap/>
            <w:hideMark/>
          </w:tcPr>
          <w:p w14:paraId="69849C5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17.16%</w:t>
            </w:r>
          </w:p>
        </w:tc>
        <w:tc>
          <w:tcPr>
            <w:tcW w:w="659" w:type="pct"/>
            <w:gridSpan w:val="2"/>
            <w:noWrap/>
            <w:hideMark/>
          </w:tcPr>
          <w:p w14:paraId="1F6F4D7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-33.71%</w:t>
            </w:r>
          </w:p>
        </w:tc>
      </w:tr>
      <w:tr w:rsidR="00923F6C" w:rsidRPr="00225460" w14:paraId="1A8F24C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4D21521A"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Operating income</w:t>
            </w:r>
          </w:p>
        </w:tc>
        <w:tc>
          <w:tcPr>
            <w:tcW w:w="659" w:type="pct"/>
            <w:gridSpan w:val="2"/>
            <w:noWrap/>
            <w:hideMark/>
          </w:tcPr>
          <w:p w14:paraId="12579B0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1.97%</w:t>
            </w:r>
          </w:p>
        </w:tc>
        <w:tc>
          <w:tcPr>
            <w:tcW w:w="659" w:type="pct"/>
            <w:gridSpan w:val="2"/>
            <w:noWrap/>
            <w:hideMark/>
          </w:tcPr>
          <w:p w14:paraId="45E3C88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1.20%</w:t>
            </w:r>
          </w:p>
        </w:tc>
        <w:tc>
          <w:tcPr>
            <w:tcW w:w="659" w:type="pct"/>
            <w:gridSpan w:val="2"/>
            <w:noWrap/>
            <w:hideMark/>
          </w:tcPr>
          <w:p w14:paraId="4E91444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6.81%</w:t>
            </w:r>
          </w:p>
        </w:tc>
        <w:tc>
          <w:tcPr>
            <w:tcW w:w="659" w:type="pct"/>
            <w:gridSpan w:val="2"/>
            <w:noWrap/>
            <w:hideMark/>
          </w:tcPr>
          <w:p w14:paraId="35F5321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-38.80%</w:t>
            </w:r>
          </w:p>
        </w:tc>
      </w:tr>
      <w:tr w:rsidR="00923F6C" w:rsidRPr="00225460" w14:paraId="15F4C99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00819A6B"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Other, net</w:t>
            </w:r>
          </w:p>
        </w:tc>
        <w:tc>
          <w:tcPr>
            <w:tcW w:w="659" w:type="pct"/>
            <w:gridSpan w:val="2"/>
            <w:noWrap/>
            <w:hideMark/>
          </w:tcPr>
          <w:p w14:paraId="070DA4F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809.09%</w:t>
            </w:r>
          </w:p>
        </w:tc>
        <w:tc>
          <w:tcPr>
            <w:tcW w:w="659" w:type="pct"/>
            <w:gridSpan w:val="2"/>
            <w:noWrap/>
            <w:hideMark/>
          </w:tcPr>
          <w:p w14:paraId="317F0E2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w:t>
            </w:r>
          </w:p>
        </w:tc>
        <w:tc>
          <w:tcPr>
            <w:tcW w:w="659" w:type="pct"/>
            <w:gridSpan w:val="2"/>
            <w:noWrap/>
            <w:hideMark/>
          </w:tcPr>
          <w:p w14:paraId="724F7CE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25.00%</w:t>
            </w:r>
          </w:p>
        </w:tc>
        <w:tc>
          <w:tcPr>
            <w:tcW w:w="659" w:type="pct"/>
            <w:gridSpan w:val="2"/>
            <w:noWrap/>
            <w:hideMark/>
          </w:tcPr>
          <w:p w14:paraId="6E783E2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-65.22%</w:t>
            </w:r>
          </w:p>
        </w:tc>
      </w:tr>
      <w:tr w:rsidR="00923F6C" w:rsidRPr="00225460" w14:paraId="4883699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6AE5751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Net income before taxes</w:t>
            </w:r>
          </w:p>
        </w:tc>
        <w:tc>
          <w:tcPr>
            <w:tcW w:w="659" w:type="pct"/>
            <w:gridSpan w:val="2"/>
            <w:noWrap/>
            <w:hideMark/>
          </w:tcPr>
          <w:p w14:paraId="7FCA2D7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9.42%</w:t>
            </w:r>
          </w:p>
        </w:tc>
        <w:tc>
          <w:tcPr>
            <w:tcW w:w="659" w:type="pct"/>
            <w:gridSpan w:val="2"/>
            <w:noWrap/>
            <w:hideMark/>
          </w:tcPr>
          <w:p w14:paraId="0A3F82A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6.56%</w:t>
            </w:r>
          </w:p>
        </w:tc>
        <w:tc>
          <w:tcPr>
            <w:tcW w:w="659" w:type="pct"/>
            <w:gridSpan w:val="2"/>
            <w:noWrap/>
            <w:hideMark/>
          </w:tcPr>
          <w:p w14:paraId="418418B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2.78%</w:t>
            </w:r>
          </w:p>
        </w:tc>
        <w:tc>
          <w:tcPr>
            <w:tcW w:w="659" w:type="pct"/>
            <w:gridSpan w:val="2"/>
            <w:noWrap/>
            <w:hideMark/>
          </w:tcPr>
          <w:p w14:paraId="03B4C20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-34.97%</w:t>
            </w:r>
          </w:p>
        </w:tc>
      </w:tr>
      <w:tr w:rsidR="00923F6C" w:rsidRPr="00225460" w14:paraId="4845E53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475CB4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Provision for income taxes</w:t>
            </w:r>
          </w:p>
        </w:tc>
        <w:tc>
          <w:tcPr>
            <w:tcW w:w="659" w:type="pct"/>
            <w:gridSpan w:val="2"/>
            <w:noWrap/>
            <w:hideMark/>
          </w:tcPr>
          <w:p w14:paraId="66040FF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100.00%</w:t>
            </w:r>
          </w:p>
        </w:tc>
        <w:tc>
          <w:tcPr>
            <w:tcW w:w="659" w:type="pct"/>
            <w:gridSpan w:val="2"/>
            <w:noWrap/>
            <w:hideMark/>
          </w:tcPr>
          <w:p w14:paraId="44E5B1A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-27.37%</w:t>
            </w:r>
          </w:p>
        </w:tc>
        <w:tc>
          <w:tcPr>
            <w:tcW w:w="659" w:type="pct"/>
            <w:gridSpan w:val="2"/>
            <w:noWrap/>
            <w:hideMark/>
          </w:tcPr>
          <w:p w14:paraId="3ADE1B1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1.06%</w:t>
            </w:r>
          </w:p>
        </w:tc>
        <w:tc>
          <w:tcPr>
            <w:tcW w:w="659" w:type="pct"/>
            <w:gridSpan w:val="2"/>
            <w:noWrap/>
            <w:hideMark/>
          </w:tcPr>
          <w:p w14:paraId="75C2ABC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-36.49%</w:t>
            </w:r>
          </w:p>
        </w:tc>
      </w:tr>
      <w:tr w:rsidR="00923F6C" w:rsidRPr="00225460" w14:paraId="686E842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C78221D"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Net income after taxes</w:t>
            </w:r>
          </w:p>
        </w:tc>
        <w:tc>
          <w:tcPr>
            <w:tcW w:w="659" w:type="pct"/>
            <w:gridSpan w:val="2"/>
            <w:noWrap/>
            <w:hideMark/>
          </w:tcPr>
          <w:p w14:paraId="67C17AE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w:t>
            </w:r>
          </w:p>
        </w:tc>
        <w:tc>
          <w:tcPr>
            <w:tcW w:w="659" w:type="pct"/>
            <w:gridSpan w:val="2"/>
            <w:noWrap/>
            <w:hideMark/>
          </w:tcPr>
          <w:p w14:paraId="04954EAF"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6EF843B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454AFA3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-34.61%</w:t>
            </w:r>
          </w:p>
        </w:tc>
      </w:tr>
      <w:tr w:rsidR="00923F6C" w:rsidRPr="00225460" w14:paraId="6CEA0C2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2D1648C"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Minority interest</w:t>
            </w:r>
          </w:p>
        </w:tc>
        <w:tc>
          <w:tcPr>
            <w:tcW w:w="659" w:type="pct"/>
            <w:gridSpan w:val="2"/>
            <w:noWrap/>
            <w:hideMark/>
          </w:tcPr>
          <w:p w14:paraId="660B438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92A3E7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4AB9D2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06B8719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6A6C014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69E07E98"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Net income before extra. Items</w:t>
            </w:r>
          </w:p>
        </w:tc>
        <w:tc>
          <w:tcPr>
            <w:tcW w:w="659" w:type="pct"/>
            <w:gridSpan w:val="2"/>
            <w:noWrap/>
            <w:hideMark/>
          </w:tcPr>
          <w:p w14:paraId="64656C0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w:t>
            </w:r>
          </w:p>
        </w:tc>
        <w:tc>
          <w:tcPr>
            <w:tcW w:w="659" w:type="pct"/>
            <w:gridSpan w:val="2"/>
            <w:noWrap/>
            <w:hideMark/>
          </w:tcPr>
          <w:p w14:paraId="21ED339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23E0D77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03B5A44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-34.61%</w:t>
            </w:r>
          </w:p>
        </w:tc>
      </w:tr>
      <w:tr w:rsidR="00923F6C" w:rsidRPr="00225460" w14:paraId="5032BF6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4C7AA1B7"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Total extraordinary items</w:t>
            </w:r>
          </w:p>
        </w:tc>
        <w:tc>
          <w:tcPr>
            <w:tcW w:w="659" w:type="pct"/>
            <w:gridSpan w:val="2"/>
            <w:noWrap/>
            <w:hideMark/>
          </w:tcPr>
          <w:p w14:paraId="179AD2E8"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999D79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0DEF7B8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37624661"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62EC8EE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45E55C7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Net income</w:t>
            </w:r>
          </w:p>
        </w:tc>
        <w:tc>
          <w:tcPr>
            <w:tcW w:w="659" w:type="pct"/>
            <w:gridSpan w:val="2"/>
            <w:noWrap/>
            <w:hideMark/>
          </w:tcPr>
          <w:p w14:paraId="0B18DB6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w:t>
            </w:r>
          </w:p>
        </w:tc>
        <w:tc>
          <w:tcPr>
            <w:tcW w:w="659" w:type="pct"/>
            <w:gridSpan w:val="2"/>
            <w:noWrap/>
            <w:hideMark/>
          </w:tcPr>
          <w:p w14:paraId="53A5012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7C2980F1"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5F44869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-34.61%</w:t>
            </w:r>
          </w:p>
        </w:tc>
      </w:tr>
      <w:tr w:rsidR="00923F6C" w:rsidRPr="00225460" w14:paraId="7CFD744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832D5F0"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Inc.</w:t>
            </w:r>
            <w:r>
              <w:rPr>
                <w:rFonts w:ascii="Arial" w:eastAsia="Times New Roman" w:hAnsi="Arial" w:cs="Arial"/>
                <w:color w:val="000000"/>
                <w:kern w:val="0"/>
                <w:sz w:val="20"/>
                <w:szCs w:val="20"/>
                <w14:ligatures w14:val="none"/>
              </w:rPr>
              <w:t xml:space="preserve"> </w:t>
            </w:r>
            <w:r w:rsidRPr="00225460">
              <w:rPr>
                <w:rFonts w:ascii="Arial" w:eastAsia="Times New Roman" w:hAnsi="Arial" w:cs="Arial"/>
                <w:color w:val="000000"/>
                <w:kern w:val="0"/>
                <w:sz w:val="20"/>
                <w:szCs w:val="20"/>
                <w14:ligatures w14:val="none"/>
              </w:rPr>
              <w:t>avail. to common excl. extra. Items</w:t>
            </w:r>
          </w:p>
        </w:tc>
        <w:tc>
          <w:tcPr>
            <w:tcW w:w="659" w:type="pct"/>
            <w:gridSpan w:val="2"/>
            <w:noWrap/>
            <w:hideMark/>
          </w:tcPr>
          <w:p w14:paraId="41461D7F"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w:t>
            </w:r>
          </w:p>
        </w:tc>
        <w:tc>
          <w:tcPr>
            <w:tcW w:w="659" w:type="pct"/>
            <w:gridSpan w:val="2"/>
            <w:noWrap/>
            <w:hideMark/>
          </w:tcPr>
          <w:p w14:paraId="39E66BA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57BCA954"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7BB8D62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-34.61%</w:t>
            </w:r>
          </w:p>
        </w:tc>
      </w:tr>
      <w:tr w:rsidR="00923F6C" w:rsidRPr="00225460" w14:paraId="53244B4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263CD33"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Inc.</w:t>
            </w:r>
            <w:r>
              <w:rPr>
                <w:rFonts w:ascii="Arial" w:eastAsia="Times New Roman" w:hAnsi="Arial" w:cs="Arial"/>
                <w:color w:val="000000"/>
                <w:kern w:val="0"/>
                <w:sz w:val="20"/>
                <w:szCs w:val="20"/>
                <w14:ligatures w14:val="none"/>
              </w:rPr>
              <w:t xml:space="preserve"> </w:t>
            </w:r>
            <w:r w:rsidRPr="00225460">
              <w:rPr>
                <w:rFonts w:ascii="Arial" w:eastAsia="Times New Roman" w:hAnsi="Arial" w:cs="Arial"/>
                <w:color w:val="000000"/>
                <w:kern w:val="0"/>
                <w:sz w:val="20"/>
                <w:szCs w:val="20"/>
                <w14:ligatures w14:val="none"/>
              </w:rPr>
              <w:t>avail. to common incl. extra. Items</w:t>
            </w:r>
          </w:p>
        </w:tc>
        <w:tc>
          <w:tcPr>
            <w:tcW w:w="659" w:type="pct"/>
            <w:gridSpan w:val="2"/>
            <w:noWrap/>
            <w:hideMark/>
          </w:tcPr>
          <w:p w14:paraId="69C3D08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w:t>
            </w:r>
          </w:p>
        </w:tc>
        <w:tc>
          <w:tcPr>
            <w:tcW w:w="659" w:type="pct"/>
            <w:gridSpan w:val="2"/>
            <w:noWrap/>
            <w:hideMark/>
          </w:tcPr>
          <w:p w14:paraId="1824A5D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50F9E85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1E52376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-34.61%</w:t>
            </w:r>
          </w:p>
        </w:tc>
      </w:tr>
      <w:tr w:rsidR="00923F6C" w:rsidRPr="00225460" w14:paraId="01BBE13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2699D7E"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EPS RECONCILIATION</w:t>
            </w:r>
          </w:p>
        </w:tc>
        <w:tc>
          <w:tcPr>
            <w:tcW w:w="659" w:type="pct"/>
            <w:gridSpan w:val="2"/>
            <w:noWrap/>
            <w:hideMark/>
          </w:tcPr>
          <w:p w14:paraId="18CBC06B"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BA193F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60B5AB44"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34782F5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3B9F160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FBBA398"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Basic/primary weighted average shares</w:t>
            </w:r>
          </w:p>
        </w:tc>
        <w:tc>
          <w:tcPr>
            <w:tcW w:w="659" w:type="pct"/>
            <w:gridSpan w:val="2"/>
            <w:noWrap/>
            <w:hideMark/>
          </w:tcPr>
          <w:p w14:paraId="7C7FC2E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-6.03%</w:t>
            </w:r>
          </w:p>
        </w:tc>
        <w:tc>
          <w:tcPr>
            <w:tcW w:w="659" w:type="pct"/>
            <w:gridSpan w:val="2"/>
            <w:noWrap/>
            <w:hideMark/>
          </w:tcPr>
          <w:p w14:paraId="4C66049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0.87%</w:t>
            </w:r>
          </w:p>
        </w:tc>
        <w:tc>
          <w:tcPr>
            <w:tcW w:w="659" w:type="pct"/>
            <w:gridSpan w:val="2"/>
            <w:noWrap/>
            <w:hideMark/>
          </w:tcPr>
          <w:p w14:paraId="00CB16D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-1.71%</w:t>
            </w:r>
          </w:p>
        </w:tc>
        <w:tc>
          <w:tcPr>
            <w:tcW w:w="659" w:type="pct"/>
            <w:gridSpan w:val="2"/>
            <w:noWrap/>
            <w:hideMark/>
          </w:tcPr>
          <w:p w14:paraId="0A38AF0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-2.50%</w:t>
            </w:r>
          </w:p>
        </w:tc>
      </w:tr>
      <w:tr w:rsidR="00923F6C" w:rsidRPr="00225460" w14:paraId="1974E87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611CED42"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Basic/primary eps excl. extra items</w:t>
            </w:r>
          </w:p>
        </w:tc>
        <w:tc>
          <w:tcPr>
            <w:tcW w:w="659" w:type="pct"/>
            <w:gridSpan w:val="2"/>
            <w:noWrap/>
            <w:hideMark/>
          </w:tcPr>
          <w:p w14:paraId="2DC6F5E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2.15%</w:t>
            </w:r>
          </w:p>
        </w:tc>
        <w:tc>
          <w:tcPr>
            <w:tcW w:w="659" w:type="pct"/>
            <w:gridSpan w:val="2"/>
            <w:noWrap/>
            <w:hideMark/>
          </w:tcPr>
          <w:p w14:paraId="44D4CBE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13.90%</w:t>
            </w:r>
          </w:p>
        </w:tc>
        <w:tc>
          <w:tcPr>
            <w:tcW w:w="659" w:type="pct"/>
            <w:gridSpan w:val="2"/>
            <w:noWrap/>
            <w:hideMark/>
          </w:tcPr>
          <w:p w14:paraId="32A02C9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4.26%</w:t>
            </w:r>
          </w:p>
        </w:tc>
        <w:tc>
          <w:tcPr>
            <w:tcW w:w="659" w:type="pct"/>
            <w:gridSpan w:val="2"/>
            <w:noWrap/>
            <w:hideMark/>
          </w:tcPr>
          <w:p w14:paraId="45DBB9D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-32.44%</w:t>
            </w:r>
          </w:p>
        </w:tc>
      </w:tr>
      <w:tr w:rsidR="00923F6C" w:rsidRPr="00225460" w14:paraId="606F132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506C6AB"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Basic/primary eps incl. extra items</w:t>
            </w:r>
          </w:p>
        </w:tc>
        <w:tc>
          <w:tcPr>
            <w:tcW w:w="659" w:type="pct"/>
            <w:gridSpan w:val="2"/>
            <w:noWrap/>
            <w:hideMark/>
          </w:tcPr>
          <w:p w14:paraId="600052C1"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2.15%</w:t>
            </w:r>
          </w:p>
        </w:tc>
        <w:tc>
          <w:tcPr>
            <w:tcW w:w="659" w:type="pct"/>
            <w:gridSpan w:val="2"/>
            <w:noWrap/>
            <w:hideMark/>
          </w:tcPr>
          <w:p w14:paraId="07739EA4"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13.90%</w:t>
            </w:r>
          </w:p>
        </w:tc>
        <w:tc>
          <w:tcPr>
            <w:tcW w:w="659" w:type="pct"/>
            <w:gridSpan w:val="2"/>
            <w:noWrap/>
            <w:hideMark/>
          </w:tcPr>
          <w:p w14:paraId="7999BBF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4.26%</w:t>
            </w:r>
          </w:p>
        </w:tc>
        <w:tc>
          <w:tcPr>
            <w:tcW w:w="659" w:type="pct"/>
            <w:gridSpan w:val="2"/>
            <w:noWrap/>
            <w:hideMark/>
          </w:tcPr>
          <w:p w14:paraId="19CCCA0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-32.44%</w:t>
            </w:r>
          </w:p>
        </w:tc>
      </w:tr>
      <w:tr w:rsidR="00923F6C" w:rsidRPr="00225460" w14:paraId="58DDCC2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03FC51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 xml:space="preserve">Dilution </w:t>
            </w:r>
            <w:r>
              <w:rPr>
                <w:rFonts w:ascii="Arial" w:eastAsia="Times New Roman" w:hAnsi="Arial" w:cs="Arial"/>
                <w:color w:val="000000"/>
                <w:kern w:val="0"/>
                <w:sz w:val="20"/>
                <w:szCs w:val="20"/>
                <w14:ligatures w14:val="none"/>
              </w:rPr>
              <w:t>Adjustment</w:t>
            </w:r>
          </w:p>
        </w:tc>
        <w:tc>
          <w:tcPr>
            <w:tcW w:w="659" w:type="pct"/>
            <w:gridSpan w:val="2"/>
            <w:noWrap/>
            <w:hideMark/>
          </w:tcPr>
          <w:p w14:paraId="49790D7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405C58D"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C7884B8"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688602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6A08624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4FEDC40A"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Diluted weighted average shares</w:t>
            </w:r>
          </w:p>
        </w:tc>
        <w:tc>
          <w:tcPr>
            <w:tcW w:w="659" w:type="pct"/>
            <w:gridSpan w:val="2"/>
            <w:noWrap/>
            <w:hideMark/>
          </w:tcPr>
          <w:p w14:paraId="6F86A59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-5.98%</w:t>
            </w:r>
          </w:p>
        </w:tc>
        <w:tc>
          <w:tcPr>
            <w:tcW w:w="659" w:type="pct"/>
            <w:gridSpan w:val="2"/>
            <w:noWrap/>
            <w:hideMark/>
          </w:tcPr>
          <w:p w14:paraId="1B8BC2F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0.00%</w:t>
            </w:r>
          </w:p>
        </w:tc>
        <w:tc>
          <w:tcPr>
            <w:tcW w:w="659" w:type="pct"/>
            <w:gridSpan w:val="2"/>
            <w:noWrap/>
            <w:hideMark/>
          </w:tcPr>
          <w:p w14:paraId="5BC426A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-3.31%</w:t>
            </w:r>
          </w:p>
        </w:tc>
        <w:tc>
          <w:tcPr>
            <w:tcW w:w="659" w:type="pct"/>
            <w:gridSpan w:val="2"/>
            <w:noWrap/>
            <w:hideMark/>
          </w:tcPr>
          <w:p w14:paraId="0F0C684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-1.63%</w:t>
            </w:r>
          </w:p>
        </w:tc>
      </w:tr>
      <w:tr w:rsidR="00923F6C" w:rsidRPr="00225460" w14:paraId="208B207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EAFF1E6"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 xml:space="preserve">Diluted </w:t>
            </w:r>
            <w:r>
              <w:rPr>
                <w:rFonts w:ascii="Arial" w:eastAsia="Times New Roman" w:hAnsi="Arial" w:cs="Arial"/>
                <w:color w:val="000000"/>
                <w:kern w:val="0"/>
                <w:sz w:val="20"/>
                <w:szCs w:val="20"/>
                <w14:ligatures w14:val="none"/>
              </w:rPr>
              <w:t>EPS</w:t>
            </w:r>
            <w:r w:rsidRPr="00225460">
              <w:rPr>
                <w:rFonts w:ascii="Arial" w:eastAsia="Times New Roman" w:hAnsi="Arial" w:cs="Arial"/>
                <w:color w:val="000000"/>
                <w:kern w:val="0"/>
                <w:sz w:val="20"/>
                <w:szCs w:val="20"/>
                <w14:ligatures w14:val="none"/>
              </w:rPr>
              <w:t xml:space="preserve"> excl. extra items</w:t>
            </w:r>
          </w:p>
        </w:tc>
        <w:tc>
          <w:tcPr>
            <w:tcW w:w="659" w:type="pct"/>
            <w:gridSpan w:val="2"/>
            <w:noWrap/>
            <w:hideMark/>
          </w:tcPr>
          <w:p w14:paraId="1EDFDAC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2.92%</w:t>
            </w:r>
          </w:p>
        </w:tc>
        <w:tc>
          <w:tcPr>
            <w:tcW w:w="659" w:type="pct"/>
            <w:gridSpan w:val="2"/>
            <w:noWrap/>
            <w:hideMark/>
          </w:tcPr>
          <w:p w14:paraId="0CD9A09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14.17%</w:t>
            </w:r>
          </w:p>
        </w:tc>
        <w:tc>
          <w:tcPr>
            <w:tcW w:w="659" w:type="pct"/>
            <w:gridSpan w:val="2"/>
            <w:noWrap/>
            <w:hideMark/>
          </w:tcPr>
          <w:p w14:paraId="13F1E06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5.88%</w:t>
            </w:r>
          </w:p>
        </w:tc>
        <w:tc>
          <w:tcPr>
            <w:tcW w:w="659" w:type="pct"/>
            <w:gridSpan w:val="2"/>
            <w:noWrap/>
            <w:hideMark/>
          </w:tcPr>
          <w:p w14:paraId="413B71D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-33.20%</w:t>
            </w:r>
          </w:p>
        </w:tc>
      </w:tr>
      <w:tr w:rsidR="00923F6C" w:rsidRPr="00225460" w14:paraId="6BE6B0F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4687901"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 xml:space="preserve">Diluted </w:t>
            </w:r>
            <w:r>
              <w:rPr>
                <w:rFonts w:ascii="Arial" w:eastAsia="Times New Roman" w:hAnsi="Arial" w:cs="Arial"/>
                <w:color w:val="000000"/>
                <w:kern w:val="0"/>
                <w:sz w:val="20"/>
                <w:szCs w:val="20"/>
                <w14:ligatures w14:val="none"/>
              </w:rPr>
              <w:t>EPS</w:t>
            </w:r>
            <w:r w:rsidRPr="00225460">
              <w:rPr>
                <w:rFonts w:ascii="Arial" w:eastAsia="Times New Roman" w:hAnsi="Arial" w:cs="Arial"/>
                <w:color w:val="000000"/>
                <w:kern w:val="0"/>
                <w:sz w:val="20"/>
                <w:szCs w:val="20"/>
                <w14:ligatures w14:val="none"/>
              </w:rPr>
              <w:t xml:space="preserve"> incl. extra items</w:t>
            </w:r>
          </w:p>
        </w:tc>
        <w:tc>
          <w:tcPr>
            <w:tcW w:w="659" w:type="pct"/>
            <w:gridSpan w:val="2"/>
            <w:noWrap/>
            <w:hideMark/>
          </w:tcPr>
          <w:p w14:paraId="06F6C8B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2.92%</w:t>
            </w:r>
          </w:p>
        </w:tc>
        <w:tc>
          <w:tcPr>
            <w:tcW w:w="659" w:type="pct"/>
            <w:gridSpan w:val="2"/>
            <w:noWrap/>
            <w:hideMark/>
          </w:tcPr>
          <w:p w14:paraId="447E2A6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14.17%</w:t>
            </w:r>
          </w:p>
        </w:tc>
        <w:tc>
          <w:tcPr>
            <w:tcW w:w="659" w:type="pct"/>
            <w:gridSpan w:val="2"/>
            <w:noWrap/>
            <w:hideMark/>
          </w:tcPr>
          <w:p w14:paraId="372CC3A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5.88%</w:t>
            </w:r>
          </w:p>
        </w:tc>
        <w:tc>
          <w:tcPr>
            <w:tcW w:w="659" w:type="pct"/>
            <w:gridSpan w:val="2"/>
            <w:noWrap/>
            <w:hideMark/>
          </w:tcPr>
          <w:p w14:paraId="4B5A8D2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-33.20%</w:t>
            </w:r>
          </w:p>
        </w:tc>
      </w:tr>
      <w:tr w:rsidR="00923F6C" w:rsidRPr="00225460" w14:paraId="7069B38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0C1FE7B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COMMON STOCK DIVIDENDS</w:t>
            </w:r>
          </w:p>
        </w:tc>
        <w:tc>
          <w:tcPr>
            <w:tcW w:w="659" w:type="pct"/>
            <w:gridSpan w:val="2"/>
            <w:noWrap/>
            <w:hideMark/>
          </w:tcPr>
          <w:p w14:paraId="3F095E94"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657E1A5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31C5A638"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06867CAD"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625109E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2218B16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DPS - common stock primary issue</w:t>
            </w:r>
          </w:p>
        </w:tc>
        <w:tc>
          <w:tcPr>
            <w:tcW w:w="659" w:type="pct"/>
            <w:gridSpan w:val="2"/>
            <w:noWrap/>
            <w:hideMark/>
          </w:tcPr>
          <w:p w14:paraId="285AD6B2"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59" w:type="pct"/>
            <w:gridSpan w:val="2"/>
            <w:noWrap/>
            <w:hideMark/>
          </w:tcPr>
          <w:p w14:paraId="3FEB446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-100.00%</w:t>
            </w:r>
          </w:p>
        </w:tc>
        <w:tc>
          <w:tcPr>
            <w:tcW w:w="659" w:type="pct"/>
            <w:gridSpan w:val="2"/>
            <w:noWrap/>
            <w:hideMark/>
          </w:tcPr>
          <w:p w14:paraId="3FACFAA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-2.33%</w:t>
            </w:r>
          </w:p>
        </w:tc>
        <w:tc>
          <w:tcPr>
            <w:tcW w:w="659" w:type="pct"/>
            <w:gridSpan w:val="2"/>
            <w:noWrap/>
            <w:hideMark/>
          </w:tcPr>
          <w:p w14:paraId="6A192944"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193.18%</w:t>
            </w:r>
          </w:p>
        </w:tc>
      </w:tr>
      <w:tr w:rsidR="00923F6C" w:rsidRPr="00225460" w14:paraId="7C1D730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9F64BA5"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Gross dividend - common stock</w:t>
            </w:r>
          </w:p>
        </w:tc>
        <w:tc>
          <w:tcPr>
            <w:tcW w:w="659" w:type="pct"/>
            <w:gridSpan w:val="2"/>
            <w:noWrap/>
            <w:hideMark/>
          </w:tcPr>
          <w:p w14:paraId="58C0D98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59" w:type="pct"/>
            <w:gridSpan w:val="2"/>
            <w:noWrap/>
            <w:hideMark/>
          </w:tcPr>
          <w:p w14:paraId="7965C8B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-100.00%</w:t>
            </w:r>
          </w:p>
        </w:tc>
        <w:tc>
          <w:tcPr>
            <w:tcW w:w="659" w:type="pct"/>
            <w:gridSpan w:val="2"/>
            <w:noWrap/>
            <w:hideMark/>
          </w:tcPr>
          <w:p w14:paraId="50D0EE1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-2.67%</w:t>
            </w:r>
          </w:p>
        </w:tc>
        <w:tc>
          <w:tcPr>
            <w:tcW w:w="659" w:type="pct"/>
            <w:gridSpan w:val="2"/>
            <w:noWrap/>
            <w:hideMark/>
          </w:tcPr>
          <w:p w14:paraId="7A49CBD4"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r>
      <w:tr w:rsidR="00923F6C" w:rsidRPr="00225460" w14:paraId="1517EB8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0D3E7C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PRO FORMA INCOME</w:t>
            </w:r>
          </w:p>
        </w:tc>
        <w:tc>
          <w:tcPr>
            <w:tcW w:w="659" w:type="pct"/>
            <w:gridSpan w:val="2"/>
            <w:noWrap/>
            <w:hideMark/>
          </w:tcPr>
          <w:p w14:paraId="2C6FBBB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58085E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3E9E2B37"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4ECA237"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46EF38C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1B361D3"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Pro forma net income</w:t>
            </w:r>
          </w:p>
        </w:tc>
        <w:tc>
          <w:tcPr>
            <w:tcW w:w="659" w:type="pct"/>
            <w:gridSpan w:val="2"/>
            <w:noWrap/>
            <w:hideMark/>
          </w:tcPr>
          <w:p w14:paraId="69BCB5F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079CB3AC"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21A58E26"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674B1847"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1B574B6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62621417"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Interest expense, supplemental</w:t>
            </w:r>
          </w:p>
        </w:tc>
        <w:tc>
          <w:tcPr>
            <w:tcW w:w="659" w:type="pct"/>
            <w:gridSpan w:val="2"/>
            <w:noWrap/>
            <w:hideMark/>
          </w:tcPr>
          <w:p w14:paraId="67A9A27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71.43%</w:t>
            </w:r>
          </w:p>
        </w:tc>
        <w:tc>
          <w:tcPr>
            <w:tcW w:w="659" w:type="pct"/>
            <w:gridSpan w:val="2"/>
            <w:noWrap/>
            <w:hideMark/>
          </w:tcPr>
          <w:p w14:paraId="71CB004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62.79%</w:t>
            </w:r>
          </w:p>
        </w:tc>
        <w:tc>
          <w:tcPr>
            <w:tcW w:w="659" w:type="pct"/>
            <w:gridSpan w:val="2"/>
            <w:noWrap/>
            <w:hideMark/>
          </w:tcPr>
          <w:p w14:paraId="13D69B7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-21.82%</w:t>
            </w:r>
          </w:p>
        </w:tc>
        <w:tc>
          <w:tcPr>
            <w:tcW w:w="659" w:type="pct"/>
            <w:gridSpan w:val="2"/>
            <w:noWrap/>
            <w:hideMark/>
          </w:tcPr>
          <w:p w14:paraId="2B168E21"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w:t>
            </w:r>
          </w:p>
        </w:tc>
      </w:tr>
      <w:tr w:rsidR="00923F6C" w:rsidRPr="00225460" w14:paraId="5F58082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EF55A5A"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SUPPLEMENTAL INCOME</w:t>
            </w:r>
          </w:p>
        </w:tc>
        <w:tc>
          <w:tcPr>
            <w:tcW w:w="659" w:type="pct"/>
            <w:gridSpan w:val="2"/>
            <w:noWrap/>
            <w:hideMark/>
          </w:tcPr>
          <w:p w14:paraId="2598330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5AEA184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61B1AD30"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784DE506"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32E2918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4F3E5687"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Depreciation, supplemental</w:t>
            </w:r>
          </w:p>
        </w:tc>
        <w:tc>
          <w:tcPr>
            <w:tcW w:w="659" w:type="pct"/>
            <w:gridSpan w:val="2"/>
            <w:noWrap/>
            <w:hideMark/>
          </w:tcPr>
          <w:p w14:paraId="258A4B04"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5.36%</w:t>
            </w:r>
          </w:p>
        </w:tc>
        <w:tc>
          <w:tcPr>
            <w:tcW w:w="659" w:type="pct"/>
            <w:gridSpan w:val="2"/>
            <w:noWrap/>
            <w:hideMark/>
          </w:tcPr>
          <w:p w14:paraId="456CA75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-5.08%</w:t>
            </w:r>
          </w:p>
        </w:tc>
        <w:tc>
          <w:tcPr>
            <w:tcW w:w="659" w:type="pct"/>
            <w:gridSpan w:val="2"/>
            <w:noWrap/>
            <w:hideMark/>
          </w:tcPr>
          <w:p w14:paraId="745D0BC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25.53%</w:t>
            </w:r>
          </w:p>
        </w:tc>
        <w:tc>
          <w:tcPr>
            <w:tcW w:w="659" w:type="pct"/>
            <w:gridSpan w:val="2"/>
            <w:noWrap/>
            <w:hideMark/>
          </w:tcPr>
          <w:p w14:paraId="309A84B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95.83%</w:t>
            </w:r>
          </w:p>
        </w:tc>
      </w:tr>
      <w:tr w:rsidR="00923F6C" w:rsidRPr="00225460" w14:paraId="3A43EDF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8F616ED"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Total special items</w:t>
            </w:r>
          </w:p>
        </w:tc>
        <w:tc>
          <w:tcPr>
            <w:tcW w:w="659" w:type="pct"/>
            <w:gridSpan w:val="2"/>
            <w:noWrap/>
            <w:hideMark/>
          </w:tcPr>
          <w:p w14:paraId="53DA59F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3600.00%</w:t>
            </w:r>
          </w:p>
        </w:tc>
        <w:tc>
          <w:tcPr>
            <w:tcW w:w="659" w:type="pct"/>
            <w:gridSpan w:val="2"/>
            <w:noWrap/>
            <w:hideMark/>
          </w:tcPr>
          <w:p w14:paraId="7ABB1B3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59" w:type="pct"/>
            <w:gridSpan w:val="2"/>
            <w:noWrap/>
            <w:hideMark/>
          </w:tcPr>
          <w:p w14:paraId="77102B2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-100.00%</w:t>
            </w:r>
          </w:p>
        </w:tc>
        <w:tc>
          <w:tcPr>
            <w:tcW w:w="659" w:type="pct"/>
            <w:gridSpan w:val="2"/>
            <w:noWrap/>
            <w:hideMark/>
          </w:tcPr>
          <w:p w14:paraId="42546217"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0.00%</w:t>
            </w:r>
          </w:p>
        </w:tc>
      </w:tr>
      <w:tr w:rsidR="00923F6C" w:rsidRPr="00225460" w14:paraId="77E8130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5B0DD062"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NORMALISED INCOME</w:t>
            </w:r>
          </w:p>
        </w:tc>
        <w:tc>
          <w:tcPr>
            <w:tcW w:w="659" w:type="pct"/>
            <w:gridSpan w:val="2"/>
            <w:noWrap/>
            <w:hideMark/>
          </w:tcPr>
          <w:p w14:paraId="3C0038C3"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6F8E5FA9"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43F8D9E5"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59" w:type="pct"/>
            <w:gridSpan w:val="2"/>
            <w:noWrap/>
            <w:hideMark/>
          </w:tcPr>
          <w:p w14:paraId="3CCBF7A4" w14:textId="77777777" w:rsidR="00923F6C" w:rsidRPr="00225460"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225460" w14:paraId="4673D60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D302767"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Normalized income before taxes</w:t>
            </w:r>
          </w:p>
        </w:tc>
        <w:tc>
          <w:tcPr>
            <w:tcW w:w="659" w:type="pct"/>
            <w:gridSpan w:val="2"/>
            <w:noWrap/>
            <w:hideMark/>
          </w:tcPr>
          <w:p w14:paraId="5B64651F"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10.14%</w:t>
            </w:r>
          </w:p>
        </w:tc>
        <w:tc>
          <w:tcPr>
            <w:tcW w:w="659" w:type="pct"/>
            <w:gridSpan w:val="2"/>
            <w:noWrap/>
            <w:hideMark/>
          </w:tcPr>
          <w:p w14:paraId="358833C6"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6.56%</w:t>
            </w:r>
          </w:p>
        </w:tc>
        <w:tc>
          <w:tcPr>
            <w:tcW w:w="659" w:type="pct"/>
            <w:gridSpan w:val="2"/>
            <w:noWrap/>
            <w:hideMark/>
          </w:tcPr>
          <w:p w14:paraId="453700C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2.78%</w:t>
            </w:r>
          </w:p>
        </w:tc>
        <w:tc>
          <w:tcPr>
            <w:tcW w:w="659" w:type="pct"/>
            <w:gridSpan w:val="2"/>
            <w:noWrap/>
            <w:hideMark/>
          </w:tcPr>
          <w:p w14:paraId="6A25C7E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-34.97%</w:t>
            </w:r>
          </w:p>
        </w:tc>
      </w:tr>
      <w:tr w:rsidR="00923F6C" w:rsidRPr="00225460" w14:paraId="79DD64A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64E74301"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Effect of special items on income taxes</w:t>
            </w:r>
          </w:p>
        </w:tc>
        <w:tc>
          <w:tcPr>
            <w:tcW w:w="659" w:type="pct"/>
            <w:gridSpan w:val="2"/>
            <w:noWrap/>
            <w:hideMark/>
          </w:tcPr>
          <w:p w14:paraId="1702637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8400.00%</w:t>
            </w:r>
          </w:p>
        </w:tc>
        <w:tc>
          <w:tcPr>
            <w:tcW w:w="659" w:type="pct"/>
            <w:gridSpan w:val="2"/>
            <w:noWrap/>
            <w:hideMark/>
          </w:tcPr>
          <w:p w14:paraId="51AFA25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
        </w:tc>
        <w:tc>
          <w:tcPr>
            <w:tcW w:w="659" w:type="pct"/>
            <w:gridSpan w:val="2"/>
            <w:noWrap/>
            <w:hideMark/>
          </w:tcPr>
          <w:p w14:paraId="59F43EC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-100.00%</w:t>
            </w:r>
          </w:p>
        </w:tc>
        <w:tc>
          <w:tcPr>
            <w:tcW w:w="659" w:type="pct"/>
            <w:gridSpan w:val="2"/>
            <w:noWrap/>
            <w:hideMark/>
          </w:tcPr>
          <w:p w14:paraId="0A18F0E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0.00%</w:t>
            </w:r>
          </w:p>
        </w:tc>
      </w:tr>
      <w:tr w:rsidR="00923F6C" w:rsidRPr="00225460" w14:paraId="2268FED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D6BBCCD"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Income tax excluding impact of special items</w:t>
            </w:r>
          </w:p>
        </w:tc>
        <w:tc>
          <w:tcPr>
            <w:tcW w:w="659" w:type="pct"/>
            <w:gridSpan w:val="2"/>
            <w:noWrap/>
            <w:hideMark/>
          </w:tcPr>
          <w:p w14:paraId="6936E5CD"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101.45%</w:t>
            </w:r>
          </w:p>
        </w:tc>
        <w:tc>
          <w:tcPr>
            <w:tcW w:w="659" w:type="pct"/>
            <w:gridSpan w:val="2"/>
            <w:noWrap/>
            <w:hideMark/>
          </w:tcPr>
          <w:p w14:paraId="7A1AE7C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-27.37%</w:t>
            </w:r>
          </w:p>
        </w:tc>
        <w:tc>
          <w:tcPr>
            <w:tcW w:w="659" w:type="pct"/>
            <w:gridSpan w:val="2"/>
            <w:noWrap/>
            <w:hideMark/>
          </w:tcPr>
          <w:p w14:paraId="753B86C0"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1.06%</w:t>
            </w:r>
          </w:p>
        </w:tc>
        <w:tc>
          <w:tcPr>
            <w:tcW w:w="659" w:type="pct"/>
            <w:gridSpan w:val="2"/>
            <w:noWrap/>
            <w:hideMark/>
          </w:tcPr>
          <w:p w14:paraId="07AD6785"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-36.49%</w:t>
            </w:r>
          </w:p>
        </w:tc>
      </w:tr>
      <w:tr w:rsidR="00923F6C" w:rsidRPr="00225460" w14:paraId="5EDD9B5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3105F17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Normalized income after tax</w:t>
            </w:r>
          </w:p>
        </w:tc>
        <w:tc>
          <w:tcPr>
            <w:tcW w:w="659" w:type="pct"/>
            <w:gridSpan w:val="2"/>
            <w:noWrap/>
            <w:hideMark/>
          </w:tcPr>
          <w:p w14:paraId="4C0D879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-2.70%</w:t>
            </w:r>
          </w:p>
        </w:tc>
        <w:tc>
          <w:tcPr>
            <w:tcW w:w="659" w:type="pct"/>
            <w:gridSpan w:val="2"/>
            <w:noWrap/>
            <w:hideMark/>
          </w:tcPr>
          <w:p w14:paraId="3E17CDD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3240F2C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00AF445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-34.71%</w:t>
            </w:r>
          </w:p>
        </w:tc>
      </w:tr>
      <w:tr w:rsidR="00923F6C" w:rsidRPr="00225460" w14:paraId="7DADD24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69D3B5C"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Normalized income avail. to common</w:t>
            </w:r>
          </w:p>
        </w:tc>
        <w:tc>
          <w:tcPr>
            <w:tcW w:w="659" w:type="pct"/>
            <w:gridSpan w:val="2"/>
            <w:noWrap/>
            <w:hideMark/>
          </w:tcPr>
          <w:p w14:paraId="08FB2D2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-2.70%</w:t>
            </w:r>
          </w:p>
        </w:tc>
        <w:tc>
          <w:tcPr>
            <w:tcW w:w="659" w:type="pct"/>
            <w:gridSpan w:val="2"/>
            <w:noWrap/>
            <w:hideMark/>
          </w:tcPr>
          <w:p w14:paraId="270057BC"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13.95%</w:t>
            </w:r>
          </w:p>
        </w:tc>
        <w:tc>
          <w:tcPr>
            <w:tcW w:w="659" w:type="pct"/>
            <w:gridSpan w:val="2"/>
            <w:noWrap/>
            <w:hideMark/>
          </w:tcPr>
          <w:p w14:paraId="533298F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3.17%</w:t>
            </w:r>
          </w:p>
        </w:tc>
        <w:tc>
          <w:tcPr>
            <w:tcW w:w="659" w:type="pct"/>
            <w:gridSpan w:val="2"/>
            <w:noWrap/>
            <w:hideMark/>
          </w:tcPr>
          <w:p w14:paraId="57233B7B"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-34.71%</w:t>
            </w:r>
          </w:p>
        </w:tc>
      </w:tr>
      <w:tr w:rsidR="00923F6C" w:rsidRPr="00225460" w14:paraId="6215A2D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1068932F"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Basic normalized EPS</w:t>
            </w:r>
          </w:p>
        </w:tc>
        <w:tc>
          <w:tcPr>
            <w:tcW w:w="659" w:type="pct"/>
            <w:gridSpan w:val="2"/>
            <w:noWrap/>
            <w:hideMark/>
          </w:tcPr>
          <w:p w14:paraId="16E33E21"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2.63%</w:t>
            </w:r>
          </w:p>
        </w:tc>
        <w:tc>
          <w:tcPr>
            <w:tcW w:w="659" w:type="pct"/>
            <w:gridSpan w:val="2"/>
            <w:noWrap/>
            <w:hideMark/>
          </w:tcPr>
          <w:p w14:paraId="26D3397A"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13.90%</w:t>
            </w:r>
          </w:p>
        </w:tc>
        <w:tc>
          <w:tcPr>
            <w:tcW w:w="659" w:type="pct"/>
            <w:gridSpan w:val="2"/>
            <w:noWrap/>
            <w:hideMark/>
          </w:tcPr>
          <w:p w14:paraId="1050CDB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4.26%</w:t>
            </w:r>
          </w:p>
        </w:tc>
        <w:tc>
          <w:tcPr>
            <w:tcW w:w="659" w:type="pct"/>
            <w:gridSpan w:val="2"/>
            <w:noWrap/>
            <w:hideMark/>
          </w:tcPr>
          <w:p w14:paraId="06F0E1D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-32.44%</w:t>
            </w:r>
          </w:p>
        </w:tc>
      </w:tr>
      <w:tr w:rsidR="00923F6C" w:rsidRPr="00225460" w14:paraId="3040E2E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65" w:type="pct"/>
            <w:gridSpan w:val="2"/>
            <w:noWrap/>
            <w:hideMark/>
          </w:tcPr>
          <w:p w14:paraId="7314FDD9" w14:textId="77777777" w:rsidR="00923F6C" w:rsidRPr="00225460" w:rsidRDefault="00923F6C" w:rsidP="002B72E8">
            <w:pPr>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Diluted normalized EPS</w:t>
            </w:r>
          </w:p>
        </w:tc>
        <w:tc>
          <w:tcPr>
            <w:tcW w:w="659" w:type="pct"/>
            <w:gridSpan w:val="2"/>
            <w:noWrap/>
            <w:hideMark/>
          </w:tcPr>
          <w:p w14:paraId="075B75AE"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3.41%</w:t>
            </w:r>
          </w:p>
        </w:tc>
        <w:tc>
          <w:tcPr>
            <w:tcW w:w="659" w:type="pct"/>
            <w:gridSpan w:val="2"/>
            <w:noWrap/>
            <w:hideMark/>
          </w:tcPr>
          <w:p w14:paraId="5ABE53D3"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14.17%</w:t>
            </w:r>
          </w:p>
        </w:tc>
        <w:tc>
          <w:tcPr>
            <w:tcW w:w="659" w:type="pct"/>
            <w:gridSpan w:val="2"/>
            <w:noWrap/>
            <w:hideMark/>
          </w:tcPr>
          <w:p w14:paraId="52A2A7A8"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5.88%</w:t>
            </w:r>
          </w:p>
        </w:tc>
        <w:tc>
          <w:tcPr>
            <w:tcW w:w="659" w:type="pct"/>
            <w:gridSpan w:val="2"/>
            <w:noWrap/>
            <w:hideMark/>
          </w:tcPr>
          <w:p w14:paraId="4506C859" w14:textId="77777777" w:rsidR="00923F6C" w:rsidRPr="00225460"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225460">
              <w:rPr>
                <w:rFonts w:ascii="Arial" w:eastAsia="Times New Roman" w:hAnsi="Arial" w:cs="Arial"/>
                <w:color w:val="000000"/>
                <w:kern w:val="0"/>
                <w:sz w:val="20"/>
                <w:szCs w:val="20"/>
                <w14:ligatures w14:val="none"/>
              </w:rPr>
              <w:t>-33.20%</w:t>
            </w:r>
          </w:p>
        </w:tc>
      </w:tr>
      <w:tr w:rsidR="00923F6C" w:rsidRPr="0004269F" w14:paraId="0438A176" w14:textId="77777777" w:rsidTr="00265EA6">
        <w:trPr>
          <w:trHeight w:val="416"/>
        </w:trPr>
        <w:tc>
          <w:tcPr>
            <w:cnfStyle w:val="001000000000" w:firstRow="0" w:lastRow="0" w:firstColumn="1" w:lastColumn="0" w:oddVBand="0" w:evenVBand="0" w:oddHBand="0" w:evenHBand="0" w:firstRowFirstColumn="0" w:firstRowLastColumn="0" w:lastRowFirstColumn="0" w:lastRowLastColumn="0"/>
            <w:tcW w:w="5000" w:type="pct"/>
            <w:gridSpan w:val="10"/>
            <w:noWrap/>
            <w:hideMark/>
          </w:tcPr>
          <w:p w14:paraId="444CEF2A" w14:textId="77777777" w:rsidR="00923F6C" w:rsidRPr="0004269F" w:rsidRDefault="00923F6C" w:rsidP="002B72E8">
            <w:pPr>
              <w:spacing w:line="360" w:lineRule="auto"/>
              <w:jc w:val="center"/>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lastRenderedPageBreak/>
              <w:t>THE BERKELEY GROUP HOLDINGS PLC</w:t>
            </w:r>
          </w:p>
          <w:p w14:paraId="567FE9C9" w14:textId="77777777" w:rsidR="00923F6C" w:rsidRPr="0004269F" w:rsidRDefault="00923F6C" w:rsidP="002B72E8">
            <w:pPr>
              <w:spacing w:line="360" w:lineRule="auto"/>
              <w:jc w:val="center"/>
              <w:rPr>
                <w:rFonts w:ascii="Arial" w:eastAsia="Times New Roman" w:hAnsi="Arial" w:cs="Arial"/>
                <w:kern w:val="0"/>
                <w:sz w:val="20"/>
                <w:szCs w:val="20"/>
                <w14:ligatures w14:val="none"/>
              </w:rPr>
            </w:pPr>
            <w:r w:rsidRPr="003A3601">
              <w:rPr>
                <w:rFonts w:ascii="Arial" w:eastAsia="Times New Roman" w:hAnsi="Arial" w:cs="Arial"/>
                <w:color w:val="FF0000"/>
                <w:kern w:val="0"/>
                <w:sz w:val="20"/>
                <w:szCs w:val="20"/>
                <w14:ligatures w14:val="none"/>
              </w:rPr>
              <w:t>VERTICAL ANALYSIS</w:t>
            </w:r>
          </w:p>
        </w:tc>
      </w:tr>
      <w:tr w:rsidR="00923F6C" w:rsidRPr="0004269F" w14:paraId="683C70C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B96CC6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Fiscal data as of Apr 30 2023</w:t>
            </w:r>
          </w:p>
        </w:tc>
        <w:tc>
          <w:tcPr>
            <w:tcW w:w="551" w:type="pct"/>
            <w:gridSpan w:val="2"/>
            <w:noWrap/>
            <w:hideMark/>
          </w:tcPr>
          <w:p w14:paraId="332BC55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04269F">
              <w:rPr>
                <w:rFonts w:ascii="Arial" w:eastAsia="Times New Roman" w:hAnsi="Arial" w:cs="Arial"/>
                <w:b/>
                <w:bCs/>
                <w:color w:val="000000"/>
                <w:kern w:val="0"/>
                <w:sz w:val="20"/>
                <w:szCs w:val="20"/>
                <w14:ligatures w14:val="none"/>
              </w:rPr>
              <w:t>2023(%)</w:t>
            </w:r>
          </w:p>
        </w:tc>
        <w:tc>
          <w:tcPr>
            <w:tcW w:w="553" w:type="pct"/>
            <w:gridSpan w:val="2"/>
            <w:noWrap/>
            <w:hideMark/>
          </w:tcPr>
          <w:p w14:paraId="313F3AA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04269F">
              <w:rPr>
                <w:rFonts w:ascii="Arial" w:eastAsia="Times New Roman" w:hAnsi="Arial" w:cs="Arial"/>
                <w:b/>
                <w:bCs/>
                <w:color w:val="000000"/>
                <w:kern w:val="0"/>
                <w:sz w:val="20"/>
                <w:szCs w:val="20"/>
                <w14:ligatures w14:val="none"/>
              </w:rPr>
              <w:t>2022 (%)</w:t>
            </w:r>
          </w:p>
        </w:tc>
        <w:tc>
          <w:tcPr>
            <w:tcW w:w="556" w:type="pct"/>
            <w:gridSpan w:val="2"/>
            <w:noWrap/>
            <w:hideMark/>
          </w:tcPr>
          <w:p w14:paraId="61B9150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04269F">
              <w:rPr>
                <w:rFonts w:ascii="Arial" w:eastAsia="Times New Roman" w:hAnsi="Arial" w:cs="Arial"/>
                <w:b/>
                <w:bCs/>
                <w:color w:val="000000"/>
                <w:kern w:val="0"/>
                <w:sz w:val="20"/>
                <w:szCs w:val="20"/>
                <w14:ligatures w14:val="none"/>
              </w:rPr>
              <w:t>2021 (%)</w:t>
            </w:r>
          </w:p>
        </w:tc>
        <w:tc>
          <w:tcPr>
            <w:tcW w:w="611" w:type="pct"/>
            <w:gridSpan w:val="2"/>
            <w:noWrap/>
            <w:hideMark/>
          </w:tcPr>
          <w:p w14:paraId="1468353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04269F">
              <w:rPr>
                <w:rFonts w:ascii="Arial" w:eastAsia="Times New Roman" w:hAnsi="Arial" w:cs="Arial"/>
                <w:b/>
                <w:bCs/>
                <w:color w:val="000000"/>
                <w:kern w:val="0"/>
                <w:sz w:val="20"/>
                <w:szCs w:val="20"/>
                <w14:ligatures w14:val="none"/>
              </w:rPr>
              <w:t>2020 (%)</w:t>
            </w:r>
          </w:p>
        </w:tc>
        <w:tc>
          <w:tcPr>
            <w:tcW w:w="543" w:type="pct"/>
            <w:noWrap/>
            <w:hideMark/>
          </w:tcPr>
          <w:p w14:paraId="7CCD3A2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04269F">
              <w:rPr>
                <w:rFonts w:ascii="Arial" w:eastAsia="Times New Roman" w:hAnsi="Arial" w:cs="Arial"/>
                <w:b/>
                <w:bCs/>
                <w:color w:val="000000"/>
                <w:kern w:val="0"/>
                <w:sz w:val="20"/>
                <w:szCs w:val="20"/>
                <w14:ligatures w14:val="none"/>
              </w:rPr>
              <w:t>2019(%)</w:t>
            </w:r>
          </w:p>
        </w:tc>
      </w:tr>
      <w:tr w:rsidR="00923F6C" w:rsidRPr="0004269F" w14:paraId="46A318B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71BEC21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ASSETS</w:t>
            </w:r>
          </w:p>
        </w:tc>
        <w:tc>
          <w:tcPr>
            <w:tcW w:w="551" w:type="pct"/>
            <w:gridSpan w:val="2"/>
            <w:noWrap/>
            <w:hideMark/>
          </w:tcPr>
          <w:p w14:paraId="3E285FE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2DF48E8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1A0C371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61AB5995"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05988140"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07F6946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79F8F61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Cash And Short-Term Investments</w:t>
            </w:r>
          </w:p>
        </w:tc>
        <w:tc>
          <w:tcPr>
            <w:tcW w:w="551" w:type="pct"/>
            <w:gridSpan w:val="2"/>
            <w:noWrap/>
            <w:hideMark/>
          </w:tcPr>
          <w:p w14:paraId="5F0655C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15.60%</w:t>
            </w:r>
          </w:p>
        </w:tc>
        <w:tc>
          <w:tcPr>
            <w:tcW w:w="553" w:type="pct"/>
            <w:gridSpan w:val="2"/>
            <w:noWrap/>
            <w:hideMark/>
          </w:tcPr>
          <w:p w14:paraId="1115A9C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14.10%</w:t>
            </w:r>
          </w:p>
        </w:tc>
        <w:tc>
          <w:tcPr>
            <w:tcW w:w="556" w:type="pct"/>
            <w:gridSpan w:val="2"/>
            <w:noWrap/>
            <w:hideMark/>
          </w:tcPr>
          <w:p w14:paraId="071E31A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25.72%</w:t>
            </w:r>
          </w:p>
        </w:tc>
        <w:tc>
          <w:tcPr>
            <w:tcW w:w="611" w:type="pct"/>
            <w:gridSpan w:val="2"/>
            <w:noWrap/>
            <w:hideMark/>
          </w:tcPr>
          <w:p w14:paraId="2C6278C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29.00%</w:t>
            </w:r>
          </w:p>
        </w:tc>
        <w:tc>
          <w:tcPr>
            <w:tcW w:w="543" w:type="pct"/>
            <w:noWrap/>
            <w:hideMark/>
          </w:tcPr>
          <w:p w14:paraId="58C13AB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25.82%</w:t>
            </w:r>
          </w:p>
        </w:tc>
      </w:tr>
      <w:tr w:rsidR="00923F6C" w:rsidRPr="0004269F" w14:paraId="6D6180C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19A86BB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Receivables, Net</w:t>
            </w:r>
          </w:p>
        </w:tc>
        <w:tc>
          <w:tcPr>
            <w:tcW w:w="551" w:type="pct"/>
            <w:gridSpan w:val="2"/>
            <w:noWrap/>
            <w:hideMark/>
          </w:tcPr>
          <w:p w14:paraId="6D3A2B9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1.02%</w:t>
            </w:r>
          </w:p>
        </w:tc>
        <w:tc>
          <w:tcPr>
            <w:tcW w:w="553" w:type="pct"/>
            <w:gridSpan w:val="2"/>
            <w:noWrap/>
            <w:hideMark/>
          </w:tcPr>
          <w:p w14:paraId="6BA647D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2.00%</w:t>
            </w:r>
          </w:p>
        </w:tc>
        <w:tc>
          <w:tcPr>
            <w:tcW w:w="556" w:type="pct"/>
            <w:gridSpan w:val="2"/>
            <w:noWrap/>
            <w:hideMark/>
          </w:tcPr>
          <w:p w14:paraId="651E1DB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1.37%</w:t>
            </w:r>
          </w:p>
        </w:tc>
        <w:tc>
          <w:tcPr>
            <w:tcW w:w="611" w:type="pct"/>
            <w:gridSpan w:val="2"/>
            <w:noWrap/>
            <w:hideMark/>
          </w:tcPr>
          <w:p w14:paraId="4F674BB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1.04%</w:t>
            </w:r>
          </w:p>
        </w:tc>
        <w:tc>
          <w:tcPr>
            <w:tcW w:w="543" w:type="pct"/>
            <w:noWrap/>
            <w:hideMark/>
          </w:tcPr>
          <w:p w14:paraId="48CFF7C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1.19%</w:t>
            </w:r>
          </w:p>
        </w:tc>
      </w:tr>
      <w:tr w:rsidR="00923F6C" w:rsidRPr="0004269F" w14:paraId="2BB224E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09568C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Inventory</w:t>
            </w:r>
          </w:p>
        </w:tc>
        <w:tc>
          <w:tcPr>
            <w:tcW w:w="551" w:type="pct"/>
            <w:gridSpan w:val="2"/>
            <w:noWrap/>
            <w:hideMark/>
          </w:tcPr>
          <w:p w14:paraId="0EE2172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77.29%</w:t>
            </w:r>
          </w:p>
        </w:tc>
        <w:tc>
          <w:tcPr>
            <w:tcW w:w="553" w:type="pct"/>
            <w:gridSpan w:val="2"/>
            <w:noWrap/>
            <w:hideMark/>
          </w:tcPr>
          <w:p w14:paraId="129FF49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77.93%</w:t>
            </w:r>
          </w:p>
        </w:tc>
        <w:tc>
          <w:tcPr>
            <w:tcW w:w="556" w:type="pct"/>
            <w:gridSpan w:val="2"/>
            <w:noWrap/>
            <w:hideMark/>
          </w:tcPr>
          <w:p w14:paraId="1D77E7A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65.80%</w:t>
            </w:r>
          </w:p>
        </w:tc>
        <w:tc>
          <w:tcPr>
            <w:tcW w:w="611" w:type="pct"/>
            <w:gridSpan w:val="2"/>
            <w:noWrap/>
            <w:hideMark/>
          </w:tcPr>
          <w:p w14:paraId="1BFEC97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62.91%</w:t>
            </w:r>
          </w:p>
        </w:tc>
        <w:tc>
          <w:tcPr>
            <w:tcW w:w="543" w:type="pct"/>
            <w:noWrap/>
            <w:hideMark/>
          </w:tcPr>
          <w:p w14:paraId="18846F6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63.08%</w:t>
            </w:r>
          </w:p>
        </w:tc>
      </w:tr>
      <w:tr w:rsidR="00923F6C" w:rsidRPr="0004269F" w14:paraId="2C44525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C3E4FAA"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Prepaid expenses</w:t>
            </w:r>
          </w:p>
        </w:tc>
        <w:tc>
          <w:tcPr>
            <w:tcW w:w="551" w:type="pct"/>
            <w:gridSpan w:val="2"/>
            <w:noWrap/>
            <w:hideMark/>
          </w:tcPr>
          <w:p w14:paraId="2D830AD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0.32%</w:t>
            </w:r>
          </w:p>
        </w:tc>
        <w:tc>
          <w:tcPr>
            <w:tcW w:w="553" w:type="pct"/>
            <w:gridSpan w:val="2"/>
            <w:noWrap/>
            <w:hideMark/>
          </w:tcPr>
          <w:p w14:paraId="1744C5E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0.27%</w:t>
            </w:r>
          </w:p>
        </w:tc>
        <w:tc>
          <w:tcPr>
            <w:tcW w:w="556" w:type="pct"/>
            <w:gridSpan w:val="2"/>
            <w:noWrap/>
            <w:hideMark/>
          </w:tcPr>
          <w:p w14:paraId="446843C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0.13%</w:t>
            </w:r>
          </w:p>
        </w:tc>
        <w:tc>
          <w:tcPr>
            <w:tcW w:w="611" w:type="pct"/>
            <w:gridSpan w:val="2"/>
            <w:noWrap/>
            <w:hideMark/>
          </w:tcPr>
          <w:p w14:paraId="6EFCC02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0.27%</w:t>
            </w:r>
          </w:p>
        </w:tc>
        <w:tc>
          <w:tcPr>
            <w:tcW w:w="543" w:type="pct"/>
            <w:noWrap/>
            <w:hideMark/>
          </w:tcPr>
          <w:p w14:paraId="716434A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0.18%</w:t>
            </w:r>
          </w:p>
        </w:tc>
      </w:tr>
      <w:tr w:rsidR="00923F6C" w:rsidRPr="0004269F" w14:paraId="68FE9B5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416C611"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current assets, total</w:t>
            </w:r>
          </w:p>
        </w:tc>
        <w:tc>
          <w:tcPr>
            <w:tcW w:w="551" w:type="pct"/>
            <w:gridSpan w:val="2"/>
            <w:noWrap/>
            <w:hideMark/>
          </w:tcPr>
          <w:p w14:paraId="08B94F7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4829970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7E933CA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718BE34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1E9C3088"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1B3176E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A9AFCF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current assets</w:t>
            </w:r>
          </w:p>
        </w:tc>
        <w:tc>
          <w:tcPr>
            <w:tcW w:w="551" w:type="pct"/>
            <w:gridSpan w:val="2"/>
            <w:noWrap/>
            <w:hideMark/>
          </w:tcPr>
          <w:p w14:paraId="76E7D38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94.24%</w:t>
            </w:r>
          </w:p>
        </w:tc>
        <w:tc>
          <w:tcPr>
            <w:tcW w:w="553" w:type="pct"/>
            <w:gridSpan w:val="2"/>
            <w:noWrap/>
            <w:hideMark/>
          </w:tcPr>
          <w:p w14:paraId="36AA60D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94.31%</w:t>
            </w:r>
          </w:p>
        </w:tc>
        <w:tc>
          <w:tcPr>
            <w:tcW w:w="556" w:type="pct"/>
            <w:gridSpan w:val="2"/>
            <w:noWrap/>
            <w:hideMark/>
          </w:tcPr>
          <w:p w14:paraId="41521BE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93.01%</w:t>
            </w:r>
          </w:p>
        </w:tc>
        <w:tc>
          <w:tcPr>
            <w:tcW w:w="611" w:type="pct"/>
            <w:gridSpan w:val="2"/>
            <w:noWrap/>
            <w:hideMark/>
          </w:tcPr>
          <w:p w14:paraId="06055A2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93.20%</w:t>
            </w:r>
          </w:p>
        </w:tc>
        <w:tc>
          <w:tcPr>
            <w:tcW w:w="543" w:type="pct"/>
            <w:noWrap/>
            <w:hideMark/>
          </w:tcPr>
          <w:p w14:paraId="1660D0A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90.28%</w:t>
            </w:r>
          </w:p>
        </w:tc>
      </w:tr>
      <w:tr w:rsidR="00923F6C" w:rsidRPr="0004269F" w14:paraId="55EDD06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3AA51E8"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Property, plant &amp; equipment, net</w:t>
            </w:r>
          </w:p>
        </w:tc>
        <w:tc>
          <w:tcPr>
            <w:tcW w:w="551" w:type="pct"/>
            <w:gridSpan w:val="2"/>
            <w:noWrap/>
            <w:hideMark/>
          </w:tcPr>
          <w:p w14:paraId="481505A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0.58%</w:t>
            </w:r>
          </w:p>
        </w:tc>
        <w:tc>
          <w:tcPr>
            <w:tcW w:w="553" w:type="pct"/>
            <w:gridSpan w:val="2"/>
            <w:noWrap/>
            <w:hideMark/>
          </w:tcPr>
          <w:p w14:paraId="69869F5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0.70%</w:t>
            </w:r>
          </w:p>
        </w:tc>
        <w:tc>
          <w:tcPr>
            <w:tcW w:w="556" w:type="pct"/>
            <w:gridSpan w:val="2"/>
            <w:noWrap/>
            <w:hideMark/>
          </w:tcPr>
          <w:p w14:paraId="6C9CF93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0.88%</w:t>
            </w:r>
          </w:p>
        </w:tc>
        <w:tc>
          <w:tcPr>
            <w:tcW w:w="611" w:type="pct"/>
            <w:gridSpan w:val="2"/>
            <w:noWrap/>
            <w:hideMark/>
          </w:tcPr>
          <w:p w14:paraId="5D10CC6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0.90%</w:t>
            </w:r>
          </w:p>
        </w:tc>
        <w:tc>
          <w:tcPr>
            <w:tcW w:w="543" w:type="pct"/>
            <w:noWrap/>
            <w:hideMark/>
          </w:tcPr>
          <w:p w14:paraId="687E722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0.87%</w:t>
            </w:r>
          </w:p>
        </w:tc>
      </w:tr>
      <w:tr w:rsidR="00923F6C" w:rsidRPr="0004269F" w14:paraId="5B54882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1F60ECE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Goodwill, net</w:t>
            </w:r>
          </w:p>
        </w:tc>
        <w:tc>
          <w:tcPr>
            <w:tcW w:w="551" w:type="pct"/>
            <w:gridSpan w:val="2"/>
            <w:noWrap/>
            <w:hideMark/>
          </w:tcPr>
          <w:p w14:paraId="646CA8C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0.25%</w:t>
            </w:r>
          </w:p>
        </w:tc>
        <w:tc>
          <w:tcPr>
            <w:tcW w:w="553" w:type="pct"/>
            <w:gridSpan w:val="2"/>
            <w:noWrap/>
            <w:hideMark/>
          </w:tcPr>
          <w:p w14:paraId="37933B0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0.26%</w:t>
            </w:r>
          </w:p>
        </w:tc>
        <w:tc>
          <w:tcPr>
            <w:tcW w:w="556" w:type="pct"/>
            <w:gridSpan w:val="2"/>
            <w:noWrap/>
            <w:hideMark/>
          </w:tcPr>
          <w:p w14:paraId="264D1F0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0.31%</w:t>
            </w:r>
          </w:p>
        </w:tc>
        <w:tc>
          <w:tcPr>
            <w:tcW w:w="611" w:type="pct"/>
            <w:gridSpan w:val="2"/>
            <w:noWrap/>
            <w:hideMark/>
          </w:tcPr>
          <w:p w14:paraId="77ABA64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0.30%</w:t>
            </w:r>
          </w:p>
        </w:tc>
        <w:tc>
          <w:tcPr>
            <w:tcW w:w="543" w:type="pct"/>
            <w:noWrap/>
            <w:hideMark/>
          </w:tcPr>
          <w:p w14:paraId="0F16089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0.34%</w:t>
            </w:r>
          </w:p>
        </w:tc>
      </w:tr>
      <w:tr w:rsidR="00923F6C" w:rsidRPr="0004269F" w14:paraId="57F4B14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4F857A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Intangibles, net</w:t>
            </w:r>
          </w:p>
        </w:tc>
        <w:tc>
          <w:tcPr>
            <w:tcW w:w="551" w:type="pct"/>
            <w:gridSpan w:val="2"/>
            <w:noWrap/>
            <w:hideMark/>
          </w:tcPr>
          <w:p w14:paraId="564845F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2DB0DE7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7553248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11ACB90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2A429902"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6D01C4D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142AD10"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Long term investments</w:t>
            </w:r>
          </w:p>
        </w:tc>
        <w:tc>
          <w:tcPr>
            <w:tcW w:w="551" w:type="pct"/>
            <w:gridSpan w:val="2"/>
            <w:noWrap/>
            <w:hideMark/>
          </w:tcPr>
          <w:p w14:paraId="55F633B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3.25%</w:t>
            </w:r>
          </w:p>
        </w:tc>
        <w:tc>
          <w:tcPr>
            <w:tcW w:w="553" w:type="pct"/>
            <w:gridSpan w:val="2"/>
            <w:noWrap/>
            <w:hideMark/>
          </w:tcPr>
          <w:p w14:paraId="612A41A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2.88%</w:t>
            </w:r>
          </w:p>
        </w:tc>
        <w:tc>
          <w:tcPr>
            <w:tcW w:w="556" w:type="pct"/>
            <w:gridSpan w:val="2"/>
            <w:noWrap/>
            <w:hideMark/>
          </w:tcPr>
          <w:p w14:paraId="2D25858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5.08%</w:t>
            </w:r>
          </w:p>
        </w:tc>
        <w:tc>
          <w:tcPr>
            <w:tcW w:w="611" w:type="pct"/>
            <w:gridSpan w:val="2"/>
            <w:noWrap/>
            <w:hideMark/>
          </w:tcPr>
          <w:p w14:paraId="1380481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4.64%</w:t>
            </w:r>
          </w:p>
        </w:tc>
        <w:tc>
          <w:tcPr>
            <w:tcW w:w="543" w:type="pct"/>
            <w:noWrap/>
            <w:hideMark/>
          </w:tcPr>
          <w:p w14:paraId="3B59543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7.59%</w:t>
            </w:r>
          </w:p>
        </w:tc>
      </w:tr>
      <w:tr w:rsidR="00923F6C" w:rsidRPr="0004269F" w14:paraId="643C9BF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77E9184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Note receivable - long term</w:t>
            </w:r>
          </w:p>
        </w:tc>
        <w:tc>
          <w:tcPr>
            <w:tcW w:w="551" w:type="pct"/>
            <w:gridSpan w:val="2"/>
            <w:noWrap/>
            <w:hideMark/>
          </w:tcPr>
          <w:p w14:paraId="4456957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48B1FA4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6EDB917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786979D8"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0174430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5936E61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437471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long-term assets</w:t>
            </w:r>
          </w:p>
        </w:tc>
        <w:tc>
          <w:tcPr>
            <w:tcW w:w="551" w:type="pct"/>
            <w:gridSpan w:val="2"/>
            <w:noWrap/>
            <w:hideMark/>
          </w:tcPr>
          <w:p w14:paraId="57AE264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4F002A9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546FD6A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618A83A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19EAA13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08E761DA"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A25BB8D"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assets</w:t>
            </w:r>
          </w:p>
        </w:tc>
        <w:tc>
          <w:tcPr>
            <w:tcW w:w="551" w:type="pct"/>
            <w:gridSpan w:val="2"/>
            <w:noWrap/>
            <w:hideMark/>
          </w:tcPr>
          <w:p w14:paraId="0498D6B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53" w:type="pct"/>
            <w:gridSpan w:val="2"/>
            <w:noWrap/>
            <w:hideMark/>
          </w:tcPr>
          <w:p w14:paraId="76729AD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56" w:type="pct"/>
            <w:gridSpan w:val="2"/>
            <w:noWrap/>
            <w:hideMark/>
          </w:tcPr>
          <w:p w14:paraId="25AB6BA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611" w:type="pct"/>
            <w:gridSpan w:val="2"/>
            <w:noWrap/>
            <w:hideMark/>
          </w:tcPr>
          <w:p w14:paraId="3C4D79A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43" w:type="pct"/>
            <w:noWrap/>
            <w:hideMark/>
          </w:tcPr>
          <w:p w14:paraId="0341A86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r>
      <w:tr w:rsidR="00923F6C" w:rsidRPr="0004269F" w14:paraId="546F02C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FA18C2A"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LIABILITIES</w:t>
            </w:r>
          </w:p>
        </w:tc>
        <w:tc>
          <w:tcPr>
            <w:tcW w:w="551" w:type="pct"/>
            <w:gridSpan w:val="2"/>
            <w:noWrap/>
            <w:hideMark/>
          </w:tcPr>
          <w:p w14:paraId="638AF8E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657C3FE0"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6AAB572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4A3A764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3FD7CA0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20F15E0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41CB678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Accounts payable</w:t>
            </w:r>
          </w:p>
        </w:tc>
        <w:tc>
          <w:tcPr>
            <w:tcW w:w="551" w:type="pct"/>
            <w:gridSpan w:val="2"/>
            <w:noWrap/>
            <w:hideMark/>
          </w:tcPr>
          <w:p w14:paraId="334EDBC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8.79%</w:t>
            </w:r>
          </w:p>
        </w:tc>
        <w:tc>
          <w:tcPr>
            <w:tcW w:w="553" w:type="pct"/>
            <w:gridSpan w:val="2"/>
            <w:noWrap/>
            <w:hideMark/>
          </w:tcPr>
          <w:p w14:paraId="7352ADF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9.65%</w:t>
            </w:r>
          </w:p>
        </w:tc>
        <w:tc>
          <w:tcPr>
            <w:tcW w:w="556" w:type="pct"/>
            <w:gridSpan w:val="2"/>
            <w:noWrap/>
            <w:hideMark/>
          </w:tcPr>
          <w:p w14:paraId="45E9F2C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9.17%</w:t>
            </w:r>
          </w:p>
        </w:tc>
        <w:tc>
          <w:tcPr>
            <w:tcW w:w="611" w:type="pct"/>
            <w:gridSpan w:val="2"/>
            <w:noWrap/>
            <w:hideMark/>
          </w:tcPr>
          <w:p w14:paraId="3B132F0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10.37%</w:t>
            </w:r>
          </w:p>
        </w:tc>
        <w:tc>
          <w:tcPr>
            <w:tcW w:w="543" w:type="pct"/>
            <w:noWrap/>
            <w:hideMark/>
          </w:tcPr>
          <w:p w14:paraId="6A0019F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12.58%</w:t>
            </w:r>
          </w:p>
        </w:tc>
      </w:tr>
      <w:tr w:rsidR="00923F6C" w:rsidRPr="0004269F" w14:paraId="77A42F0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6B0A341"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Accrued expenses</w:t>
            </w:r>
          </w:p>
        </w:tc>
        <w:tc>
          <w:tcPr>
            <w:tcW w:w="551" w:type="pct"/>
            <w:gridSpan w:val="2"/>
            <w:noWrap/>
            <w:hideMark/>
          </w:tcPr>
          <w:p w14:paraId="2173F2B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2.76%</w:t>
            </w:r>
          </w:p>
        </w:tc>
        <w:tc>
          <w:tcPr>
            <w:tcW w:w="553" w:type="pct"/>
            <w:gridSpan w:val="2"/>
            <w:noWrap/>
            <w:hideMark/>
          </w:tcPr>
          <w:p w14:paraId="78334B3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2.88%</w:t>
            </w:r>
          </w:p>
        </w:tc>
        <w:tc>
          <w:tcPr>
            <w:tcW w:w="556" w:type="pct"/>
            <w:gridSpan w:val="2"/>
            <w:noWrap/>
            <w:hideMark/>
          </w:tcPr>
          <w:p w14:paraId="62D97D0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5.67%</w:t>
            </w:r>
          </w:p>
        </w:tc>
        <w:tc>
          <w:tcPr>
            <w:tcW w:w="611" w:type="pct"/>
            <w:gridSpan w:val="2"/>
            <w:noWrap/>
            <w:hideMark/>
          </w:tcPr>
          <w:p w14:paraId="4C9E861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5.29%</w:t>
            </w:r>
          </w:p>
        </w:tc>
        <w:tc>
          <w:tcPr>
            <w:tcW w:w="543" w:type="pct"/>
            <w:noWrap/>
            <w:hideMark/>
          </w:tcPr>
          <w:p w14:paraId="788A95D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5.02%</w:t>
            </w:r>
          </w:p>
        </w:tc>
      </w:tr>
      <w:tr w:rsidR="00923F6C" w:rsidRPr="0004269F" w14:paraId="6624350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70AC0C9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Notes payable/short-term debt</w:t>
            </w:r>
          </w:p>
        </w:tc>
        <w:tc>
          <w:tcPr>
            <w:tcW w:w="551" w:type="pct"/>
            <w:gridSpan w:val="2"/>
            <w:noWrap/>
            <w:hideMark/>
          </w:tcPr>
          <w:p w14:paraId="136C8F0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553" w:type="pct"/>
            <w:gridSpan w:val="2"/>
            <w:noWrap/>
            <w:hideMark/>
          </w:tcPr>
          <w:p w14:paraId="46B77E4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556" w:type="pct"/>
            <w:gridSpan w:val="2"/>
            <w:noWrap/>
            <w:hideMark/>
          </w:tcPr>
          <w:p w14:paraId="0873F38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611" w:type="pct"/>
            <w:gridSpan w:val="2"/>
            <w:noWrap/>
            <w:hideMark/>
          </w:tcPr>
          <w:p w14:paraId="635299C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543" w:type="pct"/>
            <w:noWrap/>
            <w:hideMark/>
          </w:tcPr>
          <w:p w14:paraId="72E213F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r>
      <w:tr w:rsidR="00923F6C" w:rsidRPr="0004269F" w14:paraId="705FE2D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16125E9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Current portion long-term debt/capital leases</w:t>
            </w:r>
          </w:p>
        </w:tc>
        <w:tc>
          <w:tcPr>
            <w:tcW w:w="551" w:type="pct"/>
            <w:gridSpan w:val="2"/>
            <w:noWrap/>
            <w:hideMark/>
          </w:tcPr>
          <w:p w14:paraId="59C306D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0.03%</w:t>
            </w:r>
          </w:p>
        </w:tc>
        <w:tc>
          <w:tcPr>
            <w:tcW w:w="553" w:type="pct"/>
            <w:gridSpan w:val="2"/>
            <w:noWrap/>
            <w:hideMark/>
          </w:tcPr>
          <w:p w14:paraId="29EB47D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0.03%</w:t>
            </w:r>
          </w:p>
        </w:tc>
        <w:tc>
          <w:tcPr>
            <w:tcW w:w="556" w:type="pct"/>
            <w:gridSpan w:val="2"/>
            <w:noWrap/>
            <w:hideMark/>
          </w:tcPr>
          <w:p w14:paraId="422FF11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0.03%</w:t>
            </w:r>
          </w:p>
        </w:tc>
        <w:tc>
          <w:tcPr>
            <w:tcW w:w="611" w:type="pct"/>
            <w:gridSpan w:val="2"/>
            <w:noWrap/>
            <w:hideMark/>
          </w:tcPr>
          <w:p w14:paraId="44413EC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3.56%</w:t>
            </w:r>
          </w:p>
        </w:tc>
        <w:tc>
          <w:tcPr>
            <w:tcW w:w="543" w:type="pct"/>
            <w:noWrap/>
            <w:hideMark/>
          </w:tcPr>
          <w:p w14:paraId="1612F57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r>
      <w:tr w:rsidR="00923F6C" w:rsidRPr="0004269F" w14:paraId="4482310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98F5C88"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current liabilities, total</w:t>
            </w:r>
          </w:p>
        </w:tc>
        <w:tc>
          <w:tcPr>
            <w:tcW w:w="551" w:type="pct"/>
            <w:gridSpan w:val="2"/>
            <w:noWrap/>
            <w:hideMark/>
          </w:tcPr>
          <w:p w14:paraId="7BDD86D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15.92%</w:t>
            </w:r>
          </w:p>
        </w:tc>
        <w:tc>
          <w:tcPr>
            <w:tcW w:w="553" w:type="pct"/>
            <w:gridSpan w:val="2"/>
            <w:noWrap/>
            <w:hideMark/>
          </w:tcPr>
          <w:p w14:paraId="7C8C256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17.33%</w:t>
            </w:r>
          </w:p>
        </w:tc>
        <w:tc>
          <w:tcPr>
            <w:tcW w:w="556" w:type="pct"/>
            <w:gridSpan w:val="2"/>
            <w:noWrap/>
            <w:hideMark/>
          </w:tcPr>
          <w:p w14:paraId="2784AFB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15.42%</w:t>
            </w:r>
          </w:p>
        </w:tc>
        <w:tc>
          <w:tcPr>
            <w:tcW w:w="611" w:type="pct"/>
            <w:gridSpan w:val="2"/>
            <w:noWrap/>
            <w:hideMark/>
          </w:tcPr>
          <w:p w14:paraId="2856200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14.83%</w:t>
            </w:r>
          </w:p>
        </w:tc>
        <w:tc>
          <w:tcPr>
            <w:tcW w:w="543" w:type="pct"/>
            <w:noWrap/>
            <w:hideMark/>
          </w:tcPr>
          <w:p w14:paraId="0B18766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14.30%</w:t>
            </w:r>
          </w:p>
        </w:tc>
      </w:tr>
      <w:tr w:rsidR="00923F6C" w:rsidRPr="0004269F" w14:paraId="299A228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1A0499D"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current liabilities</w:t>
            </w:r>
          </w:p>
        </w:tc>
        <w:tc>
          <w:tcPr>
            <w:tcW w:w="551" w:type="pct"/>
            <w:gridSpan w:val="2"/>
            <w:noWrap/>
            <w:hideMark/>
          </w:tcPr>
          <w:p w14:paraId="0D34E4F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27.49%</w:t>
            </w:r>
          </w:p>
        </w:tc>
        <w:tc>
          <w:tcPr>
            <w:tcW w:w="553" w:type="pct"/>
            <w:gridSpan w:val="2"/>
            <w:noWrap/>
            <w:hideMark/>
          </w:tcPr>
          <w:p w14:paraId="4141159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29.90%</w:t>
            </w:r>
          </w:p>
        </w:tc>
        <w:tc>
          <w:tcPr>
            <w:tcW w:w="556" w:type="pct"/>
            <w:gridSpan w:val="2"/>
            <w:noWrap/>
            <w:hideMark/>
          </w:tcPr>
          <w:p w14:paraId="78E6730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30.30%</w:t>
            </w:r>
          </w:p>
        </w:tc>
        <w:tc>
          <w:tcPr>
            <w:tcW w:w="611" w:type="pct"/>
            <w:gridSpan w:val="2"/>
            <w:noWrap/>
            <w:hideMark/>
          </w:tcPr>
          <w:p w14:paraId="3BD8F68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34.05%</w:t>
            </w:r>
          </w:p>
        </w:tc>
        <w:tc>
          <w:tcPr>
            <w:tcW w:w="543" w:type="pct"/>
            <w:noWrap/>
            <w:hideMark/>
          </w:tcPr>
          <w:p w14:paraId="0D77022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31.90%</w:t>
            </w:r>
          </w:p>
        </w:tc>
      </w:tr>
      <w:tr w:rsidR="00923F6C" w:rsidRPr="0004269F" w14:paraId="1ADE020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192A7945"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long-term debt</w:t>
            </w:r>
          </w:p>
        </w:tc>
        <w:tc>
          <w:tcPr>
            <w:tcW w:w="551" w:type="pct"/>
            <w:gridSpan w:val="2"/>
            <w:noWrap/>
            <w:hideMark/>
          </w:tcPr>
          <w:p w14:paraId="0D7B0DB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9.66%</w:t>
            </w:r>
          </w:p>
        </w:tc>
        <w:tc>
          <w:tcPr>
            <w:tcW w:w="553" w:type="pct"/>
            <w:gridSpan w:val="2"/>
            <w:noWrap/>
            <w:hideMark/>
          </w:tcPr>
          <w:p w14:paraId="44C990B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10.08%</w:t>
            </w:r>
          </w:p>
        </w:tc>
        <w:tc>
          <w:tcPr>
            <w:tcW w:w="556" w:type="pct"/>
            <w:gridSpan w:val="2"/>
            <w:noWrap/>
            <w:hideMark/>
          </w:tcPr>
          <w:p w14:paraId="03C1FD5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5.44%</w:t>
            </w:r>
          </w:p>
        </w:tc>
        <w:tc>
          <w:tcPr>
            <w:tcW w:w="611" w:type="pct"/>
            <w:gridSpan w:val="2"/>
            <w:noWrap/>
            <w:hideMark/>
          </w:tcPr>
          <w:p w14:paraId="442107A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5.33%</w:t>
            </w:r>
          </w:p>
        </w:tc>
        <w:tc>
          <w:tcPr>
            <w:tcW w:w="543" w:type="pct"/>
            <w:noWrap/>
            <w:hideMark/>
          </w:tcPr>
          <w:p w14:paraId="422EDCE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6.08%</w:t>
            </w:r>
          </w:p>
        </w:tc>
      </w:tr>
      <w:tr w:rsidR="00923F6C" w:rsidRPr="0004269F" w14:paraId="1434D7E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1FFCA0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debt</w:t>
            </w:r>
          </w:p>
        </w:tc>
        <w:tc>
          <w:tcPr>
            <w:tcW w:w="551" w:type="pct"/>
            <w:gridSpan w:val="2"/>
            <w:noWrap/>
            <w:hideMark/>
          </w:tcPr>
          <w:p w14:paraId="5CF5B34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9.69%</w:t>
            </w:r>
          </w:p>
        </w:tc>
        <w:tc>
          <w:tcPr>
            <w:tcW w:w="553" w:type="pct"/>
            <w:gridSpan w:val="2"/>
            <w:noWrap/>
            <w:hideMark/>
          </w:tcPr>
          <w:p w14:paraId="58EB6AA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10.11%</w:t>
            </w:r>
          </w:p>
        </w:tc>
        <w:tc>
          <w:tcPr>
            <w:tcW w:w="556" w:type="pct"/>
            <w:gridSpan w:val="2"/>
            <w:noWrap/>
            <w:hideMark/>
          </w:tcPr>
          <w:p w14:paraId="5A66996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5.46%</w:t>
            </w:r>
          </w:p>
        </w:tc>
        <w:tc>
          <w:tcPr>
            <w:tcW w:w="611" w:type="pct"/>
            <w:gridSpan w:val="2"/>
            <w:noWrap/>
            <w:hideMark/>
          </w:tcPr>
          <w:p w14:paraId="2D17C20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8.90%</w:t>
            </w:r>
          </w:p>
        </w:tc>
        <w:tc>
          <w:tcPr>
            <w:tcW w:w="543" w:type="pct"/>
            <w:noWrap/>
            <w:hideMark/>
          </w:tcPr>
          <w:p w14:paraId="037AAC6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6.08%</w:t>
            </w:r>
          </w:p>
        </w:tc>
      </w:tr>
      <w:tr w:rsidR="00923F6C" w:rsidRPr="0004269F" w14:paraId="0062EBA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4A4C067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Deferred income tax</w:t>
            </w:r>
          </w:p>
        </w:tc>
        <w:tc>
          <w:tcPr>
            <w:tcW w:w="551" w:type="pct"/>
            <w:gridSpan w:val="2"/>
            <w:noWrap/>
            <w:hideMark/>
          </w:tcPr>
          <w:p w14:paraId="61A02678"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57F0A860"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4678627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13661ED0"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4FB8D22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54BC948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DF80697"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Minority interest</w:t>
            </w:r>
          </w:p>
        </w:tc>
        <w:tc>
          <w:tcPr>
            <w:tcW w:w="551" w:type="pct"/>
            <w:gridSpan w:val="2"/>
            <w:noWrap/>
            <w:hideMark/>
          </w:tcPr>
          <w:p w14:paraId="5F21B848"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2BA779E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52FC3AE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316D962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542619E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6E35D75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19BB2B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liabilities, total</w:t>
            </w:r>
          </w:p>
        </w:tc>
        <w:tc>
          <w:tcPr>
            <w:tcW w:w="551" w:type="pct"/>
            <w:gridSpan w:val="2"/>
            <w:noWrap/>
            <w:hideMark/>
          </w:tcPr>
          <w:p w14:paraId="2D234FD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14.27%</w:t>
            </w:r>
          </w:p>
        </w:tc>
        <w:tc>
          <w:tcPr>
            <w:tcW w:w="553" w:type="pct"/>
            <w:gridSpan w:val="2"/>
            <w:noWrap/>
            <w:hideMark/>
          </w:tcPr>
          <w:p w14:paraId="3EBA207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12.42%</w:t>
            </w:r>
          </w:p>
        </w:tc>
        <w:tc>
          <w:tcPr>
            <w:tcW w:w="556" w:type="pct"/>
            <w:gridSpan w:val="2"/>
            <w:noWrap/>
            <w:hideMark/>
          </w:tcPr>
          <w:p w14:paraId="057CC57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7.08%</w:t>
            </w:r>
          </w:p>
        </w:tc>
        <w:tc>
          <w:tcPr>
            <w:tcW w:w="611" w:type="pct"/>
            <w:gridSpan w:val="2"/>
            <w:noWrap/>
            <w:hideMark/>
          </w:tcPr>
          <w:p w14:paraId="1EAFEAE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5.73%</w:t>
            </w:r>
          </w:p>
        </w:tc>
        <w:tc>
          <w:tcPr>
            <w:tcW w:w="543" w:type="pct"/>
            <w:noWrap/>
            <w:hideMark/>
          </w:tcPr>
          <w:p w14:paraId="5DD2774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2.03%</w:t>
            </w:r>
          </w:p>
        </w:tc>
      </w:tr>
      <w:tr w:rsidR="00923F6C" w:rsidRPr="0004269F" w14:paraId="25AD67D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292556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liabilities</w:t>
            </w:r>
          </w:p>
        </w:tc>
        <w:tc>
          <w:tcPr>
            <w:tcW w:w="551" w:type="pct"/>
            <w:gridSpan w:val="2"/>
            <w:noWrap/>
            <w:hideMark/>
          </w:tcPr>
          <w:p w14:paraId="62E350E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51.41%</w:t>
            </w:r>
          </w:p>
        </w:tc>
        <w:tc>
          <w:tcPr>
            <w:tcW w:w="553" w:type="pct"/>
            <w:gridSpan w:val="2"/>
            <w:noWrap/>
            <w:hideMark/>
          </w:tcPr>
          <w:p w14:paraId="45A434E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52.40%</w:t>
            </w:r>
          </w:p>
        </w:tc>
        <w:tc>
          <w:tcPr>
            <w:tcW w:w="556" w:type="pct"/>
            <w:gridSpan w:val="2"/>
            <w:noWrap/>
            <w:hideMark/>
          </w:tcPr>
          <w:p w14:paraId="478EE44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42.81%</w:t>
            </w:r>
          </w:p>
        </w:tc>
        <w:tc>
          <w:tcPr>
            <w:tcW w:w="611" w:type="pct"/>
            <w:gridSpan w:val="2"/>
            <w:noWrap/>
            <w:hideMark/>
          </w:tcPr>
          <w:p w14:paraId="4FD8478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45.11%</w:t>
            </w:r>
          </w:p>
        </w:tc>
        <w:tc>
          <w:tcPr>
            <w:tcW w:w="543" w:type="pct"/>
            <w:noWrap/>
            <w:hideMark/>
          </w:tcPr>
          <w:p w14:paraId="373C76F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40.00%</w:t>
            </w:r>
          </w:p>
        </w:tc>
      </w:tr>
      <w:tr w:rsidR="00923F6C" w:rsidRPr="0004269F" w14:paraId="7FC38C9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8751865"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SHAREHOLDERS EQUITY</w:t>
            </w:r>
          </w:p>
        </w:tc>
        <w:tc>
          <w:tcPr>
            <w:tcW w:w="551" w:type="pct"/>
            <w:gridSpan w:val="2"/>
            <w:noWrap/>
            <w:hideMark/>
          </w:tcPr>
          <w:p w14:paraId="0F358F25"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14C1379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556" w:type="pct"/>
            <w:gridSpan w:val="2"/>
            <w:noWrap/>
            <w:hideMark/>
          </w:tcPr>
          <w:p w14:paraId="537F4C3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611" w:type="pct"/>
            <w:gridSpan w:val="2"/>
            <w:noWrap/>
            <w:hideMark/>
          </w:tcPr>
          <w:p w14:paraId="559BAD1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c>
          <w:tcPr>
            <w:tcW w:w="543" w:type="pct"/>
            <w:noWrap/>
            <w:hideMark/>
          </w:tcPr>
          <w:p w14:paraId="504B9C9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0.00%</w:t>
            </w:r>
          </w:p>
        </w:tc>
      </w:tr>
      <w:tr w:rsidR="00923F6C" w:rsidRPr="0004269F" w14:paraId="3CF6753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BF59C75"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Common stock</w:t>
            </w:r>
          </w:p>
        </w:tc>
        <w:tc>
          <w:tcPr>
            <w:tcW w:w="551" w:type="pct"/>
            <w:gridSpan w:val="2"/>
            <w:noWrap/>
            <w:hideMark/>
          </w:tcPr>
          <w:p w14:paraId="687FE41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0.09%</w:t>
            </w:r>
          </w:p>
        </w:tc>
        <w:tc>
          <w:tcPr>
            <w:tcW w:w="553" w:type="pct"/>
            <w:gridSpan w:val="2"/>
            <w:noWrap/>
            <w:hideMark/>
          </w:tcPr>
          <w:p w14:paraId="0D5DE09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0.10%</w:t>
            </w:r>
          </w:p>
        </w:tc>
        <w:tc>
          <w:tcPr>
            <w:tcW w:w="556" w:type="pct"/>
            <w:gridSpan w:val="2"/>
            <w:noWrap/>
            <w:hideMark/>
          </w:tcPr>
          <w:p w14:paraId="657D7DA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0.12%</w:t>
            </w:r>
          </w:p>
        </w:tc>
        <w:tc>
          <w:tcPr>
            <w:tcW w:w="611" w:type="pct"/>
            <w:gridSpan w:val="2"/>
            <w:noWrap/>
            <w:hideMark/>
          </w:tcPr>
          <w:p w14:paraId="1A4990F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0.12%</w:t>
            </w:r>
          </w:p>
        </w:tc>
        <w:tc>
          <w:tcPr>
            <w:tcW w:w="543" w:type="pct"/>
            <w:noWrap/>
            <w:hideMark/>
          </w:tcPr>
          <w:p w14:paraId="134AF06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0.14%</w:t>
            </w:r>
          </w:p>
        </w:tc>
      </w:tr>
      <w:tr w:rsidR="00923F6C" w:rsidRPr="0004269F" w14:paraId="5C6B223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55FC97B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Additional paid-in capital</w:t>
            </w:r>
          </w:p>
        </w:tc>
        <w:tc>
          <w:tcPr>
            <w:tcW w:w="551" w:type="pct"/>
            <w:gridSpan w:val="2"/>
            <w:noWrap/>
            <w:hideMark/>
          </w:tcPr>
          <w:p w14:paraId="565589F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0.73%</w:t>
            </w:r>
          </w:p>
        </w:tc>
        <w:tc>
          <w:tcPr>
            <w:tcW w:w="553" w:type="pct"/>
            <w:gridSpan w:val="2"/>
            <w:noWrap/>
            <w:hideMark/>
          </w:tcPr>
          <w:p w14:paraId="2A9BC3C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0.76%</w:t>
            </w:r>
          </w:p>
        </w:tc>
        <w:tc>
          <w:tcPr>
            <w:tcW w:w="556" w:type="pct"/>
            <w:gridSpan w:val="2"/>
            <w:noWrap/>
            <w:hideMark/>
          </w:tcPr>
          <w:p w14:paraId="34B3198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0.90%</w:t>
            </w:r>
          </w:p>
        </w:tc>
        <w:tc>
          <w:tcPr>
            <w:tcW w:w="611" w:type="pct"/>
            <w:gridSpan w:val="2"/>
            <w:noWrap/>
            <w:hideMark/>
          </w:tcPr>
          <w:p w14:paraId="55E69D7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0.88%</w:t>
            </w:r>
          </w:p>
        </w:tc>
        <w:tc>
          <w:tcPr>
            <w:tcW w:w="543" w:type="pct"/>
            <w:noWrap/>
            <w:hideMark/>
          </w:tcPr>
          <w:p w14:paraId="0B33C72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1.01%</w:t>
            </w:r>
          </w:p>
        </w:tc>
      </w:tr>
      <w:tr w:rsidR="00923F6C" w:rsidRPr="0004269F" w14:paraId="6A13251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150C8108"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Retained earnings (accumulated deficit)</w:t>
            </w:r>
          </w:p>
        </w:tc>
        <w:tc>
          <w:tcPr>
            <w:tcW w:w="551" w:type="pct"/>
            <w:gridSpan w:val="2"/>
            <w:noWrap/>
            <w:hideMark/>
          </w:tcPr>
          <w:p w14:paraId="1BBEDCB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47.76%</w:t>
            </w:r>
          </w:p>
        </w:tc>
        <w:tc>
          <w:tcPr>
            <w:tcW w:w="553" w:type="pct"/>
            <w:gridSpan w:val="2"/>
            <w:noWrap/>
            <w:hideMark/>
          </w:tcPr>
          <w:p w14:paraId="0425EC9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46.75%</w:t>
            </w:r>
          </w:p>
        </w:tc>
        <w:tc>
          <w:tcPr>
            <w:tcW w:w="556" w:type="pct"/>
            <w:gridSpan w:val="2"/>
            <w:noWrap/>
            <w:hideMark/>
          </w:tcPr>
          <w:p w14:paraId="3DF11DD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56.18%</w:t>
            </w:r>
          </w:p>
        </w:tc>
        <w:tc>
          <w:tcPr>
            <w:tcW w:w="611" w:type="pct"/>
            <w:gridSpan w:val="2"/>
            <w:noWrap/>
            <w:hideMark/>
          </w:tcPr>
          <w:p w14:paraId="6613810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53.88%</w:t>
            </w:r>
          </w:p>
        </w:tc>
        <w:tc>
          <w:tcPr>
            <w:tcW w:w="543" w:type="pct"/>
            <w:noWrap/>
            <w:hideMark/>
          </w:tcPr>
          <w:p w14:paraId="154A9A6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58.87%</w:t>
            </w:r>
          </w:p>
        </w:tc>
      </w:tr>
      <w:tr w:rsidR="00923F6C" w:rsidRPr="0004269F" w14:paraId="0B6193D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7B837105"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Treasury stock - common</w:t>
            </w:r>
          </w:p>
        </w:tc>
        <w:tc>
          <w:tcPr>
            <w:tcW w:w="551" w:type="pct"/>
            <w:gridSpan w:val="2"/>
            <w:noWrap/>
            <w:hideMark/>
          </w:tcPr>
          <w:p w14:paraId="7C93C27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4B97BCD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1735A40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7FE2ABC2"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35E41E0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0FF350C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3971850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Unrealized gain (loss)</w:t>
            </w:r>
          </w:p>
        </w:tc>
        <w:tc>
          <w:tcPr>
            <w:tcW w:w="551" w:type="pct"/>
            <w:gridSpan w:val="2"/>
            <w:noWrap/>
            <w:hideMark/>
          </w:tcPr>
          <w:p w14:paraId="530878C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070DC548"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365618F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2008DCA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0F06B8F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6743C63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46D87E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equity, total</w:t>
            </w:r>
          </w:p>
        </w:tc>
        <w:tc>
          <w:tcPr>
            <w:tcW w:w="551" w:type="pct"/>
            <w:gridSpan w:val="2"/>
            <w:noWrap/>
            <w:hideMark/>
          </w:tcPr>
          <w:p w14:paraId="79028A1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3" w:type="pct"/>
            <w:gridSpan w:val="2"/>
            <w:noWrap/>
            <w:hideMark/>
          </w:tcPr>
          <w:p w14:paraId="7177AB6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56" w:type="pct"/>
            <w:gridSpan w:val="2"/>
            <w:noWrap/>
            <w:hideMark/>
          </w:tcPr>
          <w:p w14:paraId="16F6962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611" w:type="pct"/>
            <w:gridSpan w:val="2"/>
            <w:noWrap/>
            <w:hideMark/>
          </w:tcPr>
          <w:p w14:paraId="0CEB685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43" w:type="pct"/>
            <w:noWrap/>
            <w:hideMark/>
          </w:tcPr>
          <w:p w14:paraId="3E0F2D25"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014D3B9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E18541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equity</w:t>
            </w:r>
          </w:p>
        </w:tc>
        <w:tc>
          <w:tcPr>
            <w:tcW w:w="551" w:type="pct"/>
            <w:gridSpan w:val="2"/>
            <w:noWrap/>
            <w:hideMark/>
          </w:tcPr>
          <w:p w14:paraId="765FF3D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48.57%</w:t>
            </w:r>
          </w:p>
        </w:tc>
        <w:tc>
          <w:tcPr>
            <w:tcW w:w="553" w:type="pct"/>
            <w:gridSpan w:val="2"/>
            <w:noWrap/>
            <w:hideMark/>
          </w:tcPr>
          <w:p w14:paraId="5A19688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47.60%</w:t>
            </w:r>
          </w:p>
        </w:tc>
        <w:tc>
          <w:tcPr>
            <w:tcW w:w="556" w:type="pct"/>
            <w:gridSpan w:val="2"/>
            <w:noWrap/>
            <w:hideMark/>
          </w:tcPr>
          <w:p w14:paraId="1BCACCB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57.19%</w:t>
            </w:r>
          </w:p>
        </w:tc>
        <w:tc>
          <w:tcPr>
            <w:tcW w:w="611" w:type="pct"/>
            <w:gridSpan w:val="2"/>
            <w:noWrap/>
            <w:hideMark/>
          </w:tcPr>
          <w:p w14:paraId="4E1D717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54.89%</w:t>
            </w:r>
          </w:p>
        </w:tc>
        <w:tc>
          <w:tcPr>
            <w:tcW w:w="543" w:type="pct"/>
            <w:noWrap/>
            <w:hideMark/>
          </w:tcPr>
          <w:p w14:paraId="5A97816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60.00%</w:t>
            </w:r>
          </w:p>
        </w:tc>
      </w:tr>
      <w:tr w:rsidR="00923F6C" w:rsidRPr="0004269F" w14:paraId="4B0F364D"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0AF3050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liabilities &amp; shareholders' equity</w:t>
            </w:r>
          </w:p>
        </w:tc>
        <w:tc>
          <w:tcPr>
            <w:tcW w:w="551" w:type="pct"/>
            <w:gridSpan w:val="2"/>
            <w:noWrap/>
            <w:hideMark/>
          </w:tcPr>
          <w:p w14:paraId="28142E0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53" w:type="pct"/>
            <w:gridSpan w:val="2"/>
            <w:noWrap/>
            <w:hideMark/>
          </w:tcPr>
          <w:p w14:paraId="293714D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56" w:type="pct"/>
            <w:gridSpan w:val="2"/>
            <w:noWrap/>
            <w:hideMark/>
          </w:tcPr>
          <w:p w14:paraId="4126ED6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611" w:type="pct"/>
            <w:gridSpan w:val="2"/>
            <w:noWrap/>
            <w:hideMark/>
          </w:tcPr>
          <w:p w14:paraId="0D6D9B1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c>
          <w:tcPr>
            <w:tcW w:w="543" w:type="pct"/>
            <w:noWrap/>
            <w:hideMark/>
          </w:tcPr>
          <w:p w14:paraId="40E2778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100.00%</w:t>
            </w:r>
          </w:p>
        </w:tc>
      </w:tr>
      <w:tr w:rsidR="00923F6C" w:rsidRPr="0004269F" w14:paraId="4DD103E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21A308C8"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common shares outstanding</w:t>
            </w:r>
          </w:p>
        </w:tc>
        <w:tc>
          <w:tcPr>
            <w:tcW w:w="551" w:type="pct"/>
            <w:gridSpan w:val="2"/>
            <w:noWrap/>
            <w:hideMark/>
          </w:tcPr>
          <w:p w14:paraId="0694AE3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1.57%</w:t>
            </w:r>
          </w:p>
        </w:tc>
        <w:tc>
          <w:tcPr>
            <w:tcW w:w="553" w:type="pct"/>
            <w:gridSpan w:val="2"/>
            <w:noWrap/>
            <w:hideMark/>
          </w:tcPr>
          <w:p w14:paraId="10EC010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1.68%</w:t>
            </w:r>
          </w:p>
        </w:tc>
        <w:tc>
          <w:tcPr>
            <w:tcW w:w="556" w:type="pct"/>
            <w:gridSpan w:val="2"/>
            <w:noWrap/>
            <w:hideMark/>
          </w:tcPr>
          <w:p w14:paraId="48EFE78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2.02%</w:t>
            </w:r>
          </w:p>
        </w:tc>
        <w:tc>
          <w:tcPr>
            <w:tcW w:w="611" w:type="pct"/>
            <w:gridSpan w:val="2"/>
            <w:noWrap/>
            <w:hideMark/>
          </w:tcPr>
          <w:p w14:paraId="3691B6D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2.05%</w:t>
            </w:r>
          </w:p>
        </w:tc>
        <w:tc>
          <w:tcPr>
            <w:tcW w:w="543" w:type="pct"/>
            <w:noWrap/>
            <w:hideMark/>
          </w:tcPr>
          <w:p w14:paraId="0F1FB0D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2.23%</w:t>
            </w:r>
          </w:p>
        </w:tc>
      </w:tr>
      <w:tr w:rsidR="00923F6C" w:rsidRPr="0004269F" w14:paraId="2B6CB28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185" w:type="pct"/>
            <w:noWrap/>
            <w:hideMark/>
          </w:tcPr>
          <w:p w14:paraId="66905551"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Treasury shares - common primary issue</w:t>
            </w:r>
          </w:p>
        </w:tc>
        <w:tc>
          <w:tcPr>
            <w:tcW w:w="551" w:type="pct"/>
            <w:gridSpan w:val="2"/>
            <w:noWrap/>
            <w:hideMark/>
          </w:tcPr>
          <w:p w14:paraId="4A25E36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0.13%</w:t>
            </w:r>
          </w:p>
        </w:tc>
        <w:tc>
          <w:tcPr>
            <w:tcW w:w="553" w:type="pct"/>
            <w:gridSpan w:val="2"/>
            <w:noWrap/>
            <w:hideMark/>
          </w:tcPr>
          <w:p w14:paraId="2A92FF7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0.14%</w:t>
            </w:r>
          </w:p>
        </w:tc>
        <w:tc>
          <w:tcPr>
            <w:tcW w:w="556" w:type="pct"/>
            <w:gridSpan w:val="2"/>
            <w:noWrap/>
            <w:hideMark/>
          </w:tcPr>
          <w:p w14:paraId="645ECEB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0.18%</w:t>
            </w:r>
          </w:p>
        </w:tc>
        <w:tc>
          <w:tcPr>
            <w:tcW w:w="611" w:type="pct"/>
            <w:gridSpan w:val="2"/>
            <w:noWrap/>
            <w:hideMark/>
          </w:tcPr>
          <w:p w14:paraId="242D50E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0.18%</w:t>
            </w:r>
          </w:p>
        </w:tc>
        <w:tc>
          <w:tcPr>
            <w:tcW w:w="543" w:type="pct"/>
            <w:noWrap/>
            <w:hideMark/>
          </w:tcPr>
          <w:p w14:paraId="79862CA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0.19%</w:t>
            </w:r>
          </w:p>
        </w:tc>
      </w:tr>
    </w:tbl>
    <w:p w14:paraId="0408C79F" w14:textId="77777777" w:rsidR="00923F6C" w:rsidRDefault="00923F6C" w:rsidP="00923F6C">
      <w:pPr>
        <w:spacing w:line="360" w:lineRule="auto"/>
        <w:jc w:val="both"/>
      </w:pPr>
    </w:p>
    <w:p w14:paraId="5FDEE08C" w14:textId="77777777" w:rsidR="00923F6C" w:rsidRDefault="00923F6C" w:rsidP="00923F6C">
      <w:pPr>
        <w:spacing w:line="360" w:lineRule="auto"/>
        <w:jc w:val="both"/>
      </w:pPr>
    </w:p>
    <w:p w14:paraId="04594722" w14:textId="77777777" w:rsidR="00923F6C" w:rsidRDefault="00923F6C" w:rsidP="00923F6C">
      <w:pPr>
        <w:spacing w:line="360" w:lineRule="auto"/>
        <w:jc w:val="both"/>
      </w:pPr>
    </w:p>
    <w:tbl>
      <w:tblPr>
        <w:tblStyle w:val="GridTable1Light-Accent2"/>
        <w:tblW w:w="5000" w:type="pct"/>
        <w:tblLook w:val="04A0" w:firstRow="1" w:lastRow="0" w:firstColumn="1" w:lastColumn="0" w:noHBand="0" w:noVBand="1"/>
      </w:tblPr>
      <w:tblGrid>
        <w:gridCol w:w="4355"/>
        <w:gridCol w:w="999"/>
        <w:gridCol w:w="999"/>
        <w:gridCol w:w="999"/>
        <w:gridCol w:w="999"/>
        <w:gridCol w:w="999"/>
      </w:tblGrid>
      <w:tr w:rsidR="00923F6C" w:rsidRPr="0004269F" w14:paraId="68B5BF8A" w14:textId="77777777" w:rsidTr="00265EA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00AA8E2" w14:textId="77777777" w:rsidR="00923F6C" w:rsidRPr="0004269F" w:rsidRDefault="00923F6C" w:rsidP="002B72E8">
            <w:pPr>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lastRenderedPageBreak/>
              <w:t>Fiscal data as of Apr 30 2023</w:t>
            </w:r>
          </w:p>
        </w:tc>
        <w:tc>
          <w:tcPr>
            <w:tcW w:w="541" w:type="pct"/>
            <w:noWrap/>
            <w:hideMark/>
          </w:tcPr>
          <w:p w14:paraId="63FDD585" w14:textId="77777777" w:rsidR="00923F6C" w:rsidRPr="0004269F"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t>2023 (%)</w:t>
            </w:r>
          </w:p>
        </w:tc>
        <w:tc>
          <w:tcPr>
            <w:tcW w:w="532" w:type="pct"/>
            <w:noWrap/>
            <w:hideMark/>
          </w:tcPr>
          <w:p w14:paraId="1BF52D0E" w14:textId="77777777" w:rsidR="00923F6C" w:rsidRPr="0004269F"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t>2022 (%)</w:t>
            </w:r>
          </w:p>
        </w:tc>
        <w:tc>
          <w:tcPr>
            <w:tcW w:w="532" w:type="pct"/>
            <w:noWrap/>
            <w:hideMark/>
          </w:tcPr>
          <w:p w14:paraId="27CE2E7B" w14:textId="77777777" w:rsidR="00923F6C" w:rsidRPr="0004269F"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t>2021 (%)</w:t>
            </w:r>
          </w:p>
        </w:tc>
        <w:tc>
          <w:tcPr>
            <w:tcW w:w="532" w:type="pct"/>
            <w:noWrap/>
            <w:hideMark/>
          </w:tcPr>
          <w:p w14:paraId="2BD9E799" w14:textId="77777777" w:rsidR="00923F6C" w:rsidRPr="0004269F"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t>2020 (%)</w:t>
            </w:r>
          </w:p>
        </w:tc>
        <w:tc>
          <w:tcPr>
            <w:tcW w:w="532" w:type="pct"/>
            <w:noWrap/>
            <w:hideMark/>
          </w:tcPr>
          <w:p w14:paraId="619693EC" w14:textId="77777777" w:rsidR="00923F6C" w:rsidRPr="0004269F" w:rsidRDefault="00923F6C" w:rsidP="002B72E8">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04269F">
              <w:rPr>
                <w:rFonts w:ascii="Arial" w:eastAsia="Times New Roman" w:hAnsi="Arial" w:cs="Arial"/>
                <w:kern w:val="0"/>
                <w:sz w:val="20"/>
                <w:szCs w:val="20"/>
                <w14:ligatures w14:val="none"/>
              </w:rPr>
              <w:t>2019</w:t>
            </w:r>
            <w:r>
              <w:rPr>
                <w:rFonts w:ascii="Arial" w:eastAsia="Times New Roman" w:hAnsi="Arial" w:cs="Arial"/>
                <w:kern w:val="0"/>
                <w:sz w:val="20"/>
                <w:szCs w:val="20"/>
                <w14:ligatures w14:val="none"/>
              </w:rPr>
              <w:t xml:space="preserve"> </w:t>
            </w:r>
            <w:r w:rsidRPr="0004269F">
              <w:rPr>
                <w:rFonts w:ascii="Arial" w:eastAsia="Times New Roman" w:hAnsi="Arial" w:cs="Arial"/>
                <w:kern w:val="0"/>
                <w:sz w:val="20"/>
                <w:szCs w:val="20"/>
                <w14:ligatures w14:val="none"/>
              </w:rPr>
              <w:t>(%)</w:t>
            </w:r>
          </w:p>
        </w:tc>
      </w:tr>
      <w:tr w:rsidR="00923F6C" w:rsidRPr="0004269F" w14:paraId="543C825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F82062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REVENUE AND GROSS PROFIT</w:t>
            </w:r>
          </w:p>
        </w:tc>
        <w:tc>
          <w:tcPr>
            <w:tcW w:w="541" w:type="pct"/>
            <w:noWrap/>
            <w:hideMark/>
          </w:tcPr>
          <w:p w14:paraId="5A33952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7EF05B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7BA141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38A0B5E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87038B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64ED83D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06251B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revenue</w:t>
            </w:r>
          </w:p>
        </w:tc>
        <w:tc>
          <w:tcPr>
            <w:tcW w:w="541" w:type="pct"/>
            <w:noWrap/>
            <w:hideMark/>
          </w:tcPr>
          <w:p w14:paraId="46E51C0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w:t>
            </w:r>
          </w:p>
        </w:tc>
        <w:tc>
          <w:tcPr>
            <w:tcW w:w="532" w:type="pct"/>
            <w:noWrap/>
            <w:hideMark/>
          </w:tcPr>
          <w:p w14:paraId="5E71879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w:t>
            </w:r>
          </w:p>
        </w:tc>
        <w:tc>
          <w:tcPr>
            <w:tcW w:w="532" w:type="pct"/>
            <w:noWrap/>
            <w:hideMark/>
          </w:tcPr>
          <w:p w14:paraId="446AC10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w:t>
            </w:r>
          </w:p>
        </w:tc>
        <w:tc>
          <w:tcPr>
            <w:tcW w:w="532" w:type="pct"/>
            <w:noWrap/>
            <w:hideMark/>
          </w:tcPr>
          <w:p w14:paraId="4E7B42D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w:t>
            </w:r>
          </w:p>
        </w:tc>
        <w:tc>
          <w:tcPr>
            <w:tcW w:w="532" w:type="pct"/>
            <w:noWrap/>
            <w:hideMark/>
          </w:tcPr>
          <w:p w14:paraId="69BF24A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100%</w:t>
            </w:r>
          </w:p>
        </w:tc>
      </w:tr>
      <w:tr w:rsidR="00923F6C" w:rsidRPr="0004269F" w14:paraId="1517D79E"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6E6B36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OPERATING EXPENSES</w:t>
            </w:r>
          </w:p>
        </w:tc>
        <w:tc>
          <w:tcPr>
            <w:tcW w:w="541" w:type="pct"/>
            <w:noWrap/>
            <w:hideMark/>
          </w:tcPr>
          <w:p w14:paraId="5B7D656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4A7612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447EFD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6C9B62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35D808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2FD27E9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EB77A7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Cost of revenue total</w:t>
            </w:r>
          </w:p>
        </w:tc>
        <w:tc>
          <w:tcPr>
            <w:tcW w:w="541" w:type="pct"/>
            <w:noWrap/>
            <w:hideMark/>
          </w:tcPr>
          <w:p w14:paraId="6FE1748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73%</w:t>
            </w:r>
          </w:p>
        </w:tc>
        <w:tc>
          <w:tcPr>
            <w:tcW w:w="532" w:type="pct"/>
            <w:noWrap/>
            <w:hideMark/>
          </w:tcPr>
          <w:p w14:paraId="373F53D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72%</w:t>
            </w:r>
          </w:p>
        </w:tc>
        <w:tc>
          <w:tcPr>
            <w:tcW w:w="532" w:type="pct"/>
            <w:noWrap/>
            <w:hideMark/>
          </w:tcPr>
          <w:p w14:paraId="137FB34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71%</w:t>
            </w:r>
          </w:p>
        </w:tc>
        <w:tc>
          <w:tcPr>
            <w:tcW w:w="532" w:type="pct"/>
            <w:noWrap/>
            <w:hideMark/>
          </w:tcPr>
          <w:p w14:paraId="250D544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67%</w:t>
            </w:r>
          </w:p>
        </w:tc>
        <w:tc>
          <w:tcPr>
            <w:tcW w:w="532" w:type="pct"/>
            <w:noWrap/>
            <w:hideMark/>
          </w:tcPr>
          <w:p w14:paraId="0B67FFF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69%</w:t>
            </w:r>
          </w:p>
        </w:tc>
      </w:tr>
      <w:tr w:rsidR="00923F6C" w:rsidRPr="0004269F" w14:paraId="3224192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94F4FF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Selling, general and admin. expenses, total</w:t>
            </w:r>
          </w:p>
        </w:tc>
        <w:tc>
          <w:tcPr>
            <w:tcW w:w="541" w:type="pct"/>
            <w:noWrap/>
            <w:hideMark/>
          </w:tcPr>
          <w:p w14:paraId="32BC23F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6BC245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ACA787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347B5D4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BB6E2B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6A8E78D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2DE53666"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Depreciation/amortization</w:t>
            </w:r>
          </w:p>
        </w:tc>
        <w:tc>
          <w:tcPr>
            <w:tcW w:w="541" w:type="pct"/>
            <w:noWrap/>
            <w:hideMark/>
          </w:tcPr>
          <w:p w14:paraId="4D64A2F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8CDF67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075074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4A5E72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BA2406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2940B4B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6BEAD20"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Unusual expense(income)</w:t>
            </w:r>
          </w:p>
        </w:tc>
        <w:tc>
          <w:tcPr>
            <w:tcW w:w="541" w:type="pct"/>
            <w:noWrap/>
            <w:hideMark/>
          </w:tcPr>
          <w:p w14:paraId="0C04A50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93CCA7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1C2F78B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437D82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D6B524A"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3E788BBC"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262273A"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operating expenses, total</w:t>
            </w:r>
          </w:p>
        </w:tc>
        <w:tc>
          <w:tcPr>
            <w:tcW w:w="541" w:type="pct"/>
            <w:noWrap/>
            <w:hideMark/>
          </w:tcPr>
          <w:p w14:paraId="7A87A5D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w:t>
            </w:r>
          </w:p>
        </w:tc>
        <w:tc>
          <w:tcPr>
            <w:tcW w:w="532" w:type="pct"/>
            <w:noWrap/>
            <w:hideMark/>
          </w:tcPr>
          <w:p w14:paraId="40F358F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w:t>
            </w:r>
          </w:p>
        </w:tc>
        <w:tc>
          <w:tcPr>
            <w:tcW w:w="532" w:type="pct"/>
            <w:noWrap/>
            <w:hideMark/>
          </w:tcPr>
          <w:p w14:paraId="52A9E13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w:t>
            </w:r>
          </w:p>
        </w:tc>
        <w:tc>
          <w:tcPr>
            <w:tcW w:w="532" w:type="pct"/>
            <w:noWrap/>
            <w:hideMark/>
          </w:tcPr>
          <w:p w14:paraId="5A31C5C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9%</w:t>
            </w:r>
          </w:p>
        </w:tc>
        <w:tc>
          <w:tcPr>
            <w:tcW w:w="532" w:type="pct"/>
            <w:noWrap/>
            <w:hideMark/>
          </w:tcPr>
          <w:p w14:paraId="427C87F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r>
      <w:tr w:rsidR="00923F6C" w:rsidRPr="0004269F" w14:paraId="2BC263A9"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1957AF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operating expense</w:t>
            </w:r>
          </w:p>
        </w:tc>
        <w:tc>
          <w:tcPr>
            <w:tcW w:w="541" w:type="pct"/>
            <w:noWrap/>
            <w:hideMark/>
          </w:tcPr>
          <w:p w14:paraId="4E9A72F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80%</w:t>
            </w:r>
          </w:p>
        </w:tc>
        <w:tc>
          <w:tcPr>
            <w:tcW w:w="532" w:type="pct"/>
            <w:noWrap/>
            <w:hideMark/>
          </w:tcPr>
          <w:p w14:paraId="1639AB3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78%</w:t>
            </w:r>
          </w:p>
        </w:tc>
        <w:tc>
          <w:tcPr>
            <w:tcW w:w="532" w:type="pct"/>
            <w:noWrap/>
            <w:hideMark/>
          </w:tcPr>
          <w:p w14:paraId="3D6A91B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77%</w:t>
            </w:r>
          </w:p>
        </w:tc>
        <w:tc>
          <w:tcPr>
            <w:tcW w:w="532" w:type="pct"/>
            <w:noWrap/>
            <w:hideMark/>
          </w:tcPr>
          <w:p w14:paraId="3C64AB1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76%</w:t>
            </w:r>
          </w:p>
        </w:tc>
        <w:tc>
          <w:tcPr>
            <w:tcW w:w="532" w:type="pct"/>
            <w:noWrap/>
            <w:hideMark/>
          </w:tcPr>
          <w:p w14:paraId="7D045F2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74%</w:t>
            </w:r>
          </w:p>
        </w:tc>
      </w:tr>
      <w:tr w:rsidR="00923F6C" w:rsidRPr="0004269F" w14:paraId="434E999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5B7608C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Operating income</w:t>
            </w:r>
          </w:p>
        </w:tc>
        <w:tc>
          <w:tcPr>
            <w:tcW w:w="541" w:type="pct"/>
            <w:noWrap/>
            <w:hideMark/>
          </w:tcPr>
          <w:p w14:paraId="5A3CD2C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20%</w:t>
            </w:r>
          </w:p>
        </w:tc>
        <w:tc>
          <w:tcPr>
            <w:tcW w:w="532" w:type="pct"/>
            <w:noWrap/>
            <w:hideMark/>
          </w:tcPr>
          <w:p w14:paraId="6A6FE80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22%</w:t>
            </w:r>
          </w:p>
        </w:tc>
        <w:tc>
          <w:tcPr>
            <w:tcW w:w="532" w:type="pct"/>
            <w:noWrap/>
            <w:hideMark/>
          </w:tcPr>
          <w:p w14:paraId="6224268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23%</w:t>
            </w:r>
          </w:p>
        </w:tc>
        <w:tc>
          <w:tcPr>
            <w:tcW w:w="532" w:type="pct"/>
            <w:noWrap/>
            <w:hideMark/>
          </w:tcPr>
          <w:p w14:paraId="1FE81EA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26EBE8C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26%</w:t>
            </w:r>
          </w:p>
        </w:tc>
      </w:tr>
      <w:tr w:rsidR="00923F6C" w:rsidRPr="0004269F" w14:paraId="57DF287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966707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Other, net</w:t>
            </w:r>
          </w:p>
        </w:tc>
        <w:tc>
          <w:tcPr>
            <w:tcW w:w="541" w:type="pct"/>
            <w:noWrap/>
            <w:hideMark/>
          </w:tcPr>
          <w:p w14:paraId="29F5A42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FA74FF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60B3DB3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6EED01E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156ED49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7C0A23C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2720DF4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Net income before taxes</w:t>
            </w:r>
          </w:p>
        </w:tc>
        <w:tc>
          <w:tcPr>
            <w:tcW w:w="541" w:type="pct"/>
            <w:noWrap/>
            <w:hideMark/>
          </w:tcPr>
          <w:p w14:paraId="3322BCE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56B4B08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6CE5B62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438A31C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26%</w:t>
            </w:r>
          </w:p>
        </w:tc>
        <w:tc>
          <w:tcPr>
            <w:tcW w:w="532" w:type="pct"/>
            <w:noWrap/>
            <w:hideMark/>
          </w:tcPr>
          <w:p w14:paraId="27A4E5A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26%</w:t>
            </w:r>
          </w:p>
        </w:tc>
      </w:tr>
      <w:tr w:rsidR="00923F6C" w:rsidRPr="0004269F" w14:paraId="735BB0F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2C0AB440"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Provision for income taxes</w:t>
            </w:r>
          </w:p>
        </w:tc>
        <w:tc>
          <w:tcPr>
            <w:tcW w:w="541" w:type="pct"/>
            <w:noWrap/>
            <w:hideMark/>
          </w:tcPr>
          <w:p w14:paraId="31B1CEF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0D5CEFA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w:t>
            </w:r>
          </w:p>
        </w:tc>
        <w:tc>
          <w:tcPr>
            <w:tcW w:w="532" w:type="pct"/>
            <w:noWrap/>
            <w:hideMark/>
          </w:tcPr>
          <w:p w14:paraId="4161EBE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c>
          <w:tcPr>
            <w:tcW w:w="532" w:type="pct"/>
            <w:noWrap/>
            <w:hideMark/>
          </w:tcPr>
          <w:p w14:paraId="64A3AC6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761A8B3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r>
      <w:tr w:rsidR="00923F6C" w:rsidRPr="0004269F" w14:paraId="425BFC2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FA0FAD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Net income after taxes</w:t>
            </w:r>
          </w:p>
        </w:tc>
        <w:tc>
          <w:tcPr>
            <w:tcW w:w="541" w:type="pct"/>
            <w:noWrap/>
            <w:hideMark/>
          </w:tcPr>
          <w:p w14:paraId="7DC35DA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4AED745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1294F3F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776013B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3BE103C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566DD5E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5DE664B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Minority interest</w:t>
            </w:r>
          </w:p>
        </w:tc>
        <w:tc>
          <w:tcPr>
            <w:tcW w:w="541" w:type="pct"/>
            <w:noWrap/>
            <w:hideMark/>
          </w:tcPr>
          <w:p w14:paraId="6AB207C2"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AE08A6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32B2F1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ABB829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168DBBE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33A9D4E8"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EB48C2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Net income before extra. Items</w:t>
            </w:r>
          </w:p>
        </w:tc>
        <w:tc>
          <w:tcPr>
            <w:tcW w:w="541" w:type="pct"/>
            <w:noWrap/>
            <w:hideMark/>
          </w:tcPr>
          <w:p w14:paraId="7F70E68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2949357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78940CE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62BF3C5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5D7A30A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02DE793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559986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extraordinary items</w:t>
            </w:r>
          </w:p>
        </w:tc>
        <w:tc>
          <w:tcPr>
            <w:tcW w:w="541" w:type="pct"/>
            <w:noWrap/>
            <w:hideMark/>
          </w:tcPr>
          <w:p w14:paraId="2937A1B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644F46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E61E3D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C6EC50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089D5D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54C5BE6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2BDC3AF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Net income</w:t>
            </w:r>
          </w:p>
        </w:tc>
        <w:tc>
          <w:tcPr>
            <w:tcW w:w="541" w:type="pct"/>
            <w:noWrap/>
            <w:hideMark/>
          </w:tcPr>
          <w:p w14:paraId="3ACE303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131C270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3A117C0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4BD0D00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24C92CB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7442EED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1263F4C" w14:textId="77777777" w:rsidR="00923F6C" w:rsidRPr="0004269F" w:rsidRDefault="00923F6C" w:rsidP="002B72E8">
            <w:pPr>
              <w:rPr>
                <w:rFonts w:ascii="Arial" w:eastAsia="Times New Roman" w:hAnsi="Arial" w:cs="Arial"/>
                <w:color w:val="000000"/>
                <w:kern w:val="0"/>
                <w:sz w:val="20"/>
                <w:szCs w:val="20"/>
                <w14:ligatures w14:val="none"/>
              </w:rPr>
            </w:pPr>
            <w:proofErr w:type="spellStart"/>
            <w:r w:rsidRPr="0004269F">
              <w:rPr>
                <w:rFonts w:ascii="Arial" w:eastAsia="Times New Roman" w:hAnsi="Arial" w:cs="Arial"/>
                <w:color w:val="000000"/>
                <w:kern w:val="0"/>
                <w:sz w:val="20"/>
                <w:szCs w:val="20"/>
                <w14:ligatures w14:val="none"/>
              </w:rPr>
              <w:t>Inc.avail</w:t>
            </w:r>
            <w:proofErr w:type="spellEnd"/>
            <w:r w:rsidRPr="0004269F">
              <w:rPr>
                <w:rFonts w:ascii="Arial" w:eastAsia="Times New Roman" w:hAnsi="Arial" w:cs="Arial"/>
                <w:color w:val="000000"/>
                <w:kern w:val="0"/>
                <w:sz w:val="20"/>
                <w:szCs w:val="20"/>
                <w14:ligatures w14:val="none"/>
              </w:rPr>
              <w:t>. to common excl. extra. Items</w:t>
            </w:r>
          </w:p>
        </w:tc>
        <w:tc>
          <w:tcPr>
            <w:tcW w:w="541" w:type="pct"/>
            <w:noWrap/>
            <w:hideMark/>
          </w:tcPr>
          <w:p w14:paraId="7357243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711466F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36BF9CB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6FEB600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33D101E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102F166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6D13B25" w14:textId="77777777" w:rsidR="00923F6C" w:rsidRPr="0004269F" w:rsidRDefault="00923F6C" w:rsidP="002B72E8">
            <w:pPr>
              <w:rPr>
                <w:rFonts w:ascii="Arial" w:eastAsia="Times New Roman" w:hAnsi="Arial" w:cs="Arial"/>
                <w:color w:val="000000"/>
                <w:kern w:val="0"/>
                <w:sz w:val="20"/>
                <w:szCs w:val="20"/>
                <w14:ligatures w14:val="none"/>
              </w:rPr>
            </w:pPr>
            <w:proofErr w:type="spellStart"/>
            <w:r w:rsidRPr="0004269F">
              <w:rPr>
                <w:rFonts w:ascii="Arial" w:eastAsia="Times New Roman" w:hAnsi="Arial" w:cs="Arial"/>
                <w:color w:val="000000"/>
                <w:kern w:val="0"/>
                <w:sz w:val="20"/>
                <w:szCs w:val="20"/>
                <w14:ligatures w14:val="none"/>
              </w:rPr>
              <w:t>Inc.avail</w:t>
            </w:r>
            <w:proofErr w:type="spellEnd"/>
            <w:r w:rsidRPr="0004269F">
              <w:rPr>
                <w:rFonts w:ascii="Arial" w:eastAsia="Times New Roman" w:hAnsi="Arial" w:cs="Arial"/>
                <w:color w:val="000000"/>
                <w:kern w:val="0"/>
                <w:sz w:val="20"/>
                <w:szCs w:val="20"/>
                <w14:ligatures w14:val="none"/>
              </w:rPr>
              <w:t>. to common incl. extra. Items</w:t>
            </w:r>
          </w:p>
        </w:tc>
        <w:tc>
          <w:tcPr>
            <w:tcW w:w="541" w:type="pct"/>
            <w:noWrap/>
            <w:hideMark/>
          </w:tcPr>
          <w:p w14:paraId="63D6C54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415BB9B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76EFA74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62F0F87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517853A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43EF99D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97A246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EPS RECONCILIATION</w:t>
            </w:r>
          </w:p>
        </w:tc>
        <w:tc>
          <w:tcPr>
            <w:tcW w:w="541" w:type="pct"/>
            <w:noWrap/>
            <w:hideMark/>
          </w:tcPr>
          <w:p w14:paraId="5DD2B6B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7B77E23"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56EFCC0"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1DE32B4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F00920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483A138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59EECCBD"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Basic/primary weighted average shares</w:t>
            </w:r>
          </w:p>
        </w:tc>
        <w:tc>
          <w:tcPr>
            <w:tcW w:w="541" w:type="pct"/>
            <w:noWrap/>
            <w:hideMark/>
          </w:tcPr>
          <w:p w14:paraId="3931488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c>
          <w:tcPr>
            <w:tcW w:w="532" w:type="pct"/>
            <w:noWrap/>
            <w:hideMark/>
          </w:tcPr>
          <w:p w14:paraId="32B7282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378CF96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3647A61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w:t>
            </w:r>
          </w:p>
        </w:tc>
        <w:tc>
          <w:tcPr>
            <w:tcW w:w="532" w:type="pct"/>
            <w:noWrap/>
            <w:hideMark/>
          </w:tcPr>
          <w:p w14:paraId="75BBFF3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r>
      <w:tr w:rsidR="00923F6C" w:rsidRPr="0004269F" w14:paraId="601DAE3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70B1CE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Basic/primary eps excl. extra items</w:t>
            </w:r>
          </w:p>
        </w:tc>
        <w:tc>
          <w:tcPr>
            <w:tcW w:w="541" w:type="pct"/>
            <w:noWrap/>
            <w:hideMark/>
          </w:tcPr>
          <w:p w14:paraId="00605FA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C4230D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62591B5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F7A183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A007F3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5D69E39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6DB114C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Basic/primary eps incl. extra items</w:t>
            </w:r>
          </w:p>
        </w:tc>
        <w:tc>
          <w:tcPr>
            <w:tcW w:w="541" w:type="pct"/>
            <w:noWrap/>
            <w:hideMark/>
          </w:tcPr>
          <w:p w14:paraId="3D77C56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36DBEA0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DAE464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11CA873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1B2A4D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130F45B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24C960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Dilution adjustment</w:t>
            </w:r>
          </w:p>
        </w:tc>
        <w:tc>
          <w:tcPr>
            <w:tcW w:w="541" w:type="pct"/>
            <w:noWrap/>
            <w:hideMark/>
          </w:tcPr>
          <w:p w14:paraId="0F25898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E18DB5A"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AA3DC1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B3F5AB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888CC3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39CFAC4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BF2D20D"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Diluted weighted average shares</w:t>
            </w:r>
          </w:p>
        </w:tc>
        <w:tc>
          <w:tcPr>
            <w:tcW w:w="541" w:type="pct"/>
            <w:noWrap/>
            <w:hideMark/>
          </w:tcPr>
          <w:p w14:paraId="3D7122A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c>
          <w:tcPr>
            <w:tcW w:w="532" w:type="pct"/>
            <w:noWrap/>
            <w:hideMark/>
          </w:tcPr>
          <w:p w14:paraId="384A2F2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11002C5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4EB19D0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6%</w:t>
            </w:r>
          </w:p>
        </w:tc>
        <w:tc>
          <w:tcPr>
            <w:tcW w:w="532" w:type="pct"/>
            <w:noWrap/>
            <w:hideMark/>
          </w:tcPr>
          <w:p w14:paraId="0EE31CA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r>
      <w:tr w:rsidR="00923F6C" w:rsidRPr="0004269F" w14:paraId="34F5497F"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6F10152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Diluted eps excl. extra items</w:t>
            </w:r>
          </w:p>
        </w:tc>
        <w:tc>
          <w:tcPr>
            <w:tcW w:w="541" w:type="pct"/>
            <w:noWrap/>
            <w:hideMark/>
          </w:tcPr>
          <w:p w14:paraId="570937D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17AFFA8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52A516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3819FC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EDB7A7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2B6DE45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41115E0F"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Diluted eps incl. extra items</w:t>
            </w:r>
          </w:p>
        </w:tc>
        <w:tc>
          <w:tcPr>
            <w:tcW w:w="541" w:type="pct"/>
            <w:noWrap/>
            <w:hideMark/>
          </w:tcPr>
          <w:p w14:paraId="525245E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394FC02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38C465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773D9E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327AC89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3D025E0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1DE43F0"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COMMON STOCK DIVIDENDS</w:t>
            </w:r>
          </w:p>
        </w:tc>
        <w:tc>
          <w:tcPr>
            <w:tcW w:w="541" w:type="pct"/>
            <w:noWrap/>
            <w:hideMark/>
          </w:tcPr>
          <w:p w14:paraId="36E10F9A"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320505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39B84D0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E6F59B5"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40D16AF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1CC36B2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EDDFE86"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DPS - common stock primary issue</w:t>
            </w:r>
          </w:p>
        </w:tc>
        <w:tc>
          <w:tcPr>
            <w:tcW w:w="541" w:type="pct"/>
            <w:noWrap/>
            <w:hideMark/>
          </w:tcPr>
          <w:p w14:paraId="457A153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78C1A0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4D0140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D9C358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CBDE9E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0BF2B50B"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FF1C8F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Gross dividend - common stock</w:t>
            </w:r>
          </w:p>
        </w:tc>
        <w:tc>
          <w:tcPr>
            <w:tcW w:w="541" w:type="pct"/>
            <w:noWrap/>
            <w:hideMark/>
          </w:tcPr>
          <w:p w14:paraId="49B6E4B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w:t>
            </w:r>
          </w:p>
        </w:tc>
        <w:tc>
          <w:tcPr>
            <w:tcW w:w="532" w:type="pct"/>
            <w:noWrap/>
            <w:hideMark/>
          </w:tcPr>
          <w:p w14:paraId="0870796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DED234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7%</w:t>
            </w:r>
          </w:p>
        </w:tc>
        <w:tc>
          <w:tcPr>
            <w:tcW w:w="532" w:type="pct"/>
            <w:noWrap/>
            <w:hideMark/>
          </w:tcPr>
          <w:p w14:paraId="6D6E441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8%</w:t>
            </w:r>
          </w:p>
        </w:tc>
        <w:tc>
          <w:tcPr>
            <w:tcW w:w="532" w:type="pct"/>
            <w:noWrap/>
            <w:hideMark/>
          </w:tcPr>
          <w:p w14:paraId="3A37DBA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57B02114"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91827E1"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PRO FORMA INCOME</w:t>
            </w:r>
          </w:p>
        </w:tc>
        <w:tc>
          <w:tcPr>
            <w:tcW w:w="541" w:type="pct"/>
            <w:noWrap/>
            <w:hideMark/>
          </w:tcPr>
          <w:p w14:paraId="2EBEEE7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DCFB56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46E3C21"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4059B6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6286B7C"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579817E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AF1DC7A"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Pro forma net income</w:t>
            </w:r>
          </w:p>
        </w:tc>
        <w:tc>
          <w:tcPr>
            <w:tcW w:w="541" w:type="pct"/>
            <w:noWrap/>
            <w:hideMark/>
          </w:tcPr>
          <w:p w14:paraId="4BA3F07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6B4DBFC7"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0C3235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9307A2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3CC16E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32D1611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0D9CD4B"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Interest expense, supplemental</w:t>
            </w:r>
          </w:p>
        </w:tc>
        <w:tc>
          <w:tcPr>
            <w:tcW w:w="541" w:type="pct"/>
            <w:noWrap/>
            <w:hideMark/>
          </w:tcPr>
          <w:p w14:paraId="3EA5579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w:t>
            </w:r>
          </w:p>
        </w:tc>
        <w:tc>
          <w:tcPr>
            <w:tcW w:w="532" w:type="pct"/>
            <w:noWrap/>
            <w:hideMark/>
          </w:tcPr>
          <w:p w14:paraId="681E0F2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w:t>
            </w:r>
          </w:p>
        </w:tc>
        <w:tc>
          <w:tcPr>
            <w:tcW w:w="532" w:type="pct"/>
            <w:noWrap/>
            <w:hideMark/>
          </w:tcPr>
          <w:p w14:paraId="6439160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D0FCF5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w:t>
            </w:r>
          </w:p>
        </w:tc>
        <w:tc>
          <w:tcPr>
            <w:tcW w:w="532" w:type="pct"/>
            <w:noWrap/>
            <w:hideMark/>
          </w:tcPr>
          <w:p w14:paraId="6292BFB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5C5C354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25867D2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SUPPLEMENTAL INCOME</w:t>
            </w:r>
          </w:p>
        </w:tc>
        <w:tc>
          <w:tcPr>
            <w:tcW w:w="541" w:type="pct"/>
            <w:noWrap/>
            <w:hideMark/>
          </w:tcPr>
          <w:p w14:paraId="337B49A9"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1BC596B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63488E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2875FC1D"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1559C5B"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0B855241"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58741BE3"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Depreciation, supplemental</w:t>
            </w:r>
          </w:p>
        </w:tc>
        <w:tc>
          <w:tcPr>
            <w:tcW w:w="541" w:type="pct"/>
            <w:noWrap/>
            <w:hideMark/>
          </w:tcPr>
          <w:p w14:paraId="795EB76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1AF698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1710C6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68F6B95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C322A15"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0CC9E30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4B14D4D"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Total special items</w:t>
            </w:r>
          </w:p>
        </w:tc>
        <w:tc>
          <w:tcPr>
            <w:tcW w:w="541" w:type="pct"/>
            <w:noWrap/>
            <w:hideMark/>
          </w:tcPr>
          <w:p w14:paraId="70EF339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39B705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1D327C5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34D83C2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66880F9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5D4EE1F5"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817439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NORMALISED INCOME</w:t>
            </w:r>
          </w:p>
        </w:tc>
        <w:tc>
          <w:tcPr>
            <w:tcW w:w="541" w:type="pct"/>
            <w:noWrap/>
            <w:hideMark/>
          </w:tcPr>
          <w:p w14:paraId="6F8976C2"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079DEE6F"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50D0D8D6"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71B72A4"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c>
          <w:tcPr>
            <w:tcW w:w="532" w:type="pct"/>
            <w:noWrap/>
            <w:hideMark/>
          </w:tcPr>
          <w:p w14:paraId="7309E2CE" w14:textId="77777777" w:rsidR="00923F6C" w:rsidRPr="0004269F" w:rsidRDefault="00923F6C" w:rsidP="002B72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923F6C" w:rsidRPr="0004269F" w14:paraId="2B7D653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63F6E36"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Normalized income before taxes</w:t>
            </w:r>
          </w:p>
        </w:tc>
        <w:tc>
          <w:tcPr>
            <w:tcW w:w="541" w:type="pct"/>
            <w:noWrap/>
            <w:hideMark/>
          </w:tcPr>
          <w:p w14:paraId="3A73F14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0CFBD43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3409D86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24%</w:t>
            </w:r>
          </w:p>
        </w:tc>
        <w:tc>
          <w:tcPr>
            <w:tcW w:w="532" w:type="pct"/>
            <w:noWrap/>
            <w:hideMark/>
          </w:tcPr>
          <w:p w14:paraId="78C0337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26%</w:t>
            </w:r>
          </w:p>
        </w:tc>
        <w:tc>
          <w:tcPr>
            <w:tcW w:w="532" w:type="pct"/>
            <w:noWrap/>
            <w:hideMark/>
          </w:tcPr>
          <w:p w14:paraId="00828D8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26%</w:t>
            </w:r>
          </w:p>
        </w:tc>
      </w:tr>
      <w:tr w:rsidR="00923F6C" w:rsidRPr="0004269F" w14:paraId="67C29E7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4A0C6A7"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Effect of special items on income taxes</w:t>
            </w:r>
          </w:p>
        </w:tc>
        <w:tc>
          <w:tcPr>
            <w:tcW w:w="541" w:type="pct"/>
            <w:noWrap/>
            <w:hideMark/>
          </w:tcPr>
          <w:p w14:paraId="26F1A13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1EC2811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6DEA00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5AE719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047A64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7221DF57"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30458582"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Income tax excluding impact of special items</w:t>
            </w:r>
          </w:p>
        </w:tc>
        <w:tc>
          <w:tcPr>
            <w:tcW w:w="541" w:type="pct"/>
            <w:noWrap/>
            <w:hideMark/>
          </w:tcPr>
          <w:p w14:paraId="761F9CF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35D6DB7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3%</w:t>
            </w:r>
          </w:p>
        </w:tc>
        <w:tc>
          <w:tcPr>
            <w:tcW w:w="532" w:type="pct"/>
            <w:noWrap/>
            <w:hideMark/>
          </w:tcPr>
          <w:p w14:paraId="0EAF7088"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4%</w:t>
            </w:r>
          </w:p>
        </w:tc>
        <w:tc>
          <w:tcPr>
            <w:tcW w:w="532" w:type="pct"/>
            <w:noWrap/>
            <w:hideMark/>
          </w:tcPr>
          <w:p w14:paraId="7B7CB944"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c>
          <w:tcPr>
            <w:tcW w:w="532" w:type="pct"/>
            <w:noWrap/>
            <w:hideMark/>
          </w:tcPr>
          <w:p w14:paraId="7ADC57D1"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5%</w:t>
            </w:r>
          </w:p>
        </w:tc>
      </w:tr>
      <w:tr w:rsidR="00923F6C" w:rsidRPr="0004269F" w14:paraId="589C8966"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1881F489"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Normalized income after tax</w:t>
            </w:r>
          </w:p>
        </w:tc>
        <w:tc>
          <w:tcPr>
            <w:tcW w:w="541" w:type="pct"/>
            <w:noWrap/>
            <w:hideMark/>
          </w:tcPr>
          <w:p w14:paraId="4C8EDCD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1FBB49B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6F071BD6"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7EC3C95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380FFE5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4ED9ADC0"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84FE05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Normalized income avail. to common</w:t>
            </w:r>
          </w:p>
        </w:tc>
        <w:tc>
          <w:tcPr>
            <w:tcW w:w="541" w:type="pct"/>
            <w:noWrap/>
            <w:hideMark/>
          </w:tcPr>
          <w:p w14:paraId="7B5DBAE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18%</w:t>
            </w:r>
          </w:p>
        </w:tc>
        <w:tc>
          <w:tcPr>
            <w:tcW w:w="532" w:type="pct"/>
            <w:noWrap/>
            <w:hideMark/>
          </w:tcPr>
          <w:p w14:paraId="55D8E9B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7D8B0697"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19%</w:t>
            </w:r>
          </w:p>
        </w:tc>
        <w:tc>
          <w:tcPr>
            <w:tcW w:w="532" w:type="pct"/>
            <w:noWrap/>
            <w:hideMark/>
          </w:tcPr>
          <w:p w14:paraId="5988CB6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c>
          <w:tcPr>
            <w:tcW w:w="532" w:type="pct"/>
            <w:noWrap/>
            <w:hideMark/>
          </w:tcPr>
          <w:p w14:paraId="6FEF6A9B"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21%</w:t>
            </w:r>
          </w:p>
        </w:tc>
      </w:tr>
      <w:tr w:rsidR="00923F6C" w:rsidRPr="0004269F" w14:paraId="72927FC2"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0FEB78E4"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Basic normalized EPS</w:t>
            </w:r>
          </w:p>
        </w:tc>
        <w:tc>
          <w:tcPr>
            <w:tcW w:w="541" w:type="pct"/>
            <w:noWrap/>
            <w:hideMark/>
          </w:tcPr>
          <w:p w14:paraId="57898A02"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52805DF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21A2CF5D"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DF9E073"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7624886C"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r w:rsidR="00923F6C" w:rsidRPr="0004269F" w14:paraId="47749053" w14:textId="77777777" w:rsidTr="00265EA6">
        <w:trPr>
          <w:trHeight w:val="255"/>
        </w:trPr>
        <w:tc>
          <w:tcPr>
            <w:cnfStyle w:val="001000000000" w:firstRow="0" w:lastRow="0" w:firstColumn="1" w:lastColumn="0" w:oddVBand="0" w:evenVBand="0" w:oddHBand="0" w:evenHBand="0" w:firstRowFirstColumn="0" w:firstRowLastColumn="0" w:lastRowFirstColumn="0" w:lastRowLastColumn="0"/>
            <w:tcW w:w="2333" w:type="pct"/>
            <w:noWrap/>
            <w:hideMark/>
          </w:tcPr>
          <w:p w14:paraId="793C1E4C" w14:textId="77777777" w:rsidR="00923F6C" w:rsidRPr="0004269F" w:rsidRDefault="00923F6C" w:rsidP="002B72E8">
            <w:pPr>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Diluted normalized EPS</w:t>
            </w:r>
          </w:p>
        </w:tc>
        <w:tc>
          <w:tcPr>
            <w:tcW w:w="541" w:type="pct"/>
            <w:noWrap/>
            <w:hideMark/>
          </w:tcPr>
          <w:p w14:paraId="12634E4F"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6BFFA8E"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DFBC280"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0E6162B9"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c>
          <w:tcPr>
            <w:tcW w:w="532" w:type="pct"/>
            <w:noWrap/>
            <w:hideMark/>
          </w:tcPr>
          <w:p w14:paraId="49150BDA" w14:textId="77777777" w:rsidR="00923F6C" w:rsidRPr="0004269F" w:rsidRDefault="00923F6C" w:rsidP="002B72E8">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04269F">
              <w:rPr>
                <w:rFonts w:ascii="Arial" w:eastAsia="Times New Roman" w:hAnsi="Arial" w:cs="Arial"/>
                <w:color w:val="000000"/>
                <w:kern w:val="0"/>
                <w:sz w:val="20"/>
                <w:szCs w:val="20"/>
                <w14:ligatures w14:val="none"/>
              </w:rPr>
              <w:t>0%</w:t>
            </w:r>
          </w:p>
        </w:tc>
      </w:tr>
    </w:tbl>
    <w:p w14:paraId="5DD189BB" w14:textId="77777777" w:rsidR="00923F6C" w:rsidRDefault="00923F6C" w:rsidP="00923F6C">
      <w:pPr>
        <w:spacing w:line="360" w:lineRule="auto"/>
        <w:jc w:val="both"/>
      </w:pPr>
    </w:p>
    <w:p w14:paraId="4A9DB302" w14:textId="0F7C8A19" w:rsidR="00923F6C" w:rsidRPr="00AE6A95" w:rsidRDefault="00923F6C" w:rsidP="00AE6A95">
      <w:pPr>
        <w:pStyle w:val="Heading1"/>
        <w:numPr>
          <w:ilvl w:val="0"/>
          <w:numId w:val="27"/>
        </w:numPr>
        <w:rPr>
          <w:rFonts w:ascii="Calibri" w:hAnsi="Calibri" w:cs="Calibri"/>
          <w:b/>
          <w:bCs/>
          <w:sz w:val="40"/>
          <w:szCs w:val="40"/>
        </w:rPr>
      </w:pPr>
      <w:bookmarkStart w:id="39" w:name="_Toc165495787"/>
      <w:bookmarkStart w:id="40" w:name="_Toc165496512"/>
      <w:r w:rsidRPr="00AE6A95">
        <w:rPr>
          <w:rFonts w:ascii="Calibri" w:hAnsi="Calibri" w:cs="Calibri"/>
          <w:b/>
          <w:bCs/>
          <w:sz w:val="40"/>
          <w:szCs w:val="40"/>
        </w:rPr>
        <w:lastRenderedPageBreak/>
        <w:t>EVALUATION OF ADOPTION OF THE UK CORPORATE GOVERNANCE CODE</w:t>
      </w:r>
      <w:bookmarkEnd w:id="39"/>
      <w:bookmarkEnd w:id="40"/>
    </w:p>
    <w:p w14:paraId="289FC1CB" w14:textId="017340D7" w:rsidR="00DF5A8F" w:rsidRDefault="00923F6C" w:rsidP="00265EA6">
      <w:pPr>
        <w:spacing w:after="0" w:line="360" w:lineRule="auto"/>
        <w:jc w:val="both"/>
        <w:rPr>
          <w:rFonts w:ascii="Calibri" w:hAnsi="Calibri" w:cs="Calibri"/>
          <w:color w:val="000000" w:themeColor="text1"/>
          <w:sz w:val="24"/>
          <w:szCs w:val="24"/>
        </w:rPr>
      </w:pPr>
      <w:r w:rsidRPr="00FB2D33">
        <w:rPr>
          <w:rFonts w:ascii="Calibri" w:hAnsi="Calibri" w:cs="Calibri"/>
          <w:color w:val="000000" w:themeColor="text1"/>
          <w:sz w:val="24"/>
          <w:szCs w:val="24"/>
        </w:rPr>
        <w:t xml:space="preserve">The UK Corporate Governance Code matters because it provides a framework for companies to be directed and controlled effectively, promoting long-term sustainable </w:t>
      </w:r>
      <w:proofErr w:type="gramStart"/>
      <w:r w:rsidRPr="00FB2D33">
        <w:rPr>
          <w:rFonts w:ascii="Calibri" w:hAnsi="Calibri" w:cs="Calibri"/>
          <w:color w:val="000000" w:themeColor="text1"/>
          <w:sz w:val="24"/>
          <w:szCs w:val="24"/>
        </w:rPr>
        <w:t>success</w:t>
      </w:r>
      <w:proofErr w:type="gramEnd"/>
      <w:r w:rsidRPr="00FB2D33">
        <w:rPr>
          <w:rFonts w:ascii="Calibri" w:hAnsi="Calibri" w:cs="Calibri"/>
          <w:color w:val="000000" w:themeColor="text1"/>
          <w:sz w:val="24"/>
          <w:szCs w:val="24"/>
        </w:rPr>
        <w:t xml:space="preserve"> and contributing to wider society. It </w:t>
      </w:r>
      <w:proofErr w:type="spellStart"/>
      <w:r>
        <w:rPr>
          <w:rFonts w:ascii="Calibri" w:hAnsi="Calibri" w:cs="Calibri"/>
          <w:color w:val="000000" w:themeColor="text1"/>
          <w:sz w:val="24"/>
          <w:szCs w:val="24"/>
        </w:rPr>
        <w:t>emphasises</w:t>
      </w:r>
      <w:proofErr w:type="spellEnd"/>
      <w:r w:rsidRPr="00FB2D33">
        <w:rPr>
          <w:rFonts w:ascii="Calibri" w:hAnsi="Calibri" w:cs="Calibri"/>
          <w:color w:val="000000" w:themeColor="text1"/>
          <w:sz w:val="24"/>
          <w:szCs w:val="24"/>
        </w:rPr>
        <w:t xml:space="preserve"> the value of good corporate governance and encourages companies to build and maintain successful relationships with </w:t>
      </w:r>
      <w:r w:rsidR="007751F2">
        <w:rPr>
          <w:rFonts w:ascii="Calibri" w:hAnsi="Calibri" w:cs="Calibri"/>
          <w:color w:val="000000" w:themeColor="text1"/>
          <w:sz w:val="24"/>
          <w:szCs w:val="24"/>
        </w:rPr>
        <w:t>various</w:t>
      </w:r>
      <w:r w:rsidRPr="00FB2D33">
        <w:rPr>
          <w:rFonts w:ascii="Calibri" w:hAnsi="Calibri" w:cs="Calibri"/>
          <w:color w:val="000000" w:themeColor="text1"/>
          <w:sz w:val="24"/>
          <w:szCs w:val="24"/>
        </w:rPr>
        <w:t xml:space="preserve"> stakeholders. </w:t>
      </w:r>
      <w:r w:rsidR="00DF5A8F" w:rsidRPr="00DF5A8F">
        <w:rPr>
          <w:rFonts w:ascii="Calibri" w:hAnsi="Calibri" w:cs="Calibri"/>
          <w:color w:val="000000" w:themeColor="text1"/>
          <w:sz w:val="24"/>
          <w:szCs w:val="24"/>
        </w:rPr>
        <w:t>Additionally, the Code lays forth guidelines, provisions, and principles that businesses can use to show how their governance promotes long-term sustainability and accomplishes larger goals</w:t>
      </w:r>
      <w:r w:rsidRPr="00FB2D33">
        <w:rPr>
          <w:rFonts w:ascii="Calibri" w:hAnsi="Calibri" w:cs="Calibri"/>
          <w:color w:val="000000" w:themeColor="text1"/>
          <w:sz w:val="24"/>
          <w:szCs w:val="24"/>
        </w:rPr>
        <w:t xml:space="preserve">. Additionally, it promotes transparency and integrity in business, sets standards for </w:t>
      </w:r>
      <w:r>
        <w:rPr>
          <w:rFonts w:ascii="Calibri" w:hAnsi="Calibri" w:cs="Calibri"/>
          <w:color w:val="000000" w:themeColor="text1"/>
          <w:sz w:val="24"/>
          <w:szCs w:val="24"/>
        </w:rPr>
        <w:t>accounting</w:t>
      </w:r>
      <w:r w:rsidRPr="00FB2D33">
        <w:rPr>
          <w:rFonts w:ascii="Calibri" w:hAnsi="Calibri" w:cs="Calibri"/>
          <w:color w:val="000000" w:themeColor="text1"/>
          <w:sz w:val="24"/>
          <w:szCs w:val="24"/>
        </w:rPr>
        <w:t>, and monitors and enforces audit quality. Overall, the Code is crucial for ensuring that companies operate with integrity, accountability, and consideration for the interests of all stakeholders.</w:t>
      </w:r>
      <w:r>
        <w:rPr>
          <w:rFonts w:ascii="Calibri" w:hAnsi="Calibri" w:cs="Calibri"/>
          <w:color w:val="000000" w:themeColor="text1"/>
          <w:sz w:val="24"/>
          <w:szCs w:val="24"/>
        </w:rPr>
        <w:t xml:space="preserve"> It </w:t>
      </w:r>
      <w:r w:rsidRPr="007F5A11">
        <w:rPr>
          <w:rFonts w:ascii="Calibri" w:hAnsi="Calibri" w:cs="Calibri"/>
          <w:color w:val="000000" w:themeColor="text1"/>
          <w:sz w:val="24"/>
          <w:szCs w:val="24"/>
        </w:rPr>
        <w:t>establishes benchmarks for exemplary practices in board leadership, compensation, accountability, and shareholder relations. Assessing the adherence of Barratt Developments PLC and Berkeley Group Holdings to this Code requires a review of their governance structures, board composition, pay policies, and financial transparency</w:t>
      </w:r>
      <w:r w:rsidR="00DF5A8F">
        <w:rPr>
          <w:rFonts w:ascii="Calibri" w:hAnsi="Calibri" w:cs="Calibri"/>
          <w:color w:val="000000" w:themeColor="text1"/>
          <w:sz w:val="24"/>
          <w:szCs w:val="24"/>
        </w:rPr>
        <w:t xml:space="preserve">. </w:t>
      </w:r>
      <w:r w:rsidR="00DF5A8F" w:rsidRPr="00DF5A8F">
        <w:rPr>
          <w:rFonts w:ascii="Calibri" w:hAnsi="Calibri" w:cs="Calibri"/>
          <w:color w:val="000000" w:themeColor="text1"/>
          <w:sz w:val="24"/>
          <w:szCs w:val="24"/>
        </w:rPr>
        <w:t>Despite certain variations in their strategies, Barratt Developments PLC and Berkeley Group Holdings PLC seem to follow the UK Corporate Governance Code's standards. Barratt has an executive compensation structure that is seen as being better than that of the other company, despite both having excellent compensation rules and disclosures. The operation of the Remuneration Committee, its membership, duties, and the degree to which executive</w:t>
      </w:r>
      <w:r w:rsidR="00DF5A8F">
        <w:rPr>
          <w:rFonts w:ascii="Calibri" w:hAnsi="Calibri" w:cs="Calibri"/>
          <w:color w:val="000000" w:themeColor="text1"/>
          <w:sz w:val="24"/>
          <w:szCs w:val="24"/>
        </w:rPr>
        <w:t xml:space="preserve"> remuneration</w:t>
      </w:r>
      <w:r w:rsidR="00DF5A8F" w:rsidRPr="00DF5A8F">
        <w:rPr>
          <w:rFonts w:ascii="Calibri" w:hAnsi="Calibri" w:cs="Calibri"/>
          <w:color w:val="000000" w:themeColor="text1"/>
          <w:sz w:val="24"/>
          <w:szCs w:val="24"/>
        </w:rPr>
        <w:t xml:space="preserve"> is in line with the goals and objectives of the </w:t>
      </w:r>
      <w:proofErr w:type="spellStart"/>
      <w:r w:rsidR="00DF5A8F" w:rsidRPr="00DF5A8F">
        <w:rPr>
          <w:rFonts w:ascii="Calibri" w:hAnsi="Calibri" w:cs="Calibri"/>
          <w:color w:val="000000" w:themeColor="text1"/>
          <w:sz w:val="24"/>
          <w:szCs w:val="24"/>
        </w:rPr>
        <w:t>organisation</w:t>
      </w:r>
      <w:proofErr w:type="spellEnd"/>
      <w:r w:rsidR="00DF5A8F" w:rsidRPr="00DF5A8F">
        <w:rPr>
          <w:rFonts w:ascii="Calibri" w:hAnsi="Calibri" w:cs="Calibri"/>
          <w:color w:val="000000" w:themeColor="text1"/>
          <w:sz w:val="24"/>
          <w:szCs w:val="24"/>
        </w:rPr>
        <w:t xml:space="preserve"> are all covered in depth in Barratt's remuneration report</w:t>
      </w:r>
      <w:r>
        <w:rPr>
          <w:rFonts w:ascii="Calibri" w:hAnsi="Calibri" w:cs="Calibri"/>
          <w:color w:val="000000" w:themeColor="text1"/>
          <w:sz w:val="24"/>
          <w:szCs w:val="24"/>
        </w:rPr>
        <w:t>.</w:t>
      </w:r>
      <w:r w:rsidR="007751F2">
        <w:rPr>
          <w:rFonts w:ascii="Calibri" w:hAnsi="Calibri" w:cs="Calibri"/>
          <w:color w:val="000000" w:themeColor="text1"/>
          <w:sz w:val="24"/>
          <w:szCs w:val="24"/>
        </w:rPr>
        <w:t xml:space="preserve"> </w:t>
      </w:r>
      <w:r w:rsidRPr="00A00AB2">
        <w:rPr>
          <w:rFonts w:ascii="Calibri" w:hAnsi="Calibri" w:cs="Calibri"/>
          <w:color w:val="000000" w:themeColor="text1"/>
          <w:sz w:val="24"/>
          <w:szCs w:val="24"/>
        </w:rPr>
        <w:t>Barratt's audit governance seems more developed compared to Berkeley, with a detailed discussion of the Audit Committee's function, membership, responsibilities, audit and auditors, conflict of interest areas, cyber-security, GDPR, and whistleblowing policies</w:t>
      </w:r>
      <w:r>
        <w:rPr>
          <w:rFonts w:ascii="Calibri" w:hAnsi="Calibri" w:cs="Calibri"/>
          <w:color w:val="000000" w:themeColor="text1"/>
          <w:sz w:val="24"/>
          <w:szCs w:val="24"/>
        </w:rPr>
        <w:t xml:space="preserve">. </w:t>
      </w:r>
      <w:r w:rsidR="00DF5A8F" w:rsidRPr="00DF5A8F">
        <w:rPr>
          <w:rFonts w:ascii="Calibri" w:hAnsi="Calibri" w:cs="Calibri"/>
          <w:color w:val="000000" w:themeColor="text1"/>
          <w:sz w:val="24"/>
          <w:szCs w:val="24"/>
        </w:rPr>
        <w:t>Important accounting topics covered by both businesses include goodwill, inventory valuation, margin recognition, and procedures for the impairment of intangible assets</w:t>
      </w:r>
      <w:r w:rsidR="00533B23">
        <w:rPr>
          <w:rFonts w:ascii="Calibri" w:hAnsi="Calibri" w:cs="Calibri"/>
          <w:color w:val="000000" w:themeColor="text1"/>
          <w:sz w:val="24"/>
          <w:szCs w:val="24"/>
        </w:rPr>
        <w:t xml:space="preserve"> </w:t>
      </w:r>
      <w:r w:rsidR="00533B23" w:rsidRPr="00533B23">
        <w:rPr>
          <w:rFonts w:ascii="Calibri" w:hAnsi="Calibri" w:cs="Calibri"/>
          <w:color w:val="000000" w:themeColor="text1"/>
          <w:sz w:val="24"/>
          <w:szCs w:val="24"/>
        </w:rPr>
        <w:t>(The UK Corporate Governance Code, 2018)</w:t>
      </w:r>
      <w:r w:rsidR="00DF5A8F" w:rsidRPr="00DF5A8F">
        <w:rPr>
          <w:rFonts w:ascii="Calibri" w:hAnsi="Calibri" w:cs="Calibri"/>
          <w:color w:val="000000" w:themeColor="text1"/>
          <w:sz w:val="24"/>
          <w:szCs w:val="24"/>
        </w:rPr>
        <w:t>. While Barratt appears to have a collection of internal rules that</w:t>
      </w:r>
      <w:r w:rsidR="00533B23">
        <w:rPr>
          <w:rFonts w:ascii="Calibri" w:hAnsi="Calibri" w:cs="Calibri"/>
          <w:color w:val="000000" w:themeColor="text1"/>
          <w:sz w:val="24"/>
          <w:szCs w:val="24"/>
        </w:rPr>
        <w:t>, when taken together,</w:t>
      </w:r>
      <w:r w:rsidR="00DF5A8F" w:rsidRPr="00DF5A8F">
        <w:rPr>
          <w:rFonts w:ascii="Calibri" w:hAnsi="Calibri" w:cs="Calibri"/>
          <w:color w:val="000000" w:themeColor="text1"/>
          <w:sz w:val="24"/>
          <w:szCs w:val="24"/>
        </w:rPr>
        <w:t xml:space="preserve"> conform to the principles of the Code, Berkeley appears to employ the Code explicitly in its governance practices. </w:t>
      </w:r>
    </w:p>
    <w:p w14:paraId="70BE4DDE" w14:textId="7A3FDE57" w:rsidR="007751F2" w:rsidRDefault="00DF5A8F" w:rsidP="00265EA6">
      <w:pPr>
        <w:spacing w:after="0" w:line="360" w:lineRule="auto"/>
        <w:jc w:val="both"/>
        <w:rPr>
          <w:rFonts w:ascii="Calibri" w:hAnsi="Calibri" w:cs="Calibri"/>
          <w:color w:val="000000" w:themeColor="text1"/>
          <w:sz w:val="24"/>
          <w:szCs w:val="24"/>
        </w:rPr>
      </w:pPr>
      <w:r w:rsidRPr="00DF5A8F">
        <w:rPr>
          <w:rFonts w:ascii="Calibri" w:hAnsi="Calibri" w:cs="Calibri"/>
          <w:color w:val="000000" w:themeColor="text1"/>
          <w:sz w:val="24"/>
          <w:szCs w:val="24"/>
        </w:rPr>
        <w:lastRenderedPageBreak/>
        <w:t xml:space="preserve">Compared to Berkeley, Barratt's governance is better disclosed and of a higher </w:t>
      </w:r>
      <w:r w:rsidR="00533B23" w:rsidRPr="00DF5A8F">
        <w:rPr>
          <w:rFonts w:ascii="Calibri" w:hAnsi="Calibri" w:cs="Calibri"/>
          <w:color w:val="000000" w:themeColor="text1"/>
          <w:sz w:val="24"/>
          <w:szCs w:val="24"/>
        </w:rPr>
        <w:t>caliber</w:t>
      </w:r>
      <w:r w:rsidRPr="00DF5A8F">
        <w:rPr>
          <w:rFonts w:ascii="Calibri" w:hAnsi="Calibri" w:cs="Calibri"/>
          <w:color w:val="000000" w:themeColor="text1"/>
          <w:sz w:val="24"/>
          <w:szCs w:val="24"/>
        </w:rPr>
        <w:t>. Both businesses reveal that they have given the 2018 Code a comparable amount of thought and work</w:t>
      </w:r>
      <w:r w:rsidR="007751F2">
        <w:rPr>
          <w:rFonts w:ascii="Calibri" w:hAnsi="Calibri" w:cs="Calibri"/>
          <w:color w:val="000000" w:themeColor="text1"/>
          <w:sz w:val="24"/>
          <w:szCs w:val="24"/>
        </w:rPr>
        <w:t xml:space="preserve">. </w:t>
      </w:r>
    </w:p>
    <w:p w14:paraId="39B7A0AD" w14:textId="42FD8B30" w:rsidR="00DF5A8F" w:rsidRDefault="007751F2" w:rsidP="00265EA6">
      <w:pPr>
        <w:spacing w:after="0" w:line="360" w:lineRule="auto"/>
        <w:jc w:val="both"/>
        <w:rPr>
          <w:rFonts w:ascii="Calibri" w:hAnsi="Calibri" w:cs="Calibri"/>
          <w:color w:val="000000" w:themeColor="text1"/>
          <w:sz w:val="24"/>
          <w:szCs w:val="24"/>
        </w:rPr>
      </w:pPr>
      <w:r>
        <w:rPr>
          <w:rFonts w:ascii="Calibri" w:hAnsi="Calibri" w:cs="Calibri"/>
          <w:color w:val="000000" w:themeColor="text1"/>
          <w:sz w:val="24"/>
          <w:szCs w:val="24"/>
        </w:rPr>
        <w:t>Barratt Developments PLC appears to have a more comprehensive and higher-quality approach to corporate governance, particularly in the areas of executive remuneration and audit, risk,</w:t>
      </w:r>
      <w:r w:rsidR="00923F6C" w:rsidRPr="00704BC1">
        <w:rPr>
          <w:rFonts w:ascii="Calibri" w:hAnsi="Calibri" w:cs="Calibri"/>
          <w:color w:val="000000" w:themeColor="text1"/>
          <w:sz w:val="24"/>
          <w:szCs w:val="24"/>
        </w:rPr>
        <w:t xml:space="preserve"> and internal control</w:t>
      </w:r>
      <w:r w:rsidR="00265EA6">
        <w:rPr>
          <w:rFonts w:ascii="Calibri" w:hAnsi="Calibri" w:cs="Calibri"/>
          <w:color w:val="000000" w:themeColor="text1"/>
          <w:sz w:val="24"/>
          <w:szCs w:val="24"/>
        </w:rPr>
        <w:t>.</w:t>
      </w:r>
      <w:r>
        <w:rPr>
          <w:rFonts w:ascii="Calibri" w:hAnsi="Calibri" w:cs="Calibri"/>
          <w:color w:val="000000" w:themeColor="text1"/>
          <w:sz w:val="24"/>
          <w:szCs w:val="24"/>
        </w:rPr>
        <w:t xml:space="preserve"> </w:t>
      </w:r>
      <w:r w:rsidR="00923F6C" w:rsidRPr="007F5A11">
        <w:rPr>
          <w:rFonts w:ascii="Calibri" w:hAnsi="Calibri" w:cs="Calibri"/>
          <w:color w:val="000000" w:themeColor="text1"/>
          <w:sz w:val="24"/>
          <w:szCs w:val="24"/>
        </w:rPr>
        <w:t>Barratt Developments PLC has made commendable efforts to align with the UK Corporate Governance Code's directives. The company's report reflects a profound engagement with the Code, proactively addressing any deviations. A notable instance was the adjustment of executive director pension contributions to achieve full compliance with Provision 38 by January 1, 2023.</w:t>
      </w:r>
      <w:r>
        <w:rPr>
          <w:rFonts w:ascii="Calibri" w:hAnsi="Calibri" w:cs="Calibri"/>
          <w:color w:val="000000" w:themeColor="text1"/>
          <w:sz w:val="24"/>
          <w:szCs w:val="24"/>
        </w:rPr>
        <w:t xml:space="preserve"> </w:t>
      </w:r>
      <w:r w:rsidR="00923F6C" w:rsidRPr="007F5A11">
        <w:rPr>
          <w:rFonts w:ascii="Calibri" w:hAnsi="Calibri" w:cs="Calibri"/>
          <w:color w:val="000000" w:themeColor="text1"/>
          <w:sz w:val="24"/>
          <w:szCs w:val="24"/>
        </w:rPr>
        <w:t xml:space="preserve">Barratt Developments PLC's governance strategy actively embodies the Code's principles. The company provides extensive disclosures that align with </w:t>
      </w:r>
      <w:r w:rsidR="00265EA6">
        <w:rPr>
          <w:rFonts w:ascii="Calibri" w:hAnsi="Calibri" w:cs="Calibri"/>
          <w:color w:val="000000" w:themeColor="text1"/>
          <w:sz w:val="24"/>
          <w:szCs w:val="24"/>
        </w:rPr>
        <w:t>FRC, FCA, and BEIS regulations</w:t>
      </w:r>
      <w:r w:rsidR="00923F6C" w:rsidRPr="007F5A11">
        <w:rPr>
          <w:rFonts w:ascii="Calibri" w:hAnsi="Calibri" w:cs="Calibri"/>
          <w:color w:val="000000" w:themeColor="text1"/>
          <w:sz w:val="24"/>
          <w:szCs w:val="24"/>
        </w:rPr>
        <w:t xml:space="preserve">. The annual report goes into detail on how the Company applies the Code's principles, including risk management, internal controls, financial reporting, and board diversity, with the latter receiving particular focus in the Nomination Committee Report as part of the company's commitment to inclusive leadership. </w:t>
      </w:r>
      <w:r w:rsidR="007A60DB" w:rsidRPr="007A60DB">
        <w:rPr>
          <w:rFonts w:ascii="Calibri" w:hAnsi="Calibri" w:cs="Calibri"/>
          <w:color w:val="000000" w:themeColor="text1"/>
          <w:sz w:val="24"/>
          <w:szCs w:val="24"/>
        </w:rPr>
        <w:t>The Board has demonstrated its active involvement in governance matters by regularly attending meetings and endorsing the annual report and accounts as just and comprehensible</w:t>
      </w:r>
      <w:r w:rsidR="00923F6C" w:rsidRPr="007F5A11">
        <w:rPr>
          <w:rFonts w:ascii="Calibri" w:hAnsi="Calibri" w:cs="Calibri"/>
          <w:color w:val="000000" w:themeColor="text1"/>
          <w:sz w:val="24"/>
          <w:szCs w:val="24"/>
        </w:rPr>
        <w:t>.</w:t>
      </w:r>
      <w:r w:rsidR="00923F6C">
        <w:rPr>
          <w:rFonts w:ascii="Calibri" w:hAnsi="Calibri" w:cs="Calibri"/>
          <w:color w:val="000000" w:themeColor="text1"/>
          <w:sz w:val="24"/>
          <w:szCs w:val="24"/>
        </w:rPr>
        <w:t xml:space="preserve"> </w:t>
      </w:r>
      <w:r w:rsidR="00923F6C" w:rsidRPr="007F5A11">
        <w:rPr>
          <w:rFonts w:ascii="Calibri" w:hAnsi="Calibri" w:cs="Calibri"/>
          <w:color w:val="000000" w:themeColor="text1"/>
          <w:sz w:val="24"/>
          <w:szCs w:val="24"/>
        </w:rPr>
        <w:t xml:space="preserve">In its corporate governance statement, Barratt Developments PLC addresses key areas such as financial reporting, risk management, stakeholder engagement, and remuneration policies, </w:t>
      </w:r>
      <w:r w:rsidR="00923F6C">
        <w:rPr>
          <w:rFonts w:ascii="Calibri" w:hAnsi="Calibri" w:cs="Calibri"/>
          <w:color w:val="000000" w:themeColor="text1"/>
          <w:sz w:val="24"/>
          <w:szCs w:val="24"/>
        </w:rPr>
        <w:t xml:space="preserve">which are </w:t>
      </w:r>
      <w:r w:rsidR="00923F6C" w:rsidRPr="007F5A11">
        <w:rPr>
          <w:rFonts w:ascii="Calibri" w:hAnsi="Calibri" w:cs="Calibri"/>
          <w:color w:val="000000" w:themeColor="text1"/>
          <w:sz w:val="24"/>
          <w:szCs w:val="24"/>
        </w:rPr>
        <w:t>consistent with the Listing Rules. The Independent Auditor's Report reinforces the reliability of the company's financial statements and the soundness of its accounting practices.</w:t>
      </w:r>
      <w:r w:rsidR="00923F6C">
        <w:rPr>
          <w:rFonts w:ascii="Calibri" w:hAnsi="Calibri" w:cs="Calibri"/>
          <w:color w:val="000000" w:themeColor="text1"/>
          <w:sz w:val="24"/>
          <w:szCs w:val="24"/>
        </w:rPr>
        <w:t xml:space="preserve"> </w:t>
      </w:r>
      <w:r w:rsidR="00923F6C" w:rsidRPr="007F5A11">
        <w:rPr>
          <w:rFonts w:ascii="Calibri" w:hAnsi="Calibri" w:cs="Calibri"/>
          <w:color w:val="000000" w:themeColor="text1"/>
          <w:sz w:val="24"/>
          <w:szCs w:val="24"/>
        </w:rPr>
        <w:t>Moreover, the company's governance practices extend to encompass sustainability, accountability, and transparency. Barratt Developments PLC proactively engages in self-evaluation, regulator interaction, and efforts to advance diversity and inclusion.</w:t>
      </w:r>
      <w:r>
        <w:rPr>
          <w:rFonts w:ascii="Calibri" w:hAnsi="Calibri" w:cs="Calibri"/>
          <w:color w:val="000000" w:themeColor="text1"/>
          <w:sz w:val="24"/>
          <w:szCs w:val="24"/>
        </w:rPr>
        <w:t xml:space="preserve"> </w:t>
      </w:r>
      <w:r w:rsidR="00923F6C" w:rsidRPr="007F5A11">
        <w:rPr>
          <w:rFonts w:ascii="Calibri" w:hAnsi="Calibri" w:cs="Calibri"/>
          <w:color w:val="000000" w:themeColor="text1"/>
          <w:sz w:val="24"/>
          <w:szCs w:val="24"/>
        </w:rPr>
        <w:t>Barratt Developments PLC exemplifies a strong commitment to corporate governance, demonstrating transparency, accountability, and regulatory compliance. The company integrates sound governance with corporate responsibility initiatives, establishing itself as a paragon in the field of governance.</w:t>
      </w:r>
      <w:r w:rsidR="00F23EFE">
        <w:rPr>
          <w:rFonts w:ascii="Calibri" w:hAnsi="Calibri" w:cs="Calibri"/>
          <w:color w:val="000000" w:themeColor="text1"/>
          <w:sz w:val="24"/>
          <w:szCs w:val="24"/>
        </w:rPr>
        <w:t xml:space="preserve"> </w:t>
      </w:r>
      <w:r w:rsidR="00923F6C">
        <w:rPr>
          <w:rFonts w:ascii="Calibri" w:hAnsi="Calibri" w:cs="Calibri"/>
          <w:color w:val="000000" w:themeColor="text1"/>
          <w:sz w:val="24"/>
          <w:szCs w:val="24"/>
        </w:rPr>
        <w:t xml:space="preserve">As per its annual report, Berkeley Group Holdings PLC </w:t>
      </w:r>
      <w:r w:rsidR="00923F6C" w:rsidRPr="007F5A11">
        <w:rPr>
          <w:rFonts w:ascii="Calibri" w:hAnsi="Calibri" w:cs="Calibri"/>
          <w:color w:val="000000" w:themeColor="text1"/>
          <w:sz w:val="24"/>
          <w:szCs w:val="24"/>
        </w:rPr>
        <w:t xml:space="preserve">adopts a holistic governance strategy that adheres to the </w:t>
      </w:r>
      <w:r w:rsidR="00F23EFE">
        <w:rPr>
          <w:rFonts w:ascii="Calibri" w:hAnsi="Calibri" w:cs="Calibri"/>
          <w:color w:val="000000" w:themeColor="text1"/>
          <w:sz w:val="24"/>
          <w:szCs w:val="24"/>
        </w:rPr>
        <w:t>UK Corporate Governance Code principles</w:t>
      </w:r>
      <w:r w:rsidR="00923F6C" w:rsidRPr="007F5A11">
        <w:rPr>
          <w:rFonts w:ascii="Calibri" w:hAnsi="Calibri" w:cs="Calibri"/>
          <w:color w:val="000000" w:themeColor="text1"/>
          <w:sz w:val="24"/>
          <w:szCs w:val="24"/>
        </w:rPr>
        <w:t xml:space="preserve">. </w:t>
      </w:r>
    </w:p>
    <w:p w14:paraId="60E5F4CD" w14:textId="77777777" w:rsidR="00533B23" w:rsidRDefault="00923F6C" w:rsidP="00265EA6">
      <w:pPr>
        <w:spacing w:after="0" w:line="360" w:lineRule="auto"/>
        <w:jc w:val="both"/>
        <w:rPr>
          <w:rFonts w:ascii="Calibri" w:hAnsi="Calibri" w:cs="Calibri"/>
          <w:color w:val="000000" w:themeColor="text1"/>
          <w:sz w:val="24"/>
          <w:szCs w:val="24"/>
        </w:rPr>
      </w:pPr>
      <w:r w:rsidRPr="007F5A11">
        <w:rPr>
          <w:rFonts w:ascii="Calibri" w:hAnsi="Calibri" w:cs="Calibri"/>
          <w:color w:val="000000" w:themeColor="text1"/>
          <w:sz w:val="24"/>
          <w:szCs w:val="24"/>
        </w:rPr>
        <w:t xml:space="preserve">For the 2018/19 fiscal year, the company has not only </w:t>
      </w:r>
      <w:proofErr w:type="spellStart"/>
      <w:r>
        <w:rPr>
          <w:rFonts w:ascii="Calibri" w:hAnsi="Calibri" w:cs="Calibri"/>
          <w:color w:val="000000" w:themeColor="text1"/>
          <w:sz w:val="24"/>
          <w:szCs w:val="24"/>
        </w:rPr>
        <w:t>recognised</w:t>
      </w:r>
      <w:proofErr w:type="spellEnd"/>
      <w:r w:rsidRPr="007F5A11">
        <w:rPr>
          <w:rFonts w:ascii="Calibri" w:hAnsi="Calibri" w:cs="Calibri"/>
          <w:color w:val="000000" w:themeColor="text1"/>
          <w:sz w:val="24"/>
          <w:szCs w:val="24"/>
        </w:rPr>
        <w:t xml:space="preserve"> the significance of the Code but also claimed full compliance. </w:t>
      </w:r>
    </w:p>
    <w:p w14:paraId="08E335FF" w14:textId="0361FAFA" w:rsidR="007751F2" w:rsidRDefault="00923F6C" w:rsidP="00265EA6">
      <w:pPr>
        <w:spacing w:after="0" w:line="360" w:lineRule="auto"/>
        <w:jc w:val="both"/>
        <w:rPr>
          <w:rFonts w:ascii="Calibri" w:hAnsi="Calibri" w:cs="Calibri"/>
          <w:color w:val="000000" w:themeColor="text1"/>
          <w:sz w:val="24"/>
          <w:szCs w:val="24"/>
        </w:rPr>
      </w:pPr>
      <w:r w:rsidRPr="007F5A11">
        <w:rPr>
          <w:rFonts w:ascii="Calibri" w:hAnsi="Calibri" w:cs="Calibri"/>
          <w:color w:val="000000" w:themeColor="text1"/>
          <w:sz w:val="24"/>
          <w:szCs w:val="24"/>
        </w:rPr>
        <w:lastRenderedPageBreak/>
        <w:t>The company's governance practices, from Board structure to policy implementation, reflect a firm commitment to the Code's core principles</w:t>
      </w:r>
      <w:r w:rsidR="00533B23">
        <w:rPr>
          <w:rFonts w:ascii="Calibri" w:hAnsi="Calibri" w:cs="Calibri"/>
          <w:color w:val="000000" w:themeColor="text1"/>
          <w:sz w:val="24"/>
          <w:szCs w:val="24"/>
        </w:rPr>
        <w:t xml:space="preserve"> </w:t>
      </w:r>
      <w:r w:rsidR="00533B23" w:rsidRPr="00533B23">
        <w:rPr>
          <w:rFonts w:ascii="Calibri" w:hAnsi="Calibri" w:cs="Calibri"/>
          <w:color w:val="000000" w:themeColor="text1"/>
          <w:sz w:val="24"/>
          <w:szCs w:val="24"/>
        </w:rPr>
        <w:t>(The UK Corporate Governance Code, 2018)</w:t>
      </w:r>
      <w:r w:rsidRPr="007F5A11">
        <w:rPr>
          <w:rFonts w:ascii="Calibri" w:hAnsi="Calibri" w:cs="Calibri"/>
          <w:color w:val="000000" w:themeColor="text1"/>
          <w:sz w:val="24"/>
          <w:szCs w:val="24"/>
        </w:rPr>
        <w:t xml:space="preserve">. </w:t>
      </w:r>
    </w:p>
    <w:p w14:paraId="5ADE637A" w14:textId="77777777" w:rsidR="00533B23" w:rsidRDefault="00923F6C" w:rsidP="00265EA6">
      <w:pPr>
        <w:spacing w:after="0" w:line="360" w:lineRule="auto"/>
        <w:jc w:val="both"/>
        <w:rPr>
          <w:rFonts w:ascii="Calibri" w:hAnsi="Calibri" w:cs="Calibri"/>
          <w:color w:val="000000" w:themeColor="text1"/>
          <w:sz w:val="24"/>
          <w:szCs w:val="24"/>
        </w:rPr>
      </w:pPr>
      <w:r w:rsidRPr="007F5A11">
        <w:rPr>
          <w:rFonts w:ascii="Calibri" w:hAnsi="Calibri" w:cs="Calibri"/>
          <w:color w:val="000000" w:themeColor="text1"/>
          <w:sz w:val="24"/>
          <w:szCs w:val="24"/>
        </w:rPr>
        <w:t xml:space="preserve">The Board </w:t>
      </w:r>
      <w:r>
        <w:rPr>
          <w:rFonts w:ascii="Calibri" w:hAnsi="Calibri" w:cs="Calibri"/>
          <w:color w:val="000000" w:themeColor="text1"/>
          <w:sz w:val="24"/>
          <w:szCs w:val="24"/>
        </w:rPr>
        <w:t>comprises</w:t>
      </w:r>
      <w:r w:rsidRPr="007F5A11">
        <w:rPr>
          <w:rFonts w:ascii="Calibri" w:hAnsi="Calibri" w:cs="Calibri"/>
          <w:color w:val="000000" w:themeColor="text1"/>
          <w:sz w:val="24"/>
          <w:szCs w:val="24"/>
        </w:rPr>
        <w:t xml:space="preserve"> sixteen Directors, balancing skills, experience, and independence, with a structure designed to prevent decision-making dominance by any individual or subgroup, in line with the Code's guidelines.</w:t>
      </w:r>
      <w:r>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 xml:space="preserve">Director biographies in the report promote transparency and enable stakeholders to judge the Board's collective competence and governance effectiveness. The Board's proactive </w:t>
      </w:r>
      <w:r>
        <w:rPr>
          <w:rFonts w:ascii="Calibri" w:hAnsi="Calibri" w:cs="Calibri"/>
          <w:color w:val="000000" w:themeColor="text1"/>
          <w:sz w:val="24"/>
          <w:szCs w:val="24"/>
        </w:rPr>
        <w:t xml:space="preserve">composition review and succession planning stance </w:t>
      </w:r>
      <w:r w:rsidRPr="007F5A11">
        <w:rPr>
          <w:rFonts w:ascii="Calibri" w:hAnsi="Calibri" w:cs="Calibri"/>
          <w:color w:val="000000" w:themeColor="text1"/>
          <w:sz w:val="24"/>
          <w:szCs w:val="24"/>
        </w:rPr>
        <w:t>highlights its governance excellence.</w:t>
      </w:r>
      <w:r w:rsidR="007751F2">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 xml:space="preserve">While Berkeley Group's board includes 25% female directors, falling short of the Hampton-Alexander Review target, it does </w:t>
      </w:r>
      <w:proofErr w:type="spellStart"/>
      <w:r>
        <w:rPr>
          <w:rFonts w:ascii="Calibri" w:hAnsi="Calibri" w:cs="Calibri"/>
          <w:color w:val="000000" w:themeColor="text1"/>
          <w:sz w:val="24"/>
          <w:szCs w:val="24"/>
        </w:rPr>
        <w:t>emphasise</w:t>
      </w:r>
      <w:proofErr w:type="spellEnd"/>
      <w:r w:rsidRPr="007F5A11">
        <w:rPr>
          <w:rFonts w:ascii="Calibri" w:hAnsi="Calibri" w:cs="Calibri"/>
          <w:color w:val="000000" w:themeColor="text1"/>
          <w:sz w:val="24"/>
          <w:szCs w:val="24"/>
        </w:rPr>
        <w:t xml:space="preserve"> a merit-based selection process. This demonstrates the company's balance between diversity goals and meritocracy. Berkeley Group's remuneration policies are transparent, </w:t>
      </w:r>
      <w:r>
        <w:rPr>
          <w:rFonts w:ascii="Calibri" w:hAnsi="Calibri" w:cs="Calibri"/>
          <w:color w:val="000000" w:themeColor="text1"/>
          <w:sz w:val="24"/>
          <w:szCs w:val="24"/>
        </w:rPr>
        <w:t>engage shareholders actively, and align</w:t>
      </w:r>
      <w:r w:rsidRPr="007F5A11">
        <w:rPr>
          <w:rFonts w:ascii="Calibri" w:hAnsi="Calibri" w:cs="Calibri"/>
          <w:color w:val="000000" w:themeColor="text1"/>
          <w:sz w:val="24"/>
          <w:szCs w:val="24"/>
        </w:rPr>
        <w:t xml:space="preserve"> with the 2018 Code revision.</w:t>
      </w:r>
      <w:r w:rsidR="007751F2">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The Board's governance role is comprehensive, providing strategic direction and setting long-term goals for sustainable success</w:t>
      </w:r>
      <w:r w:rsidR="007751F2">
        <w:rPr>
          <w:rFonts w:ascii="Calibri" w:hAnsi="Calibri" w:cs="Calibri"/>
          <w:color w:val="000000" w:themeColor="text1"/>
          <w:sz w:val="24"/>
          <w:szCs w:val="24"/>
        </w:rPr>
        <w:t>. This is</w:t>
      </w:r>
      <w:r w:rsidRPr="007F5A11">
        <w:rPr>
          <w:rFonts w:ascii="Calibri" w:hAnsi="Calibri" w:cs="Calibri"/>
          <w:color w:val="000000" w:themeColor="text1"/>
          <w:sz w:val="24"/>
          <w:szCs w:val="24"/>
        </w:rPr>
        <w:t xml:space="preserve"> evidenced by its involvement in business strategy, risk management, and compliance with Listing Rules. The Board's commitment to ethical governance extends to health and safety, fire safety, modern slavery, and tax policy. The Audit Committee's financial scrutiny is central to the governance framework, and the competitive auditor appointment process complies with the Code's audit and accountability provisions.</w:t>
      </w:r>
      <w:r w:rsidR="007751F2">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Berkeley Group's embrace of ESG factors reflects a modern approach to corporate responsibility, with proactive engagement with the Environment Bill 2020 and other sustainability initiatives indicating a forward-thinking business ethos. The company's adherence to Section 172 of the Companies Act 2006 underscores its broader corporate responsibilities, and policies like Whistleblowing and thorough financial audits signify a culture of accountability and transparency.</w:t>
      </w:r>
      <w:r w:rsidR="00FA560A">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In conclusion, Berkeley Group Holdings PLC's annual report clearly communicates its commitment to the UK Corporate Governance Code's principles and provisions. With a robust governance structure promoting transparency, accountability, and ethical leadership, the company demonstrates a dynamic and principled governance approach.</w:t>
      </w:r>
      <w:r w:rsidR="007751F2">
        <w:rPr>
          <w:rFonts w:ascii="Calibri" w:hAnsi="Calibri" w:cs="Calibri"/>
          <w:color w:val="000000" w:themeColor="text1"/>
          <w:sz w:val="24"/>
          <w:szCs w:val="24"/>
        </w:rPr>
        <w:t xml:space="preserve"> </w:t>
      </w:r>
      <w:r w:rsidRPr="007F5A11">
        <w:rPr>
          <w:rFonts w:ascii="Calibri" w:hAnsi="Calibri" w:cs="Calibri"/>
          <w:color w:val="000000" w:themeColor="text1"/>
          <w:sz w:val="24"/>
          <w:szCs w:val="24"/>
        </w:rPr>
        <w:t xml:space="preserve">Barratt Development PLC and Berkeley Group Holdings exemplify their commitment to corporate governance through board structures and policy implementations that align with the UK Corporate Governance Code. </w:t>
      </w:r>
    </w:p>
    <w:p w14:paraId="0E29FD21" w14:textId="70ED4E36" w:rsidR="007751F2" w:rsidRDefault="00923F6C" w:rsidP="00265EA6">
      <w:pPr>
        <w:spacing w:after="0" w:line="360" w:lineRule="auto"/>
        <w:jc w:val="both"/>
        <w:rPr>
          <w:rFonts w:ascii="Calibri" w:hAnsi="Calibri" w:cs="Calibri"/>
          <w:color w:val="000000" w:themeColor="text1"/>
          <w:sz w:val="24"/>
          <w:szCs w:val="24"/>
        </w:rPr>
      </w:pPr>
      <w:r w:rsidRPr="007F5A11">
        <w:rPr>
          <w:rFonts w:ascii="Calibri" w:hAnsi="Calibri" w:cs="Calibri"/>
          <w:color w:val="000000" w:themeColor="text1"/>
          <w:sz w:val="24"/>
          <w:szCs w:val="24"/>
        </w:rPr>
        <w:lastRenderedPageBreak/>
        <w:t>Each company has non-executive</w:t>
      </w:r>
      <w:r w:rsidR="007A60DB">
        <w:rPr>
          <w:rFonts w:ascii="Calibri" w:hAnsi="Calibri" w:cs="Calibri"/>
          <w:color w:val="000000" w:themeColor="text1"/>
          <w:sz w:val="24"/>
          <w:szCs w:val="24"/>
        </w:rPr>
        <w:t xml:space="preserve"> independent</w:t>
      </w:r>
      <w:r w:rsidRPr="007F5A11">
        <w:rPr>
          <w:rFonts w:ascii="Calibri" w:hAnsi="Calibri" w:cs="Calibri"/>
          <w:color w:val="000000" w:themeColor="text1"/>
          <w:sz w:val="24"/>
          <w:szCs w:val="24"/>
        </w:rPr>
        <w:t xml:space="preserve"> directors, fulfilling the Code's emphasis on independence and diversity. Furthermore, dedicated remuneration committees oversee executive compensation, aligning with principles of fairness and transparency.</w:t>
      </w:r>
      <w:r>
        <w:rPr>
          <w:rFonts w:ascii="Calibri" w:hAnsi="Calibri" w:cs="Calibri"/>
          <w:color w:val="000000" w:themeColor="text1"/>
          <w:sz w:val="24"/>
          <w:szCs w:val="24"/>
        </w:rPr>
        <w:t xml:space="preserve"> </w:t>
      </w:r>
    </w:p>
    <w:p w14:paraId="0B1CDE3D" w14:textId="0AC8B69D" w:rsidR="00923F6C" w:rsidRPr="007F5A11" w:rsidRDefault="00923F6C" w:rsidP="00265EA6">
      <w:pPr>
        <w:spacing w:after="0" w:line="360" w:lineRule="auto"/>
        <w:jc w:val="both"/>
        <w:rPr>
          <w:rFonts w:ascii="Calibri" w:hAnsi="Calibri" w:cs="Calibri"/>
          <w:color w:val="000000" w:themeColor="text1"/>
          <w:sz w:val="24"/>
          <w:szCs w:val="24"/>
        </w:rPr>
      </w:pPr>
      <w:r w:rsidRPr="007F5A11">
        <w:rPr>
          <w:rFonts w:ascii="Calibri" w:hAnsi="Calibri" w:cs="Calibri"/>
          <w:color w:val="000000" w:themeColor="text1"/>
          <w:sz w:val="24"/>
          <w:szCs w:val="24"/>
        </w:rPr>
        <w:t>Both companies provide comprehensive financial disclosures and maintain active shareholder engagement, meeting the Code's transparency and reporting requirements. Barratt Development PLC and Berkeley Group Holdings have each demonstrated an unwavering dedication to corporate governance and alignment with the UK Corporate Governance Code.</w:t>
      </w:r>
      <w:r w:rsidR="008A299F">
        <w:rPr>
          <w:rFonts w:ascii="Calibri" w:hAnsi="Calibri" w:cs="Calibri"/>
          <w:color w:val="000000" w:themeColor="text1"/>
          <w:sz w:val="24"/>
          <w:szCs w:val="24"/>
        </w:rPr>
        <w:t xml:space="preserve"> </w:t>
      </w:r>
      <w:r w:rsidR="007A60DB" w:rsidRPr="007A60DB">
        <w:rPr>
          <w:rFonts w:ascii="Calibri" w:hAnsi="Calibri" w:cs="Calibri"/>
          <w:color w:val="000000" w:themeColor="text1"/>
          <w:sz w:val="24"/>
          <w:szCs w:val="24"/>
        </w:rPr>
        <w:t xml:space="preserve">Berkeley uses the Code directly from its Governance policies; Barratt, on the other hand, seems to work with a set of internal regulations that when put together, conform to the Principles of the Code. But after evaluating, I believe Barratt's Governance to be more transparent and of greater quality. The </w:t>
      </w:r>
      <w:proofErr w:type="spellStart"/>
      <w:r w:rsidR="007A60DB" w:rsidRPr="007A60DB">
        <w:rPr>
          <w:rFonts w:ascii="Calibri" w:hAnsi="Calibri" w:cs="Calibri"/>
          <w:color w:val="000000" w:themeColor="text1"/>
          <w:sz w:val="24"/>
          <w:szCs w:val="24"/>
        </w:rPr>
        <w:t>organisations</w:t>
      </w:r>
      <w:proofErr w:type="spellEnd"/>
      <w:r w:rsidR="007A60DB" w:rsidRPr="007A60DB">
        <w:rPr>
          <w:rFonts w:ascii="Calibri" w:hAnsi="Calibri" w:cs="Calibri"/>
          <w:color w:val="000000" w:themeColor="text1"/>
          <w:sz w:val="24"/>
          <w:szCs w:val="24"/>
        </w:rPr>
        <w:t xml:space="preserve"> </w:t>
      </w:r>
      <w:proofErr w:type="spellStart"/>
      <w:r w:rsidR="007A60DB" w:rsidRPr="007A60DB">
        <w:rPr>
          <w:rFonts w:ascii="Calibri" w:hAnsi="Calibri" w:cs="Calibri"/>
          <w:color w:val="000000" w:themeColor="text1"/>
          <w:sz w:val="24"/>
          <w:szCs w:val="24"/>
        </w:rPr>
        <w:t>utilise</w:t>
      </w:r>
      <w:proofErr w:type="spellEnd"/>
      <w:r w:rsidR="007A60DB" w:rsidRPr="007A60DB">
        <w:rPr>
          <w:rFonts w:ascii="Calibri" w:hAnsi="Calibri" w:cs="Calibri"/>
          <w:color w:val="000000" w:themeColor="text1"/>
          <w:sz w:val="24"/>
          <w:szCs w:val="24"/>
        </w:rPr>
        <w:t xml:space="preserve"> distinct approaches concerning board engagement and quality</w:t>
      </w:r>
      <w:r w:rsidR="008A299F" w:rsidRPr="008A299F">
        <w:rPr>
          <w:rFonts w:ascii="Calibri" w:hAnsi="Calibri" w:cs="Calibri"/>
          <w:color w:val="000000" w:themeColor="text1"/>
          <w:sz w:val="24"/>
          <w:szCs w:val="24"/>
        </w:rPr>
        <w:t xml:space="preserve">. Barratt boasts a smaller but more active Board, albeit somewhat less independent. </w:t>
      </w:r>
      <w:r w:rsidR="004F6D88" w:rsidRPr="004F6D88">
        <w:rPr>
          <w:rFonts w:ascii="Calibri" w:hAnsi="Calibri" w:cs="Calibri"/>
          <w:color w:val="000000" w:themeColor="text1"/>
          <w:sz w:val="24"/>
          <w:szCs w:val="24"/>
        </w:rPr>
        <w:t xml:space="preserve">Notably, Barratt </w:t>
      </w:r>
      <w:proofErr w:type="spellStart"/>
      <w:r w:rsidR="004F6D88" w:rsidRPr="004F6D88">
        <w:rPr>
          <w:rFonts w:ascii="Calibri" w:hAnsi="Calibri" w:cs="Calibri"/>
          <w:color w:val="000000" w:themeColor="text1"/>
          <w:sz w:val="24"/>
          <w:szCs w:val="24"/>
        </w:rPr>
        <w:t>prioritises</w:t>
      </w:r>
      <w:proofErr w:type="spellEnd"/>
      <w:r w:rsidR="004F6D88" w:rsidRPr="004F6D88">
        <w:rPr>
          <w:rFonts w:ascii="Calibri" w:hAnsi="Calibri" w:cs="Calibri"/>
          <w:color w:val="000000" w:themeColor="text1"/>
          <w:sz w:val="24"/>
          <w:szCs w:val="24"/>
        </w:rPr>
        <w:t xml:space="preserve"> director independence more highly. Berkeley's Board, on the other hand, has a higher proportion of independent non-executive directors and is larger but less active. On the other hand, Berkeley's audit governance seems less advanced than Barratt's. In terms of executive compensation, both businesses uphold excellent standards and disclosures. Nevertheless, I believe that Barratt's pay plan is better</w:t>
      </w:r>
      <w:r w:rsidR="008A299F" w:rsidRPr="008A299F">
        <w:rPr>
          <w:rFonts w:ascii="Calibri" w:hAnsi="Calibri" w:cs="Calibri"/>
          <w:color w:val="000000" w:themeColor="text1"/>
          <w:sz w:val="24"/>
          <w:szCs w:val="24"/>
        </w:rPr>
        <w:t>.</w:t>
      </w:r>
    </w:p>
    <w:p w14:paraId="6D867F82" w14:textId="77777777" w:rsidR="00923F6C" w:rsidRDefault="00923F6C" w:rsidP="00265EA6">
      <w:pPr>
        <w:spacing w:after="0" w:line="360" w:lineRule="auto"/>
        <w:jc w:val="both"/>
        <w:rPr>
          <w:rFonts w:ascii="Calibri" w:hAnsi="Calibri" w:cs="Calibri"/>
          <w:color w:val="000000" w:themeColor="text1"/>
        </w:rPr>
      </w:pPr>
    </w:p>
    <w:p w14:paraId="5BD684A7" w14:textId="77777777" w:rsidR="00923F6C" w:rsidRDefault="00923F6C" w:rsidP="00923F6C">
      <w:pPr>
        <w:spacing w:after="0" w:line="360" w:lineRule="auto"/>
        <w:jc w:val="both"/>
        <w:rPr>
          <w:rFonts w:ascii="Calibri" w:hAnsi="Calibri" w:cs="Calibri"/>
          <w:color w:val="000000" w:themeColor="text1"/>
        </w:rPr>
      </w:pPr>
    </w:p>
    <w:p w14:paraId="4FABE032" w14:textId="77777777" w:rsidR="00923F6C" w:rsidRDefault="00923F6C" w:rsidP="00923F6C">
      <w:pPr>
        <w:spacing w:after="0" w:line="360" w:lineRule="auto"/>
        <w:jc w:val="both"/>
        <w:rPr>
          <w:rFonts w:ascii="Calibri" w:hAnsi="Calibri" w:cs="Calibri"/>
          <w:color w:val="000000" w:themeColor="text1"/>
        </w:rPr>
      </w:pPr>
    </w:p>
    <w:p w14:paraId="0FC4BCBA" w14:textId="77777777" w:rsidR="00923F6C" w:rsidRDefault="00923F6C" w:rsidP="00923F6C">
      <w:pPr>
        <w:spacing w:after="0" w:line="360" w:lineRule="auto"/>
        <w:jc w:val="both"/>
        <w:rPr>
          <w:rFonts w:ascii="Calibri" w:hAnsi="Calibri" w:cs="Calibri"/>
          <w:color w:val="000000" w:themeColor="text1"/>
        </w:rPr>
      </w:pPr>
    </w:p>
    <w:p w14:paraId="0988E7E4" w14:textId="77777777" w:rsidR="00923F6C" w:rsidRDefault="00923F6C" w:rsidP="00923F6C">
      <w:pPr>
        <w:spacing w:after="0" w:line="360" w:lineRule="auto"/>
        <w:jc w:val="both"/>
        <w:rPr>
          <w:rFonts w:ascii="Calibri" w:hAnsi="Calibri" w:cs="Calibri"/>
          <w:color w:val="000000" w:themeColor="text1"/>
        </w:rPr>
      </w:pPr>
    </w:p>
    <w:p w14:paraId="6434D1C5" w14:textId="77777777" w:rsidR="00923F6C" w:rsidRDefault="00923F6C" w:rsidP="00923F6C">
      <w:pPr>
        <w:spacing w:after="0" w:line="360" w:lineRule="auto"/>
        <w:jc w:val="both"/>
        <w:rPr>
          <w:rFonts w:ascii="Calibri" w:hAnsi="Calibri" w:cs="Calibri"/>
          <w:color w:val="000000" w:themeColor="text1"/>
        </w:rPr>
      </w:pPr>
    </w:p>
    <w:p w14:paraId="59605865" w14:textId="77777777" w:rsidR="00923F6C" w:rsidRDefault="00923F6C" w:rsidP="00923F6C">
      <w:pPr>
        <w:spacing w:after="0" w:line="360" w:lineRule="auto"/>
        <w:jc w:val="both"/>
        <w:rPr>
          <w:rFonts w:ascii="Calibri" w:hAnsi="Calibri" w:cs="Calibri"/>
          <w:color w:val="000000" w:themeColor="text1"/>
        </w:rPr>
      </w:pPr>
    </w:p>
    <w:p w14:paraId="602BEEC2" w14:textId="77777777" w:rsidR="00923F6C" w:rsidRDefault="00923F6C" w:rsidP="00923F6C">
      <w:pPr>
        <w:spacing w:after="0" w:line="360" w:lineRule="auto"/>
        <w:jc w:val="both"/>
        <w:rPr>
          <w:rFonts w:ascii="Calibri" w:hAnsi="Calibri" w:cs="Calibri"/>
          <w:color w:val="000000" w:themeColor="text1"/>
        </w:rPr>
      </w:pPr>
    </w:p>
    <w:p w14:paraId="1073810A" w14:textId="77777777" w:rsidR="00923F6C" w:rsidRDefault="00923F6C" w:rsidP="00923F6C">
      <w:pPr>
        <w:spacing w:after="0" w:line="360" w:lineRule="auto"/>
        <w:jc w:val="both"/>
        <w:rPr>
          <w:rFonts w:ascii="Calibri" w:hAnsi="Calibri" w:cs="Calibri"/>
          <w:color w:val="000000" w:themeColor="text1"/>
        </w:rPr>
      </w:pPr>
    </w:p>
    <w:p w14:paraId="3A2A1A13" w14:textId="77777777" w:rsidR="00923F6C" w:rsidRDefault="00923F6C" w:rsidP="00923F6C">
      <w:pPr>
        <w:spacing w:after="0" w:line="360" w:lineRule="auto"/>
        <w:jc w:val="both"/>
        <w:rPr>
          <w:rFonts w:ascii="Calibri" w:hAnsi="Calibri" w:cs="Calibri"/>
          <w:color w:val="000000" w:themeColor="text1"/>
        </w:rPr>
      </w:pPr>
    </w:p>
    <w:p w14:paraId="7C3722A4" w14:textId="77777777" w:rsidR="00923F6C" w:rsidRDefault="00923F6C" w:rsidP="00923F6C">
      <w:pPr>
        <w:spacing w:after="0" w:line="360" w:lineRule="auto"/>
        <w:jc w:val="both"/>
        <w:rPr>
          <w:rFonts w:ascii="Calibri" w:hAnsi="Calibri" w:cs="Calibri"/>
          <w:color w:val="000000" w:themeColor="text1"/>
        </w:rPr>
      </w:pPr>
    </w:p>
    <w:p w14:paraId="6A38E250" w14:textId="77777777" w:rsidR="00923F6C" w:rsidRDefault="00923F6C" w:rsidP="00923F6C">
      <w:pPr>
        <w:spacing w:after="0" w:line="360" w:lineRule="auto"/>
        <w:jc w:val="both"/>
        <w:rPr>
          <w:rFonts w:ascii="Calibri" w:hAnsi="Calibri" w:cs="Calibri"/>
          <w:color w:val="000000" w:themeColor="text1"/>
        </w:rPr>
      </w:pPr>
    </w:p>
    <w:p w14:paraId="5A3776B5" w14:textId="77777777" w:rsidR="00E94C34" w:rsidRDefault="00E94C34" w:rsidP="00923F6C">
      <w:pPr>
        <w:spacing w:after="0" w:line="360" w:lineRule="auto"/>
        <w:jc w:val="both"/>
        <w:rPr>
          <w:rFonts w:ascii="Calibri" w:hAnsi="Calibri" w:cs="Calibri"/>
          <w:color w:val="000000" w:themeColor="text1"/>
        </w:rPr>
      </w:pPr>
    </w:p>
    <w:p w14:paraId="310DC631" w14:textId="3FC24564" w:rsidR="00923F6C" w:rsidRPr="00265EA6" w:rsidRDefault="00923F6C" w:rsidP="007F43D9">
      <w:pPr>
        <w:pStyle w:val="Heading1"/>
        <w:numPr>
          <w:ilvl w:val="0"/>
          <w:numId w:val="27"/>
        </w:numPr>
        <w:rPr>
          <w:rFonts w:asciiTheme="minorHAnsi" w:hAnsiTheme="minorHAnsi" w:cstheme="minorHAnsi"/>
          <w:b/>
          <w:bCs/>
          <w:sz w:val="40"/>
          <w:szCs w:val="40"/>
        </w:rPr>
      </w:pPr>
      <w:bookmarkStart w:id="41" w:name="_Toc165495788"/>
      <w:bookmarkStart w:id="42" w:name="_Toc165496513"/>
      <w:r w:rsidRPr="00265EA6">
        <w:rPr>
          <w:rFonts w:asciiTheme="minorHAnsi" w:hAnsiTheme="minorHAnsi" w:cstheme="minorHAnsi"/>
          <w:b/>
          <w:bCs/>
          <w:sz w:val="40"/>
          <w:szCs w:val="40"/>
        </w:rPr>
        <w:lastRenderedPageBreak/>
        <w:t>Appendix</w:t>
      </w:r>
      <w:bookmarkEnd w:id="41"/>
      <w:bookmarkEnd w:id="42"/>
    </w:p>
    <w:p w14:paraId="787910E0" w14:textId="77777777" w:rsidR="00923F6C" w:rsidRDefault="00923F6C" w:rsidP="00923F6C">
      <w:pPr>
        <w:spacing w:after="0" w:line="360" w:lineRule="auto"/>
        <w:jc w:val="both"/>
        <w:rPr>
          <w:rFonts w:ascii="Calibri" w:hAnsi="Calibri" w:cs="Calibri"/>
          <w:color w:val="000000" w:themeColor="text1"/>
        </w:rPr>
      </w:pPr>
    </w:p>
    <w:p w14:paraId="7200BDAE" w14:textId="77777777" w:rsidR="00111D1C" w:rsidRDefault="00923F6C" w:rsidP="00111D1C">
      <w:pPr>
        <w:keepNext/>
        <w:jc w:val="center"/>
      </w:pPr>
      <w:r>
        <w:rPr>
          <w:noProof/>
        </w:rPr>
        <w:drawing>
          <wp:inline distT="0" distB="0" distL="0" distR="0" wp14:anchorId="499BD367" wp14:editId="7A0A04EF">
            <wp:extent cx="4705350" cy="2609850"/>
            <wp:effectExtent l="0" t="0" r="0" b="0"/>
            <wp:docPr id="2128639897" name="Chart 1">
              <a:extLst xmlns:a="http://schemas.openxmlformats.org/drawingml/2006/main">
                <a:ext uri="{FF2B5EF4-FFF2-40B4-BE49-F238E27FC236}">
                  <a16:creationId xmlns:a16="http://schemas.microsoft.com/office/drawing/2014/main" id="{C2AD133C-F64E-10FF-F793-72A9C1F33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C76FC41" w14:textId="1F62C74E" w:rsidR="00923F6C" w:rsidRPr="00111D1C" w:rsidRDefault="00111D1C" w:rsidP="00111D1C">
      <w:pPr>
        <w:pStyle w:val="Caption"/>
        <w:jc w:val="center"/>
        <w:rPr>
          <w:i w:val="0"/>
          <w:iCs w:val="0"/>
          <w:color w:val="auto"/>
          <w:sz w:val="20"/>
          <w:szCs w:val="20"/>
        </w:rPr>
      </w:pPr>
      <w:bookmarkStart w:id="43" w:name="_Toc165374570"/>
      <w:r w:rsidRPr="00111D1C">
        <w:rPr>
          <w:i w:val="0"/>
          <w:iCs w:val="0"/>
          <w:color w:val="auto"/>
          <w:sz w:val="20"/>
          <w:szCs w:val="20"/>
        </w:rPr>
        <w:t xml:space="preserve">Figure </w:t>
      </w:r>
      <w:r w:rsidRPr="00111D1C">
        <w:rPr>
          <w:i w:val="0"/>
          <w:iCs w:val="0"/>
          <w:color w:val="auto"/>
          <w:sz w:val="20"/>
          <w:szCs w:val="20"/>
        </w:rPr>
        <w:fldChar w:fldCharType="begin"/>
      </w:r>
      <w:r w:rsidRPr="00111D1C">
        <w:rPr>
          <w:i w:val="0"/>
          <w:iCs w:val="0"/>
          <w:color w:val="auto"/>
          <w:sz w:val="20"/>
          <w:szCs w:val="20"/>
        </w:rPr>
        <w:instrText xml:space="preserve"> SEQ Figure \* ARABIC </w:instrText>
      </w:r>
      <w:r w:rsidRPr="00111D1C">
        <w:rPr>
          <w:i w:val="0"/>
          <w:iCs w:val="0"/>
          <w:color w:val="auto"/>
          <w:sz w:val="20"/>
          <w:szCs w:val="20"/>
        </w:rPr>
        <w:fldChar w:fldCharType="separate"/>
      </w:r>
      <w:r w:rsidR="00575CA5">
        <w:rPr>
          <w:i w:val="0"/>
          <w:iCs w:val="0"/>
          <w:noProof/>
          <w:color w:val="auto"/>
          <w:sz w:val="20"/>
          <w:szCs w:val="20"/>
        </w:rPr>
        <w:t>1</w:t>
      </w:r>
      <w:r w:rsidRPr="00111D1C">
        <w:rPr>
          <w:i w:val="0"/>
          <w:iCs w:val="0"/>
          <w:color w:val="auto"/>
          <w:sz w:val="20"/>
          <w:szCs w:val="20"/>
        </w:rPr>
        <w:fldChar w:fldCharType="end"/>
      </w:r>
      <w:r w:rsidRPr="00111D1C">
        <w:rPr>
          <w:i w:val="0"/>
          <w:iCs w:val="0"/>
          <w:color w:val="auto"/>
          <w:sz w:val="20"/>
          <w:szCs w:val="20"/>
        </w:rPr>
        <w:t xml:space="preserve">: BARRATT </w:t>
      </w:r>
      <w:r w:rsidR="006E7B74">
        <w:rPr>
          <w:i w:val="0"/>
          <w:iCs w:val="0"/>
          <w:color w:val="auto"/>
          <w:sz w:val="20"/>
          <w:szCs w:val="20"/>
        </w:rPr>
        <w:t>DEVELOPMENT</w:t>
      </w:r>
      <w:r w:rsidRPr="00111D1C">
        <w:rPr>
          <w:i w:val="0"/>
          <w:iCs w:val="0"/>
          <w:color w:val="auto"/>
          <w:sz w:val="20"/>
          <w:szCs w:val="20"/>
        </w:rPr>
        <w:t xml:space="preserve"> PLC Liquidity Ratio</w:t>
      </w:r>
      <w:bookmarkEnd w:id="43"/>
    </w:p>
    <w:p w14:paraId="0BB821BC" w14:textId="77777777" w:rsidR="00923F6C" w:rsidRDefault="00923F6C" w:rsidP="00923F6C"/>
    <w:p w14:paraId="24258B5D" w14:textId="77777777" w:rsidR="00111D1C" w:rsidRDefault="00923F6C" w:rsidP="00111D1C">
      <w:pPr>
        <w:keepNext/>
        <w:jc w:val="center"/>
      </w:pPr>
      <w:r>
        <w:rPr>
          <w:noProof/>
        </w:rPr>
        <w:drawing>
          <wp:inline distT="0" distB="0" distL="0" distR="0" wp14:anchorId="6D6C41F4" wp14:editId="019E182D">
            <wp:extent cx="4705350" cy="2924175"/>
            <wp:effectExtent l="0" t="0" r="0" b="9525"/>
            <wp:docPr id="1551693199" name="Chart 1">
              <a:extLst xmlns:a="http://schemas.openxmlformats.org/drawingml/2006/main">
                <a:ext uri="{FF2B5EF4-FFF2-40B4-BE49-F238E27FC236}">
                  <a16:creationId xmlns:a16="http://schemas.microsoft.com/office/drawing/2014/main" id="{FE731D34-EB90-7A94-74F6-9AA03690E3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1F2CDCA" w14:textId="2009EC04" w:rsidR="00923F6C" w:rsidRPr="00111D1C" w:rsidRDefault="00111D1C" w:rsidP="00111D1C">
      <w:pPr>
        <w:pStyle w:val="Caption"/>
        <w:jc w:val="center"/>
        <w:rPr>
          <w:i w:val="0"/>
          <w:iCs w:val="0"/>
          <w:sz w:val="20"/>
          <w:szCs w:val="20"/>
        </w:rPr>
      </w:pPr>
      <w:bookmarkStart w:id="44" w:name="_Toc165374571"/>
      <w:r w:rsidRPr="00111D1C">
        <w:rPr>
          <w:i w:val="0"/>
          <w:iCs w:val="0"/>
          <w:color w:val="auto"/>
          <w:sz w:val="20"/>
          <w:szCs w:val="20"/>
        </w:rPr>
        <w:t xml:space="preserve">Figure </w:t>
      </w:r>
      <w:r w:rsidRPr="00111D1C">
        <w:rPr>
          <w:i w:val="0"/>
          <w:iCs w:val="0"/>
          <w:color w:val="auto"/>
          <w:sz w:val="20"/>
          <w:szCs w:val="20"/>
        </w:rPr>
        <w:fldChar w:fldCharType="begin"/>
      </w:r>
      <w:r w:rsidRPr="00111D1C">
        <w:rPr>
          <w:i w:val="0"/>
          <w:iCs w:val="0"/>
          <w:color w:val="auto"/>
          <w:sz w:val="20"/>
          <w:szCs w:val="20"/>
        </w:rPr>
        <w:instrText xml:space="preserve"> SEQ Figure \* ARABIC </w:instrText>
      </w:r>
      <w:r w:rsidRPr="00111D1C">
        <w:rPr>
          <w:i w:val="0"/>
          <w:iCs w:val="0"/>
          <w:color w:val="auto"/>
          <w:sz w:val="20"/>
          <w:szCs w:val="20"/>
        </w:rPr>
        <w:fldChar w:fldCharType="separate"/>
      </w:r>
      <w:r w:rsidR="00575CA5">
        <w:rPr>
          <w:i w:val="0"/>
          <w:iCs w:val="0"/>
          <w:noProof/>
          <w:color w:val="auto"/>
          <w:sz w:val="20"/>
          <w:szCs w:val="20"/>
        </w:rPr>
        <w:t>2</w:t>
      </w:r>
      <w:r w:rsidRPr="00111D1C">
        <w:rPr>
          <w:i w:val="0"/>
          <w:iCs w:val="0"/>
          <w:color w:val="auto"/>
          <w:sz w:val="20"/>
          <w:szCs w:val="20"/>
        </w:rPr>
        <w:fldChar w:fldCharType="end"/>
      </w:r>
      <w:r w:rsidRPr="00111D1C">
        <w:rPr>
          <w:i w:val="0"/>
          <w:iCs w:val="0"/>
          <w:color w:val="auto"/>
          <w:sz w:val="20"/>
          <w:szCs w:val="20"/>
        </w:rPr>
        <w:t>: BERKELEY GROUP HOLDING</w:t>
      </w:r>
      <w:r w:rsidR="006E7B74">
        <w:rPr>
          <w:i w:val="0"/>
          <w:iCs w:val="0"/>
          <w:color w:val="auto"/>
          <w:sz w:val="20"/>
          <w:szCs w:val="20"/>
        </w:rPr>
        <w:t>S</w:t>
      </w:r>
      <w:r w:rsidRPr="00111D1C">
        <w:rPr>
          <w:i w:val="0"/>
          <w:iCs w:val="0"/>
          <w:color w:val="auto"/>
          <w:sz w:val="20"/>
          <w:szCs w:val="20"/>
        </w:rPr>
        <w:t xml:space="preserve"> PLC Liquidity Ratio</w:t>
      </w:r>
      <w:bookmarkEnd w:id="44"/>
    </w:p>
    <w:p w14:paraId="061D7DB2" w14:textId="77777777" w:rsidR="006E7B74" w:rsidRDefault="00923F6C" w:rsidP="006E7B74">
      <w:pPr>
        <w:keepNext/>
        <w:jc w:val="center"/>
      </w:pPr>
      <w:r>
        <w:rPr>
          <w:noProof/>
        </w:rPr>
        <w:lastRenderedPageBreak/>
        <w:drawing>
          <wp:inline distT="0" distB="0" distL="0" distR="0" wp14:anchorId="28C4B4AC" wp14:editId="1D53E827">
            <wp:extent cx="4743450" cy="3124200"/>
            <wp:effectExtent l="0" t="0" r="0" b="0"/>
            <wp:docPr id="632119907" name="Chart 1">
              <a:extLst xmlns:a="http://schemas.openxmlformats.org/drawingml/2006/main">
                <a:ext uri="{FF2B5EF4-FFF2-40B4-BE49-F238E27FC236}">
                  <a16:creationId xmlns:a16="http://schemas.microsoft.com/office/drawing/2014/main" id="{9B19230E-14CD-2A1D-C1A5-7097E65F3E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CD8377" w14:textId="6A576124" w:rsidR="00923F6C" w:rsidRPr="006E7B74" w:rsidRDefault="006E7B74" w:rsidP="006E7B74">
      <w:pPr>
        <w:pStyle w:val="Caption"/>
        <w:jc w:val="center"/>
        <w:rPr>
          <w:i w:val="0"/>
          <w:iCs w:val="0"/>
          <w:color w:val="auto"/>
          <w:sz w:val="20"/>
          <w:szCs w:val="20"/>
        </w:rPr>
      </w:pPr>
      <w:bookmarkStart w:id="45" w:name="_Toc165374572"/>
      <w:r w:rsidRPr="006E7B74">
        <w:rPr>
          <w:i w:val="0"/>
          <w:iCs w:val="0"/>
          <w:color w:val="auto"/>
          <w:sz w:val="20"/>
          <w:szCs w:val="20"/>
        </w:rPr>
        <w:t xml:space="preserve">Figure </w:t>
      </w:r>
      <w:r w:rsidRPr="006E7B74">
        <w:rPr>
          <w:i w:val="0"/>
          <w:iCs w:val="0"/>
          <w:color w:val="auto"/>
          <w:sz w:val="20"/>
          <w:szCs w:val="20"/>
        </w:rPr>
        <w:fldChar w:fldCharType="begin"/>
      </w:r>
      <w:r w:rsidRPr="006E7B74">
        <w:rPr>
          <w:i w:val="0"/>
          <w:iCs w:val="0"/>
          <w:color w:val="auto"/>
          <w:sz w:val="20"/>
          <w:szCs w:val="20"/>
        </w:rPr>
        <w:instrText xml:space="preserve"> SEQ Figure \* ARABIC </w:instrText>
      </w:r>
      <w:r w:rsidRPr="006E7B74">
        <w:rPr>
          <w:i w:val="0"/>
          <w:iCs w:val="0"/>
          <w:color w:val="auto"/>
          <w:sz w:val="20"/>
          <w:szCs w:val="20"/>
        </w:rPr>
        <w:fldChar w:fldCharType="separate"/>
      </w:r>
      <w:r w:rsidR="00575CA5">
        <w:rPr>
          <w:i w:val="0"/>
          <w:iCs w:val="0"/>
          <w:noProof/>
          <w:color w:val="auto"/>
          <w:sz w:val="20"/>
          <w:szCs w:val="20"/>
        </w:rPr>
        <w:t>3</w:t>
      </w:r>
      <w:r w:rsidRPr="006E7B74">
        <w:rPr>
          <w:i w:val="0"/>
          <w:iCs w:val="0"/>
          <w:color w:val="auto"/>
          <w:sz w:val="20"/>
          <w:szCs w:val="20"/>
        </w:rPr>
        <w:fldChar w:fldCharType="end"/>
      </w:r>
      <w:r w:rsidRPr="006E7B74">
        <w:rPr>
          <w:i w:val="0"/>
          <w:iCs w:val="0"/>
          <w:color w:val="auto"/>
          <w:sz w:val="20"/>
          <w:szCs w:val="20"/>
        </w:rPr>
        <w:t>: BARRATT DEVELOPMENT PLC Profitability Ratio</w:t>
      </w:r>
      <w:bookmarkEnd w:id="45"/>
    </w:p>
    <w:p w14:paraId="37F992EA" w14:textId="77777777" w:rsidR="00923F6C" w:rsidRDefault="00923F6C" w:rsidP="00923F6C"/>
    <w:p w14:paraId="4F877533" w14:textId="77777777" w:rsidR="006E7B74" w:rsidRDefault="00923F6C" w:rsidP="006E7B74">
      <w:pPr>
        <w:keepNext/>
        <w:jc w:val="center"/>
      </w:pPr>
      <w:r>
        <w:rPr>
          <w:noProof/>
        </w:rPr>
        <w:drawing>
          <wp:inline distT="0" distB="0" distL="0" distR="0" wp14:anchorId="36FDE674" wp14:editId="34D37696">
            <wp:extent cx="4838700" cy="3314700"/>
            <wp:effectExtent l="0" t="0" r="0" b="0"/>
            <wp:docPr id="602999725" name="Chart 1">
              <a:extLst xmlns:a="http://schemas.openxmlformats.org/drawingml/2006/main">
                <a:ext uri="{FF2B5EF4-FFF2-40B4-BE49-F238E27FC236}">
                  <a16:creationId xmlns:a16="http://schemas.microsoft.com/office/drawing/2014/main" id="{9556BDB8-B3B2-3165-9E85-85AEAABB3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85F48B" w14:textId="56F5747E" w:rsidR="00923F6C" w:rsidRPr="00B00B2F" w:rsidRDefault="006E7B74" w:rsidP="006E7B74">
      <w:pPr>
        <w:pStyle w:val="Caption"/>
        <w:jc w:val="center"/>
        <w:rPr>
          <w:i w:val="0"/>
          <w:iCs w:val="0"/>
          <w:color w:val="auto"/>
          <w:sz w:val="20"/>
          <w:szCs w:val="20"/>
        </w:rPr>
      </w:pPr>
      <w:bookmarkStart w:id="46" w:name="_Toc165374573"/>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4</w:t>
      </w:r>
      <w:r w:rsidRPr="00B00B2F">
        <w:rPr>
          <w:i w:val="0"/>
          <w:iCs w:val="0"/>
          <w:color w:val="auto"/>
          <w:sz w:val="20"/>
          <w:szCs w:val="20"/>
        </w:rPr>
        <w:fldChar w:fldCharType="end"/>
      </w:r>
      <w:r w:rsidRPr="00B00B2F">
        <w:rPr>
          <w:i w:val="0"/>
          <w:iCs w:val="0"/>
          <w:color w:val="auto"/>
          <w:sz w:val="20"/>
          <w:szCs w:val="20"/>
        </w:rPr>
        <w:t>: BERKELEY GROUP HOLDINGS PLC Profitability Ratio</w:t>
      </w:r>
      <w:bookmarkEnd w:id="46"/>
    </w:p>
    <w:p w14:paraId="76320545" w14:textId="77777777" w:rsidR="00C85FBD" w:rsidRDefault="00923F6C" w:rsidP="00C85FBD">
      <w:pPr>
        <w:keepNext/>
        <w:jc w:val="center"/>
      </w:pPr>
      <w:r>
        <w:rPr>
          <w:noProof/>
        </w:rPr>
        <w:lastRenderedPageBreak/>
        <w:drawing>
          <wp:inline distT="0" distB="0" distL="0" distR="0" wp14:anchorId="28855CFC" wp14:editId="1F4CE8B8">
            <wp:extent cx="4819650" cy="2962275"/>
            <wp:effectExtent l="0" t="0" r="0" b="9525"/>
            <wp:docPr id="1194105992" name="Chart 1">
              <a:extLst xmlns:a="http://schemas.openxmlformats.org/drawingml/2006/main">
                <a:ext uri="{FF2B5EF4-FFF2-40B4-BE49-F238E27FC236}">
                  <a16:creationId xmlns:a16="http://schemas.microsoft.com/office/drawing/2014/main" id="{5C3F0893-B50C-D651-E513-BEFC498E4B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29358D7" w14:textId="72AD5B6B" w:rsidR="00923F6C" w:rsidRPr="00C85FBD" w:rsidRDefault="00C85FBD" w:rsidP="00C85FBD">
      <w:pPr>
        <w:pStyle w:val="Caption"/>
        <w:jc w:val="center"/>
        <w:rPr>
          <w:i w:val="0"/>
          <w:iCs w:val="0"/>
          <w:color w:val="auto"/>
        </w:rPr>
      </w:pPr>
      <w:bookmarkStart w:id="47" w:name="_Toc165374574"/>
      <w:r w:rsidRPr="00C85FBD">
        <w:rPr>
          <w:i w:val="0"/>
          <w:iCs w:val="0"/>
          <w:color w:val="auto"/>
        </w:rPr>
        <w:t xml:space="preserve">Figure </w:t>
      </w:r>
      <w:r w:rsidRPr="00C85FBD">
        <w:rPr>
          <w:i w:val="0"/>
          <w:iCs w:val="0"/>
          <w:color w:val="auto"/>
        </w:rPr>
        <w:fldChar w:fldCharType="begin"/>
      </w:r>
      <w:r w:rsidRPr="00C85FBD">
        <w:rPr>
          <w:i w:val="0"/>
          <w:iCs w:val="0"/>
          <w:color w:val="auto"/>
        </w:rPr>
        <w:instrText xml:space="preserve"> SEQ Figure \* ARABIC </w:instrText>
      </w:r>
      <w:r w:rsidRPr="00C85FBD">
        <w:rPr>
          <w:i w:val="0"/>
          <w:iCs w:val="0"/>
          <w:color w:val="auto"/>
        </w:rPr>
        <w:fldChar w:fldCharType="separate"/>
      </w:r>
      <w:r w:rsidR="00575CA5">
        <w:rPr>
          <w:i w:val="0"/>
          <w:iCs w:val="0"/>
          <w:noProof/>
          <w:color w:val="auto"/>
        </w:rPr>
        <w:t>5</w:t>
      </w:r>
      <w:r w:rsidRPr="00C85FBD">
        <w:rPr>
          <w:i w:val="0"/>
          <w:iCs w:val="0"/>
          <w:color w:val="auto"/>
        </w:rPr>
        <w:fldChar w:fldCharType="end"/>
      </w:r>
      <w:r w:rsidRPr="00C85FBD">
        <w:rPr>
          <w:i w:val="0"/>
          <w:iCs w:val="0"/>
          <w:color w:val="auto"/>
        </w:rPr>
        <w:t xml:space="preserve">: </w:t>
      </w:r>
      <w:r w:rsidRPr="00C85FBD">
        <w:rPr>
          <w:i w:val="0"/>
          <w:iCs w:val="0"/>
          <w:color w:val="auto"/>
          <w:sz w:val="20"/>
          <w:szCs w:val="20"/>
        </w:rPr>
        <w:t>BARRATT DEVELOPMENT PLC Gearing Ratio</w:t>
      </w:r>
      <w:bookmarkEnd w:id="47"/>
    </w:p>
    <w:p w14:paraId="59C40AC4" w14:textId="77777777" w:rsidR="00923F6C" w:rsidRDefault="00923F6C" w:rsidP="00923F6C"/>
    <w:p w14:paraId="3E95C7F6" w14:textId="77777777" w:rsidR="00C85FBD" w:rsidRDefault="00923F6C" w:rsidP="00C85FBD">
      <w:pPr>
        <w:keepNext/>
        <w:jc w:val="center"/>
      </w:pPr>
      <w:r>
        <w:rPr>
          <w:noProof/>
        </w:rPr>
        <w:drawing>
          <wp:inline distT="0" distB="0" distL="0" distR="0" wp14:anchorId="6488A505" wp14:editId="7E7D9BC6">
            <wp:extent cx="4819650" cy="2905125"/>
            <wp:effectExtent l="0" t="0" r="0" b="9525"/>
            <wp:docPr id="1479509628" name="Chart 1">
              <a:extLst xmlns:a="http://schemas.openxmlformats.org/drawingml/2006/main">
                <a:ext uri="{FF2B5EF4-FFF2-40B4-BE49-F238E27FC236}">
                  <a16:creationId xmlns:a16="http://schemas.microsoft.com/office/drawing/2014/main" id="{3E7AC3BC-98FF-F7AC-DEE7-FF72B6E90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DDF92A" w14:textId="04807C23" w:rsidR="00923F6C" w:rsidRPr="00B00B2F" w:rsidRDefault="00C85FBD" w:rsidP="00C85FBD">
      <w:pPr>
        <w:pStyle w:val="Caption"/>
        <w:jc w:val="center"/>
        <w:rPr>
          <w:i w:val="0"/>
          <w:iCs w:val="0"/>
          <w:color w:val="auto"/>
          <w:sz w:val="20"/>
          <w:szCs w:val="20"/>
        </w:rPr>
      </w:pPr>
      <w:bookmarkStart w:id="48" w:name="_Toc165374575"/>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6</w:t>
      </w:r>
      <w:r w:rsidRPr="00B00B2F">
        <w:rPr>
          <w:i w:val="0"/>
          <w:iCs w:val="0"/>
          <w:color w:val="auto"/>
          <w:sz w:val="20"/>
          <w:szCs w:val="20"/>
        </w:rPr>
        <w:fldChar w:fldCharType="end"/>
      </w:r>
      <w:r w:rsidRPr="00B00B2F">
        <w:rPr>
          <w:i w:val="0"/>
          <w:iCs w:val="0"/>
          <w:color w:val="auto"/>
          <w:sz w:val="20"/>
          <w:szCs w:val="20"/>
        </w:rPr>
        <w:t>: BERKELEY GROUP HOLDINGS PLC Gearing Ratio</w:t>
      </w:r>
      <w:bookmarkEnd w:id="48"/>
    </w:p>
    <w:p w14:paraId="6EAC92AD" w14:textId="77777777" w:rsidR="00923F6C" w:rsidRDefault="00923F6C" w:rsidP="00923F6C"/>
    <w:p w14:paraId="578DAFD2" w14:textId="77777777" w:rsidR="00C85FBD" w:rsidRDefault="00923F6C" w:rsidP="00C85FBD">
      <w:pPr>
        <w:keepNext/>
        <w:jc w:val="center"/>
      </w:pPr>
      <w:r>
        <w:rPr>
          <w:noProof/>
        </w:rPr>
        <w:lastRenderedPageBreak/>
        <w:drawing>
          <wp:inline distT="0" distB="0" distL="0" distR="0" wp14:anchorId="64A42A20" wp14:editId="08F100A5">
            <wp:extent cx="4953000" cy="3086100"/>
            <wp:effectExtent l="0" t="0" r="0" b="0"/>
            <wp:docPr id="1613368541" name="Chart 1">
              <a:extLst xmlns:a="http://schemas.openxmlformats.org/drawingml/2006/main">
                <a:ext uri="{FF2B5EF4-FFF2-40B4-BE49-F238E27FC236}">
                  <a16:creationId xmlns:a16="http://schemas.microsoft.com/office/drawing/2014/main" id="{276F3A01-1875-0C87-FDBA-2BF1E2780D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83EF8E" w14:textId="561C7321" w:rsidR="00923F6C" w:rsidRPr="00C85FBD" w:rsidRDefault="00C85FBD" w:rsidP="00C85FBD">
      <w:pPr>
        <w:pStyle w:val="Caption"/>
        <w:jc w:val="center"/>
        <w:rPr>
          <w:i w:val="0"/>
          <w:iCs w:val="0"/>
          <w:color w:val="auto"/>
        </w:rPr>
      </w:pPr>
      <w:bookmarkStart w:id="49" w:name="_Toc165374576"/>
      <w:r w:rsidRPr="00C85FBD">
        <w:rPr>
          <w:i w:val="0"/>
          <w:iCs w:val="0"/>
          <w:color w:val="auto"/>
        </w:rPr>
        <w:t xml:space="preserve">Figure </w:t>
      </w:r>
      <w:r w:rsidRPr="00C85FBD">
        <w:rPr>
          <w:i w:val="0"/>
          <w:iCs w:val="0"/>
          <w:color w:val="auto"/>
        </w:rPr>
        <w:fldChar w:fldCharType="begin"/>
      </w:r>
      <w:r w:rsidRPr="00C85FBD">
        <w:rPr>
          <w:i w:val="0"/>
          <w:iCs w:val="0"/>
          <w:color w:val="auto"/>
        </w:rPr>
        <w:instrText xml:space="preserve"> SEQ Figure \* ARABIC </w:instrText>
      </w:r>
      <w:r w:rsidRPr="00C85FBD">
        <w:rPr>
          <w:i w:val="0"/>
          <w:iCs w:val="0"/>
          <w:color w:val="auto"/>
        </w:rPr>
        <w:fldChar w:fldCharType="separate"/>
      </w:r>
      <w:r w:rsidR="00575CA5">
        <w:rPr>
          <w:i w:val="0"/>
          <w:iCs w:val="0"/>
          <w:noProof/>
          <w:color w:val="auto"/>
        </w:rPr>
        <w:t>7</w:t>
      </w:r>
      <w:r w:rsidRPr="00C85FBD">
        <w:rPr>
          <w:i w:val="0"/>
          <w:iCs w:val="0"/>
          <w:color w:val="auto"/>
        </w:rPr>
        <w:fldChar w:fldCharType="end"/>
      </w:r>
      <w:r w:rsidRPr="00C85FBD">
        <w:rPr>
          <w:i w:val="0"/>
          <w:iCs w:val="0"/>
          <w:color w:val="auto"/>
        </w:rPr>
        <w:t xml:space="preserve">: </w:t>
      </w:r>
      <w:r w:rsidRPr="00C85FBD">
        <w:rPr>
          <w:i w:val="0"/>
          <w:iCs w:val="0"/>
          <w:color w:val="auto"/>
          <w:sz w:val="20"/>
          <w:szCs w:val="20"/>
        </w:rPr>
        <w:t>BARRATT DEVELOPMENT PLC Efficiency Ratio</w:t>
      </w:r>
      <w:bookmarkEnd w:id="49"/>
    </w:p>
    <w:p w14:paraId="400AA1F6" w14:textId="77777777" w:rsidR="00923F6C" w:rsidRDefault="00923F6C" w:rsidP="00923F6C"/>
    <w:p w14:paraId="7D371381" w14:textId="77777777" w:rsidR="00C85FBD" w:rsidRDefault="00923F6C" w:rsidP="00C85FBD">
      <w:pPr>
        <w:keepNext/>
        <w:jc w:val="center"/>
      </w:pPr>
      <w:r>
        <w:rPr>
          <w:noProof/>
        </w:rPr>
        <w:drawing>
          <wp:inline distT="0" distB="0" distL="0" distR="0" wp14:anchorId="20B26673" wp14:editId="49A84F9D">
            <wp:extent cx="4981575" cy="3200400"/>
            <wp:effectExtent l="0" t="0" r="9525" b="0"/>
            <wp:docPr id="1210297190" name="Chart 1">
              <a:extLst xmlns:a="http://schemas.openxmlformats.org/drawingml/2006/main">
                <a:ext uri="{FF2B5EF4-FFF2-40B4-BE49-F238E27FC236}">
                  <a16:creationId xmlns:a16="http://schemas.microsoft.com/office/drawing/2014/main" id="{BC2D563D-71D5-4494-6178-5D8CDF659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F42C69" w14:textId="6C953C93" w:rsidR="00923F6C" w:rsidRPr="00B00B2F" w:rsidRDefault="00C85FBD" w:rsidP="00C85FBD">
      <w:pPr>
        <w:pStyle w:val="Caption"/>
        <w:jc w:val="center"/>
        <w:rPr>
          <w:i w:val="0"/>
          <w:iCs w:val="0"/>
          <w:color w:val="auto"/>
          <w:sz w:val="20"/>
          <w:szCs w:val="20"/>
        </w:rPr>
      </w:pPr>
      <w:bookmarkStart w:id="50" w:name="_Toc165374577"/>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8</w:t>
      </w:r>
      <w:r w:rsidRPr="00B00B2F">
        <w:rPr>
          <w:i w:val="0"/>
          <w:iCs w:val="0"/>
          <w:color w:val="auto"/>
          <w:sz w:val="20"/>
          <w:szCs w:val="20"/>
        </w:rPr>
        <w:fldChar w:fldCharType="end"/>
      </w:r>
      <w:r w:rsidRPr="00B00B2F">
        <w:rPr>
          <w:i w:val="0"/>
          <w:iCs w:val="0"/>
          <w:color w:val="auto"/>
          <w:sz w:val="20"/>
          <w:szCs w:val="20"/>
        </w:rPr>
        <w:t>: BERKELEY GROUP HOLDINGS PLC Efficiency Ratio</w:t>
      </w:r>
      <w:bookmarkEnd w:id="50"/>
    </w:p>
    <w:p w14:paraId="1C58B461" w14:textId="77777777" w:rsidR="00923F6C" w:rsidRDefault="00923F6C" w:rsidP="00923F6C">
      <w:pPr>
        <w:spacing w:after="0" w:line="360" w:lineRule="auto"/>
        <w:jc w:val="both"/>
        <w:rPr>
          <w:rFonts w:ascii="Calibri" w:hAnsi="Calibri" w:cs="Calibri"/>
          <w:color w:val="000000" w:themeColor="text1"/>
        </w:rPr>
      </w:pPr>
    </w:p>
    <w:p w14:paraId="120CA703" w14:textId="77777777" w:rsidR="00923F6C" w:rsidRDefault="00923F6C" w:rsidP="00923F6C">
      <w:pPr>
        <w:spacing w:after="0" w:line="360" w:lineRule="auto"/>
        <w:jc w:val="both"/>
        <w:rPr>
          <w:rFonts w:ascii="Calibri" w:hAnsi="Calibri" w:cs="Calibri"/>
          <w:color w:val="000000" w:themeColor="text1"/>
        </w:rPr>
      </w:pPr>
    </w:p>
    <w:p w14:paraId="0A6FD34B" w14:textId="77777777" w:rsidR="00923F6C" w:rsidRDefault="00923F6C" w:rsidP="00923F6C">
      <w:pPr>
        <w:spacing w:after="0" w:line="360" w:lineRule="auto"/>
        <w:jc w:val="both"/>
        <w:rPr>
          <w:rFonts w:ascii="Calibri" w:hAnsi="Calibri" w:cs="Calibri"/>
          <w:color w:val="000000" w:themeColor="text1"/>
        </w:rPr>
      </w:pPr>
    </w:p>
    <w:p w14:paraId="7F09965F" w14:textId="77777777" w:rsidR="00923F6C" w:rsidRDefault="00923F6C" w:rsidP="00923F6C">
      <w:pPr>
        <w:spacing w:after="0" w:line="360" w:lineRule="auto"/>
        <w:jc w:val="both"/>
        <w:rPr>
          <w:rFonts w:ascii="Calibri" w:hAnsi="Calibri" w:cs="Calibri"/>
          <w:color w:val="000000" w:themeColor="text1"/>
        </w:rPr>
      </w:pPr>
    </w:p>
    <w:p w14:paraId="650AECB6" w14:textId="77777777" w:rsidR="00C85FBD" w:rsidRDefault="00923F6C" w:rsidP="00C85FBD">
      <w:pPr>
        <w:keepNext/>
        <w:spacing w:line="360" w:lineRule="auto"/>
        <w:jc w:val="center"/>
      </w:pPr>
      <w:r>
        <w:rPr>
          <w:noProof/>
        </w:rPr>
        <w:drawing>
          <wp:inline distT="0" distB="0" distL="0" distR="0" wp14:anchorId="66F4FD0D" wp14:editId="050BACA0">
            <wp:extent cx="4829175" cy="3152775"/>
            <wp:effectExtent l="0" t="0" r="9525" b="9525"/>
            <wp:docPr id="536548608" name="Chart 1">
              <a:extLst xmlns:a="http://schemas.openxmlformats.org/drawingml/2006/main">
                <a:ext uri="{FF2B5EF4-FFF2-40B4-BE49-F238E27FC236}">
                  <a16:creationId xmlns:a16="http://schemas.microsoft.com/office/drawing/2014/main" id="{8940D22A-6FCE-F024-3520-B8CE84695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73D019" w14:textId="43348C25" w:rsidR="00923F6C" w:rsidRDefault="00C85FBD" w:rsidP="00C85FBD">
      <w:pPr>
        <w:pStyle w:val="Caption"/>
        <w:jc w:val="center"/>
        <w:rPr>
          <w:i w:val="0"/>
          <w:iCs w:val="0"/>
          <w:color w:val="auto"/>
        </w:rPr>
      </w:pPr>
      <w:bookmarkStart w:id="51" w:name="_Toc165374578"/>
      <w:r w:rsidRPr="00C85FBD">
        <w:rPr>
          <w:i w:val="0"/>
          <w:iCs w:val="0"/>
          <w:color w:val="auto"/>
        </w:rPr>
        <w:t xml:space="preserve">Figure </w:t>
      </w:r>
      <w:r w:rsidRPr="00C85FBD">
        <w:rPr>
          <w:i w:val="0"/>
          <w:iCs w:val="0"/>
          <w:color w:val="auto"/>
        </w:rPr>
        <w:fldChar w:fldCharType="begin"/>
      </w:r>
      <w:r w:rsidRPr="00C85FBD">
        <w:rPr>
          <w:i w:val="0"/>
          <w:iCs w:val="0"/>
          <w:color w:val="auto"/>
        </w:rPr>
        <w:instrText xml:space="preserve"> SEQ Figure \* ARABIC </w:instrText>
      </w:r>
      <w:r w:rsidRPr="00C85FBD">
        <w:rPr>
          <w:i w:val="0"/>
          <w:iCs w:val="0"/>
          <w:color w:val="auto"/>
        </w:rPr>
        <w:fldChar w:fldCharType="separate"/>
      </w:r>
      <w:r w:rsidR="00575CA5">
        <w:rPr>
          <w:i w:val="0"/>
          <w:iCs w:val="0"/>
          <w:noProof/>
          <w:color w:val="auto"/>
        </w:rPr>
        <w:t>9</w:t>
      </w:r>
      <w:r w:rsidRPr="00C85FBD">
        <w:rPr>
          <w:i w:val="0"/>
          <w:iCs w:val="0"/>
          <w:color w:val="auto"/>
        </w:rPr>
        <w:fldChar w:fldCharType="end"/>
      </w:r>
      <w:r w:rsidRPr="00C85FBD">
        <w:rPr>
          <w:i w:val="0"/>
          <w:iCs w:val="0"/>
          <w:color w:val="auto"/>
        </w:rPr>
        <w:t>: BARRATT DEVELOPMENT PLC Trend Analysis of the Income Statement</w:t>
      </w:r>
      <w:bookmarkEnd w:id="51"/>
    </w:p>
    <w:p w14:paraId="61992DBF" w14:textId="77777777" w:rsidR="00C85FBD" w:rsidRPr="00C85FBD" w:rsidRDefault="00C85FBD" w:rsidP="00C85FBD"/>
    <w:p w14:paraId="11BFDCE0" w14:textId="77777777" w:rsidR="00C85FBD" w:rsidRDefault="00923F6C" w:rsidP="00C85FBD">
      <w:pPr>
        <w:keepNext/>
        <w:spacing w:line="360" w:lineRule="auto"/>
        <w:jc w:val="center"/>
      </w:pPr>
      <w:r>
        <w:rPr>
          <w:noProof/>
        </w:rPr>
        <w:drawing>
          <wp:inline distT="0" distB="0" distL="0" distR="0" wp14:anchorId="1E7772BD" wp14:editId="7C089ADD">
            <wp:extent cx="4819650" cy="3448050"/>
            <wp:effectExtent l="0" t="0" r="0" b="0"/>
            <wp:docPr id="1595256405" name="Chart 1">
              <a:extLst xmlns:a="http://schemas.openxmlformats.org/drawingml/2006/main">
                <a:ext uri="{FF2B5EF4-FFF2-40B4-BE49-F238E27FC236}">
                  <a16:creationId xmlns:a16="http://schemas.microsoft.com/office/drawing/2014/main" id="{215CE255-ADD5-78B7-6640-6BFD81075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E031690" w14:textId="4FC6B1B3" w:rsidR="00923F6C" w:rsidRPr="00B00B2F" w:rsidRDefault="00C85FBD" w:rsidP="00C85FBD">
      <w:pPr>
        <w:pStyle w:val="Caption"/>
        <w:jc w:val="center"/>
        <w:rPr>
          <w:rFonts w:ascii="Calibri" w:hAnsi="Calibri" w:cs="Calibri"/>
          <w:i w:val="0"/>
          <w:iCs w:val="0"/>
          <w:color w:val="auto"/>
          <w:sz w:val="20"/>
          <w:szCs w:val="20"/>
        </w:rPr>
      </w:pPr>
      <w:bookmarkStart w:id="52" w:name="_Toc165374579"/>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10</w:t>
      </w:r>
      <w:r w:rsidRPr="00B00B2F">
        <w:rPr>
          <w:i w:val="0"/>
          <w:iCs w:val="0"/>
          <w:color w:val="auto"/>
          <w:sz w:val="20"/>
          <w:szCs w:val="20"/>
        </w:rPr>
        <w:fldChar w:fldCharType="end"/>
      </w:r>
      <w:r w:rsidRPr="00B00B2F">
        <w:rPr>
          <w:i w:val="0"/>
          <w:iCs w:val="0"/>
          <w:color w:val="auto"/>
          <w:sz w:val="20"/>
          <w:szCs w:val="20"/>
        </w:rPr>
        <w:t>: BERKELEY GROUP HOLDINGS PLC Trend Analysis of the Income Statement</w:t>
      </w:r>
      <w:bookmarkEnd w:id="52"/>
    </w:p>
    <w:p w14:paraId="5B09FF66" w14:textId="77777777" w:rsidR="00B00B2F" w:rsidRDefault="00923F6C" w:rsidP="00B00B2F">
      <w:pPr>
        <w:keepNext/>
        <w:spacing w:line="360" w:lineRule="auto"/>
        <w:jc w:val="center"/>
      </w:pPr>
      <w:r>
        <w:rPr>
          <w:noProof/>
        </w:rPr>
        <w:lastRenderedPageBreak/>
        <w:drawing>
          <wp:inline distT="0" distB="0" distL="0" distR="0" wp14:anchorId="3C33D955" wp14:editId="0F9ED29B">
            <wp:extent cx="4772025" cy="3076575"/>
            <wp:effectExtent l="0" t="0" r="9525" b="9525"/>
            <wp:docPr id="873854801" name="Chart 1">
              <a:extLst xmlns:a="http://schemas.openxmlformats.org/drawingml/2006/main">
                <a:ext uri="{FF2B5EF4-FFF2-40B4-BE49-F238E27FC236}">
                  <a16:creationId xmlns:a16="http://schemas.microsoft.com/office/drawing/2014/main" id="{307E6B18-C80C-9536-173E-A7BD11F106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857717" w14:textId="7ABC441C" w:rsidR="00923F6C" w:rsidRPr="00B00B2F" w:rsidRDefault="00B00B2F" w:rsidP="00B00B2F">
      <w:pPr>
        <w:pStyle w:val="Caption"/>
        <w:jc w:val="center"/>
        <w:rPr>
          <w:rFonts w:ascii="Calibri" w:hAnsi="Calibri" w:cs="Calibri"/>
          <w:i w:val="0"/>
          <w:iCs w:val="0"/>
          <w:sz w:val="20"/>
          <w:szCs w:val="20"/>
        </w:rPr>
      </w:pPr>
      <w:bookmarkStart w:id="53" w:name="_Toc165374580"/>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11</w:t>
      </w:r>
      <w:r w:rsidRPr="00B00B2F">
        <w:rPr>
          <w:i w:val="0"/>
          <w:iCs w:val="0"/>
          <w:color w:val="auto"/>
          <w:sz w:val="20"/>
          <w:szCs w:val="20"/>
        </w:rPr>
        <w:fldChar w:fldCharType="end"/>
      </w:r>
      <w:r w:rsidRPr="00B00B2F">
        <w:rPr>
          <w:i w:val="0"/>
          <w:iCs w:val="0"/>
          <w:color w:val="auto"/>
          <w:sz w:val="20"/>
          <w:szCs w:val="20"/>
        </w:rPr>
        <w:t>: BARRATT DEVELOPMENT PLC Trend Analysis of the Balance Sheet</w:t>
      </w:r>
      <w:bookmarkEnd w:id="53"/>
    </w:p>
    <w:p w14:paraId="063692F6" w14:textId="77777777" w:rsidR="00923F6C" w:rsidRDefault="00923F6C" w:rsidP="00923F6C">
      <w:pPr>
        <w:spacing w:line="360" w:lineRule="auto"/>
        <w:jc w:val="both"/>
        <w:rPr>
          <w:rFonts w:ascii="Calibri" w:hAnsi="Calibri" w:cs="Calibri"/>
          <w:sz w:val="24"/>
          <w:szCs w:val="24"/>
        </w:rPr>
      </w:pPr>
    </w:p>
    <w:p w14:paraId="24B30C7F" w14:textId="77777777" w:rsidR="00B00B2F" w:rsidRDefault="00923F6C" w:rsidP="00B00B2F">
      <w:pPr>
        <w:keepNext/>
        <w:spacing w:line="360" w:lineRule="auto"/>
        <w:jc w:val="center"/>
      </w:pPr>
      <w:r>
        <w:rPr>
          <w:noProof/>
        </w:rPr>
        <w:drawing>
          <wp:inline distT="0" distB="0" distL="0" distR="0" wp14:anchorId="30076185" wp14:editId="4200DD3C">
            <wp:extent cx="4733925" cy="3343275"/>
            <wp:effectExtent l="0" t="0" r="9525" b="9525"/>
            <wp:docPr id="1301696410" name="Chart 1">
              <a:extLst xmlns:a="http://schemas.openxmlformats.org/drawingml/2006/main">
                <a:ext uri="{FF2B5EF4-FFF2-40B4-BE49-F238E27FC236}">
                  <a16:creationId xmlns:a16="http://schemas.microsoft.com/office/drawing/2014/main" id="{C855F58E-9BFD-AC9A-49F1-576F835E35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6B0A687" w14:textId="49214CA9" w:rsidR="00923F6C" w:rsidRPr="00B00B2F" w:rsidRDefault="00B00B2F" w:rsidP="00B00B2F">
      <w:pPr>
        <w:pStyle w:val="Caption"/>
        <w:jc w:val="center"/>
        <w:rPr>
          <w:rFonts w:ascii="Calibri" w:hAnsi="Calibri" w:cs="Calibri"/>
          <w:i w:val="0"/>
          <w:iCs w:val="0"/>
          <w:sz w:val="20"/>
          <w:szCs w:val="20"/>
        </w:rPr>
      </w:pPr>
      <w:bookmarkStart w:id="54" w:name="_Toc165374581"/>
      <w:r w:rsidRPr="00B00B2F">
        <w:rPr>
          <w:i w:val="0"/>
          <w:iCs w:val="0"/>
          <w:color w:val="auto"/>
          <w:sz w:val="20"/>
          <w:szCs w:val="20"/>
        </w:rPr>
        <w:t xml:space="preserve">Figure </w:t>
      </w:r>
      <w:r w:rsidRPr="00B00B2F">
        <w:rPr>
          <w:i w:val="0"/>
          <w:iCs w:val="0"/>
          <w:color w:val="auto"/>
          <w:sz w:val="20"/>
          <w:szCs w:val="20"/>
        </w:rPr>
        <w:fldChar w:fldCharType="begin"/>
      </w:r>
      <w:r w:rsidRPr="00B00B2F">
        <w:rPr>
          <w:i w:val="0"/>
          <w:iCs w:val="0"/>
          <w:color w:val="auto"/>
          <w:sz w:val="20"/>
          <w:szCs w:val="20"/>
        </w:rPr>
        <w:instrText xml:space="preserve"> SEQ Figure \* ARABIC </w:instrText>
      </w:r>
      <w:r w:rsidRPr="00B00B2F">
        <w:rPr>
          <w:i w:val="0"/>
          <w:iCs w:val="0"/>
          <w:color w:val="auto"/>
          <w:sz w:val="20"/>
          <w:szCs w:val="20"/>
        </w:rPr>
        <w:fldChar w:fldCharType="separate"/>
      </w:r>
      <w:r w:rsidR="00575CA5">
        <w:rPr>
          <w:i w:val="0"/>
          <w:iCs w:val="0"/>
          <w:noProof/>
          <w:color w:val="auto"/>
          <w:sz w:val="20"/>
          <w:szCs w:val="20"/>
        </w:rPr>
        <w:t>12</w:t>
      </w:r>
      <w:r w:rsidRPr="00B00B2F">
        <w:rPr>
          <w:i w:val="0"/>
          <w:iCs w:val="0"/>
          <w:color w:val="auto"/>
          <w:sz w:val="20"/>
          <w:szCs w:val="20"/>
        </w:rPr>
        <w:fldChar w:fldCharType="end"/>
      </w:r>
      <w:r w:rsidRPr="00B00B2F">
        <w:rPr>
          <w:i w:val="0"/>
          <w:iCs w:val="0"/>
          <w:color w:val="auto"/>
          <w:sz w:val="20"/>
          <w:szCs w:val="20"/>
        </w:rPr>
        <w:t>: BERKELEY GROUP HOLDINGS PLC Trend Analysis of the Balance Sheet</w:t>
      </w:r>
      <w:bookmarkEnd w:id="54"/>
    </w:p>
    <w:p w14:paraId="0CBF1819" w14:textId="77777777" w:rsidR="00B00B2F" w:rsidRDefault="00923F6C" w:rsidP="00B00B2F">
      <w:pPr>
        <w:keepNext/>
        <w:spacing w:line="360" w:lineRule="auto"/>
        <w:jc w:val="center"/>
      </w:pPr>
      <w:r>
        <w:rPr>
          <w:noProof/>
        </w:rPr>
        <w:lastRenderedPageBreak/>
        <w:drawing>
          <wp:inline distT="0" distB="0" distL="0" distR="0" wp14:anchorId="5A8F6727" wp14:editId="10326776">
            <wp:extent cx="4676775" cy="3409950"/>
            <wp:effectExtent l="0" t="0" r="9525" b="0"/>
            <wp:docPr id="1779637396" name="Chart 1">
              <a:extLst xmlns:a="http://schemas.openxmlformats.org/drawingml/2006/main">
                <a:ext uri="{FF2B5EF4-FFF2-40B4-BE49-F238E27FC236}">
                  <a16:creationId xmlns:a16="http://schemas.microsoft.com/office/drawing/2014/main" id="{BA545C87-307B-6B09-2B56-7D40583E74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E01F8F" w14:textId="6E33032F" w:rsidR="00923F6C" w:rsidRDefault="00B00B2F" w:rsidP="000A3F7C">
      <w:pPr>
        <w:pStyle w:val="Caption"/>
        <w:jc w:val="center"/>
        <w:rPr>
          <w:i w:val="0"/>
          <w:iCs w:val="0"/>
          <w:color w:val="auto"/>
          <w:sz w:val="20"/>
          <w:szCs w:val="20"/>
        </w:rPr>
      </w:pPr>
      <w:bookmarkStart w:id="55" w:name="_Toc165374582"/>
      <w:r w:rsidRPr="000A3F7C">
        <w:rPr>
          <w:i w:val="0"/>
          <w:iCs w:val="0"/>
          <w:color w:val="auto"/>
          <w:sz w:val="20"/>
          <w:szCs w:val="20"/>
        </w:rPr>
        <w:t xml:space="preserve">Figure </w:t>
      </w:r>
      <w:r w:rsidRPr="000A3F7C">
        <w:rPr>
          <w:i w:val="0"/>
          <w:iCs w:val="0"/>
          <w:color w:val="auto"/>
          <w:sz w:val="20"/>
          <w:szCs w:val="20"/>
        </w:rPr>
        <w:fldChar w:fldCharType="begin"/>
      </w:r>
      <w:r w:rsidRPr="000A3F7C">
        <w:rPr>
          <w:i w:val="0"/>
          <w:iCs w:val="0"/>
          <w:color w:val="auto"/>
          <w:sz w:val="20"/>
          <w:szCs w:val="20"/>
        </w:rPr>
        <w:instrText xml:space="preserve"> SEQ Figure \* ARABIC </w:instrText>
      </w:r>
      <w:r w:rsidRPr="000A3F7C">
        <w:rPr>
          <w:i w:val="0"/>
          <w:iCs w:val="0"/>
          <w:color w:val="auto"/>
          <w:sz w:val="20"/>
          <w:szCs w:val="20"/>
        </w:rPr>
        <w:fldChar w:fldCharType="separate"/>
      </w:r>
      <w:r w:rsidR="00575CA5">
        <w:rPr>
          <w:i w:val="0"/>
          <w:iCs w:val="0"/>
          <w:noProof/>
          <w:color w:val="auto"/>
          <w:sz w:val="20"/>
          <w:szCs w:val="20"/>
        </w:rPr>
        <w:t>13</w:t>
      </w:r>
      <w:r w:rsidRPr="000A3F7C">
        <w:rPr>
          <w:i w:val="0"/>
          <w:iCs w:val="0"/>
          <w:color w:val="auto"/>
          <w:sz w:val="20"/>
          <w:szCs w:val="20"/>
        </w:rPr>
        <w:fldChar w:fldCharType="end"/>
      </w:r>
      <w:r w:rsidRPr="000A3F7C">
        <w:rPr>
          <w:i w:val="0"/>
          <w:iCs w:val="0"/>
          <w:color w:val="auto"/>
          <w:sz w:val="20"/>
          <w:szCs w:val="20"/>
        </w:rPr>
        <w:t xml:space="preserve">: BARRATT DEVELOPMENT PLC Trend Analysis of the </w:t>
      </w:r>
      <w:r w:rsidR="000A3F7C" w:rsidRPr="000A3F7C">
        <w:rPr>
          <w:i w:val="0"/>
          <w:iCs w:val="0"/>
          <w:color w:val="auto"/>
          <w:sz w:val="20"/>
          <w:szCs w:val="20"/>
        </w:rPr>
        <w:t>Cash Flow Statement</w:t>
      </w:r>
      <w:bookmarkEnd w:id="55"/>
    </w:p>
    <w:p w14:paraId="16230BEA" w14:textId="77777777" w:rsidR="000A3F7C" w:rsidRPr="000A3F7C" w:rsidRDefault="000A3F7C" w:rsidP="000A3F7C"/>
    <w:p w14:paraId="6A641B45" w14:textId="77777777" w:rsidR="000A3F7C" w:rsidRDefault="000A3F7C" w:rsidP="000A3F7C">
      <w:pPr>
        <w:keepNext/>
        <w:spacing w:after="0" w:line="360" w:lineRule="auto"/>
        <w:jc w:val="center"/>
      </w:pPr>
      <w:r>
        <w:rPr>
          <w:noProof/>
        </w:rPr>
        <w:drawing>
          <wp:inline distT="0" distB="0" distL="0" distR="0" wp14:anchorId="78E8F3FC" wp14:editId="582D7E33">
            <wp:extent cx="4791075" cy="3219450"/>
            <wp:effectExtent l="0" t="0" r="9525" b="0"/>
            <wp:docPr id="1512744771" name="Chart 1">
              <a:extLst xmlns:a="http://schemas.openxmlformats.org/drawingml/2006/main">
                <a:ext uri="{FF2B5EF4-FFF2-40B4-BE49-F238E27FC236}">
                  <a16:creationId xmlns:a16="http://schemas.microsoft.com/office/drawing/2014/main" id="{26333235-A5C7-3891-3AC7-0E5D2E14F2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327A144" w14:textId="04F21474" w:rsidR="00923F6C" w:rsidRPr="000A3F7C" w:rsidRDefault="000A3F7C" w:rsidP="000A3F7C">
      <w:pPr>
        <w:pStyle w:val="Caption"/>
        <w:jc w:val="center"/>
        <w:rPr>
          <w:rFonts w:ascii="Calibri" w:hAnsi="Calibri" w:cs="Calibri"/>
          <w:i w:val="0"/>
          <w:iCs w:val="0"/>
          <w:color w:val="000000" w:themeColor="text1"/>
          <w:sz w:val="20"/>
          <w:szCs w:val="20"/>
        </w:rPr>
      </w:pPr>
      <w:bookmarkStart w:id="56" w:name="_Toc165374583"/>
      <w:r w:rsidRPr="000A3F7C">
        <w:rPr>
          <w:i w:val="0"/>
          <w:iCs w:val="0"/>
          <w:color w:val="auto"/>
          <w:sz w:val="20"/>
          <w:szCs w:val="20"/>
        </w:rPr>
        <w:t xml:space="preserve">Figure </w:t>
      </w:r>
      <w:r w:rsidRPr="000A3F7C">
        <w:rPr>
          <w:i w:val="0"/>
          <w:iCs w:val="0"/>
          <w:color w:val="auto"/>
          <w:sz w:val="20"/>
          <w:szCs w:val="20"/>
        </w:rPr>
        <w:fldChar w:fldCharType="begin"/>
      </w:r>
      <w:r w:rsidRPr="000A3F7C">
        <w:rPr>
          <w:i w:val="0"/>
          <w:iCs w:val="0"/>
          <w:color w:val="auto"/>
          <w:sz w:val="20"/>
          <w:szCs w:val="20"/>
        </w:rPr>
        <w:instrText xml:space="preserve"> SEQ Figure \* ARABIC </w:instrText>
      </w:r>
      <w:r w:rsidRPr="000A3F7C">
        <w:rPr>
          <w:i w:val="0"/>
          <w:iCs w:val="0"/>
          <w:color w:val="auto"/>
          <w:sz w:val="20"/>
          <w:szCs w:val="20"/>
        </w:rPr>
        <w:fldChar w:fldCharType="separate"/>
      </w:r>
      <w:r w:rsidR="00575CA5">
        <w:rPr>
          <w:i w:val="0"/>
          <w:iCs w:val="0"/>
          <w:noProof/>
          <w:color w:val="auto"/>
          <w:sz w:val="20"/>
          <w:szCs w:val="20"/>
        </w:rPr>
        <w:t>14</w:t>
      </w:r>
      <w:r w:rsidRPr="000A3F7C">
        <w:rPr>
          <w:i w:val="0"/>
          <w:iCs w:val="0"/>
          <w:color w:val="auto"/>
          <w:sz w:val="20"/>
          <w:szCs w:val="20"/>
        </w:rPr>
        <w:fldChar w:fldCharType="end"/>
      </w:r>
      <w:r w:rsidRPr="000A3F7C">
        <w:rPr>
          <w:i w:val="0"/>
          <w:iCs w:val="0"/>
          <w:color w:val="auto"/>
          <w:sz w:val="20"/>
          <w:szCs w:val="20"/>
        </w:rPr>
        <w:t>: BERKELEY GROUP HOLDINGS PLC Trend Analysis of the Cash Flow Statement</w:t>
      </w:r>
      <w:bookmarkEnd w:id="56"/>
    </w:p>
    <w:p w14:paraId="6A1E384D" w14:textId="77777777" w:rsidR="000A3F7C" w:rsidRDefault="000A3F7C" w:rsidP="00923F6C">
      <w:pPr>
        <w:spacing w:after="0" w:line="360" w:lineRule="auto"/>
        <w:jc w:val="center"/>
        <w:rPr>
          <w:rFonts w:ascii="Calibri" w:hAnsi="Calibri" w:cs="Calibri"/>
          <w:color w:val="000000" w:themeColor="text1"/>
        </w:rPr>
      </w:pPr>
    </w:p>
    <w:p w14:paraId="55613BDF" w14:textId="77777777" w:rsidR="009D7419" w:rsidRDefault="009D7419" w:rsidP="00923F6C">
      <w:pPr>
        <w:spacing w:after="0" w:line="360" w:lineRule="auto"/>
        <w:jc w:val="center"/>
        <w:rPr>
          <w:rFonts w:ascii="Calibri" w:hAnsi="Calibri" w:cs="Calibri"/>
          <w:color w:val="000000" w:themeColor="text1"/>
        </w:rPr>
      </w:pPr>
    </w:p>
    <w:tbl>
      <w:tblPr>
        <w:tblW w:w="5000" w:type="pct"/>
        <w:tblLook w:val="04A0" w:firstRow="1" w:lastRow="0" w:firstColumn="1" w:lastColumn="0" w:noHBand="0" w:noVBand="1"/>
      </w:tblPr>
      <w:tblGrid>
        <w:gridCol w:w="4650"/>
        <w:gridCol w:w="1080"/>
        <w:gridCol w:w="907"/>
        <w:gridCol w:w="907"/>
        <w:gridCol w:w="907"/>
        <w:gridCol w:w="904"/>
      </w:tblGrid>
      <w:tr w:rsidR="009D7419" w:rsidRPr="00797CAD" w14:paraId="738AF448" w14:textId="77777777" w:rsidTr="00CD240D">
        <w:trPr>
          <w:trHeight w:val="255"/>
        </w:trPr>
        <w:tc>
          <w:tcPr>
            <w:tcW w:w="5000" w:type="pct"/>
            <w:gridSpan w:val="6"/>
            <w:tcBorders>
              <w:top w:val="single" w:sz="4" w:space="0" w:color="95B3D7"/>
              <w:left w:val="single" w:sz="4" w:space="0" w:color="95B3D7"/>
              <w:bottom w:val="single" w:sz="4" w:space="0" w:color="95B3D7"/>
            </w:tcBorders>
            <w:shd w:val="clear" w:color="4F81BD" w:fill="4F81BD"/>
            <w:noWrap/>
            <w:vAlign w:val="bottom"/>
          </w:tcPr>
          <w:p w14:paraId="3BD15F8E" w14:textId="77777777" w:rsidR="009D7419"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lastRenderedPageBreak/>
              <w:t>BARRATT DEVELOPMENT PLC</w:t>
            </w:r>
          </w:p>
          <w:p w14:paraId="6A4BA878" w14:textId="77777777" w:rsidR="009D7419" w:rsidRPr="00797CAD"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INCOME STATEMENT</w:t>
            </w:r>
          </w:p>
        </w:tc>
      </w:tr>
      <w:tr w:rsidR="009D7419" w:rsidRPr="00797CAD" w14:paraId="633CE0F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34CA758D"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Fiscal data as of Jun 30 2023</w:t>
            </w:r>
          </w:p>
        </w:tc>
        <w:tc>
          <w:tcPr>
            <w:tcW w:w="577" w:type="pct"/>
            <w:tcBorders>
              <w:top w:val="single" w:sz="4" w:space="0" w:color="95B3D7"/>
              <w:left w:val="nil"/>
              <w:bottom w:val="single" w:sz="4" w:space="0" w:color="95B3D7"/>
              <w:right w:val="nil"/>
            </w:tcBorders>
            <w:shd w:val="clear" w:color="DCE6F1" w:fill="DCE6F1"/>
            <w:noWrap/>
            <w:vAlign w:val="bottom"/>
            <w:hideMark/>
          </w:tcPr>
          <w:p w14:paraId="560C84C1"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2023</w:t>
            </w:r>
          </w:p>
        </w:tc>
        <w:tc>
          <w:tcPr>
            <w:tcW w:w="485" w:type="pct"/>
            <w:tcBorders>
              <w:top w:val="single" w:sz="4" w:space="0" w:color="95B3D7"/>
              <w:left w:val="nil"/>
              <w:bottom w:val="single" w:sz="4" w:space="0" w:color="95B3D7"/>
              <w:right w:val="nil"/>
            </w:tcBorders>
            <w:shd w:val="clear" w:color="DCE6F1" w:fill="DCE6F1"/>
            <w:noWrap/>
            <w:vAlign w:val="bottom"/>
            <w:hideMark/>
          </w:tcPr>
          <w:p w14:paraId="394DB47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2022</w:t>
            </w:r>
          </w:p>
        </w:tc>
        <w:tc>
          <w:tcPr>
            <w:tcW w:w="485" w:type="pct"/>
            <w:tcBorders>
              <w:top w:val="single" w:sz="4" w:space="0" w:color="95B3D7"/>
              <w:left w:val="nil"/>
              <w:bottom w:val="single" w:sz="4" w:space="0" w:color="95B3D7"/>
              <w:right w:val="nil"/>
            </w:tcBorders>
            <w:shd w:val="clear" w:color="DCE6F1" w:fill="DCE6F1"/>
            <w:noWrap/>
            <w:vAlign w:val="bottom"/>
            <w:hideMark/>
          </w:tcPr>
          <w:p w14:paraId="7511C0C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2021</w:t>
            </w:r>
          </w:p>
        </w:tc>
        <w:tc>
          <w:tcPr>
            <w:tcW w:w="485" w:type="pct"/>
            <w:tcBorders>
              <w:top w:val="single" w:sz="4" w:space="0" w:color="95B3D7"/>
              <w:left w:val="nil"/>
              <w:bottom w:val="single" w:sz="4" w:space="0" w:color="95B3D7"/>
              <w:right w:val="nil"/>
            </w:tcBorders>
            <w:shd w:val="clear" w:color="DCE6F1" w:fill="DCE6F1"/>
            <w:noWrap/>
            <w:vAlign w:val="bottom"/>
            <w:hideMark/>
          </w:tcPr>
          <w:p w14:paraId="451C7F6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2020</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71519E9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2019</w:t>
            </w:r>
          </w:p>
        </w:tc>
      </w:tr>
      <w:tr w:rsidR="009D7419" w:rsidRPr="00797CAD" w14:paraId="2F879FEA"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318F37E0"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REVENUE AND GROSS PROFIT</w:t>
            </w:r>
          </w:p>
        </w:tc>
        <w:tc>
          <w:tcPr>
            <w:tcW w:w="577" w:type="pct"/>
            <w:tcBorders>
              <w:top w:val="single" w:sz="4" w:space="0" w:color="95B3D7"/>
              <w:left w:val="nil"/>
              <w:bottom w:val="single" w:sz="4" w:space="0" w:color="95B3D7"/>
              <w:right w:val="nil"/>
            </w:tcBorders>
            <w:shd w:val="clear" w:color="auto" w:fill="auto"/>
            <w:noWrap/>
            <w:vAlign w:val="bottom"/>
            <w:hideMark/>
          </w:tcPr>
          <w:p w14:paraId="5E5F658A"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0CC73ED2"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52C1B00A"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6B8B60D9"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5D0F5047"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1CF821FF"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010EB1F9"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Total revenue</w:t>
            </w:r>
          </w:p>
        </w:tc>
        <w:tc>
          <w:tcPr>
            <w:tcW w:w="577" w:type="pct"/>
            <w:tcBorders>
              <w:top w:val="single" w:sz="4" w:space="0" w:color="95B3D7"/>
              <w:left w:val="nil"/>
              <w:bottom w:val="single" w:sz="4" w:space="0" w:color="95B3D7"/>
              <w:right w:val="nil"/>
            </w:tcBorders>
            <w:shd w:val="clear" w:color="DCE6F1" w:fill="DCE6F1"/>
            <w:noWrap/>
            <w:vAlign w:val="bottom"/>
            <w:hideMark/>
          </w:tcPr>
          <w:p w14:paraId="2BCE486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5,321</w:t>
            </w:r>
          </w:p>
        </w:tc>
        <w:tc>
          <w:tcPr>
            <w:tcW w:w="485" w:type="pct"/>
            <w:tcBorders>
              <w:top w:val="single" w:sz="4" w:space="0" w:color="95B3D7"/>
              <w:left w:val="nil"/>
              <w:bottom w:val="single" w:sz="4" w:space="0" w:color="95B3D7"/>
              <w:right w:val="nil"/>
            </w:tcBorders>
            <w:shd w:val="clear" w:color="DCE6F1" w:fill="DCE6F1"/>
            <w:noWrap/>
            <w:vAlign w:val="bottom"/>
            <w:hideMark/>
          </w:tcPr>
          <w:p w14:paraId="23BC013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5,268</w:t>
            </w:r>
          </w:p>
        </w:tc>
        <w:tc>
          <w:tcPr>
            <w:tcW w:w="485" w:type="pct"/>
            <w:tcBorders>
              <w:top w:val="single" w:sz="4" w:space="0" w:color="95B3D7"/>
              <w:left w:val="nil"/>
              <w:bottom w:val="single" w:sz="4" w:space="0" w:color="95B3D7"/>
              <w:right w:val="nil"/>
            </w:tcBorders>
            <w:shd w:val="clear" w:color="DCE6F1" w:fill="DCE6F1"/>
            <w:noWrap/>
            <w:vAlign w:val="bottom"/>
            <w:hideMark/>
          </w:tcPr>
          <w:p w14:paraId="7E886F7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4,812</w:t>
            </w:r>
          </w:p>
        </w:tc>
        <w:tc>
          <w:tcPr>
            <w:tcW w:w="485" w:type="pct"/>
            <w:tcBorders>
              <w:top w:val="single" w:sz="4" w:space="0" w:color="95B3D7"/>
              <w:left w:val="nil"/>
              <w:bottom w:val="single" w:sz="4" w:space="0" w:color="95B3D7"/>
              <w:right w:val="nil"/>
            </w:tcBorders>
            <w:shd w:val="clear" w:color="DCE6F1" w:fill="DCE6F1"/>
            <w:noWrap/>
            <w:vAlign w:val="bottom"/>
            <w:hideMark/>
          </w:tcPr>
          <w:p w14:paraId="532A0D4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3,419</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0F4D210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4,763</w:t>
            </w:r>
          </w:p>
        </w:tc>
      </w:tr>
      <w:tr w:rsidR="009D7419" w:rsidRPr="00797CAD" w14:paraId="267BA7EB"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63CE60F"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OPERATING EXPENSES</w:t>
            </w:r>
          </w:p>
        </w:tc>
        <w:tc>
          <w:tcPr>
            <w:tcW w:w="577" w:type="pct"/>
            <w:tcBorders>
              <w:top w:val="single" w:sz="4" w:space="0" w:color="95B3D7"/>
              <w:left w:val="nil"/>
              <w:bottom w:val="single" w:sz="4" w:space="0" w:color="95B3D7"/>
              <w:right w:val="nil"/>
            </w:tcBorders>
            <w:shd w:val="clear" w:color="auto" w:fill="auto"/>
            <w:noWrap/>
            <w:vAlign w:val="bottom"/>
            <w:hideMark/>
          </w:tcPr>
          <w:p w14:paraId="1952D705"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1A0FA12D"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64A70453"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765DE134"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0A958E2A"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354A0862"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70E5A0D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Cost of revenue total</w:t>
            </w:r>
          </w:p>
        </w:tc>
        <w:tc>
          <w:tcPr>
            <w:tcW w:w="577" w:type="pct"/>
            <w:tcBorders>
              <w:top w:val="single" w:sz="4" w:space="0" w:color="95B3D7"/>
              <w:left w:val="nil"/>
              <w:bottom w:val="single" w:sz="4" w:space="0" w:color="95B3D7"/>
              <w:right w:val="nil"/>
            </w:tcBorders>
            <w:shd w:val="clear" w:color="DCE6F1" w:fill="DCE6F1"/>
            <w:noWrap/>
            <w:vAlign w:val="bottom"/>
            <w:hideMark/>
          </w:tcPr>
          <w:p w14:paraId="3459047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4,191</w:t>
            </w:r>
          </w:p>
        </w:tc>
        <w:tc>
          <w:tcPr>
            <w:tcW w:w="485" w:type="pct"/>
            <w:tcBorders>
              <w:top w:val="single" w:sz="4" w:space="0" w:color="95B3D7"/>
              <w:left w:val="nil"/>
              <w:bottom w:val="single" w:sz="4" w:space="0" w:color="95B3D7"/>
              <w:right w:val="nil"/>
            </w:tcBorders>
            <w:shd w:val="clear" w:color="DCE6F1" w:fill="DCE6F1"/>
            <w:noWrap/>
            <w:vAlign w:val="bottom"/>
            <w:hideMark/>
          </w:tcPr>
          <w:p w14:paraId="560E3741"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3,960</w:t>
            </w:r>
          </w:p>
        </w:tc>
        <w:tc>
          <w:tcPr>
            <w:tcW w:w="485" w:type="pct"/>
            <w:tcBorders>
              <w:top w:val="single" w:sz="4" w:space="0" w:color="95B3D7"/>
              <w:left w:val="nil"/>
              <w:bottom w:val="single" w:sz="4" w:space="0" w:color="95B3D7"/>
              <w:right w:val="nil"/>
            </w:tcBorders>
            <w:shd w:val="clear" w:color="DCE6F1" w:fill="DCE6F1"/>
            <w:noWrap/>
            <w:vAlign w:val="bottom"/>
            <w:hideMark/>
          </w:tcPr>
          <w:p w14:paraId="7A6A9E8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3,743</w:t>
            </w:r>
          </w:p>
        </w:tc>
        <w:tc>
          <w:tcPr>
            <w:tcW w:w="485" w:type="pct"/>
            <w:tcBorders>
              <w:top w:val="single" w:sz="4" w:space="0" w:color="95B3D7"/>
              <w:left w:val="nil"/>
              <w:bottom w:val="single" w:sz="4" w:space="0" w:color="95B3D7"/>
              <w:right w:val="nil"/>
            </w:tcBorders>
            <w:shd w:val="clear" w:color="DCE6F1" w:fill="DCE6F1"/>
            <w:noWrap/>
            <w:vAlign w:val="bottom"/>
            <w:hideMark/>
          </w:tcPr>
          <w:p w14:paraId="675008F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2,688</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0475C66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3,676</w:t>
            </w:r>
          </w:p>
        </w:tc>
      </w:tr>
      <w:tr w:rsidR="009D7419" w:rsidRPr="00797CAD" w14:paraId="41F4A04D"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43067B2"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Selling, general and admin. expenses, total</w:t>
            </w:r>
          </w:p>
        </w:tc>
        <w:tc>
          <w:tcPr>
            <w:tcW w:w="577" w:type="pct"/>
            <w:tcBorders>
              <w:top w:val="single" w:sz="4" w:space="0" w:color="95B3D7"/>
              <w:left w:val="nil"/>
              <w:bottom w:val="single" w:sz="4" w:space="0" w:color="95B3D7"/>
              <w:right w:val="nil"/>
            </w:tcBorders>
            <w:shd w:val="clear" w:color="auto" w:fill="auto"/>
            <w:noWrap/>
            <w:vAlign w:val="bottom"/>
            <w:hideMark/>
          </w:tcPr>
          <w:p w14:paraId="00071E8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271</w:t>
            </w:r>
          </w:p>
        </w:tc>
        <w:tc>
          <w:tcPr>
            <w:tcW w:w="485" w:type="pct"/>
            <w:tcBorders>
              <w:top w:val="single" w:sz="4" w:space="0" w:color="95B3D7"/>
              <w:left w:val="nil"/>
              <w:bottom w:val="single" w:sz="4" w:space="0" w:color="95B3D7"/>
              <w:right w:val="nil"/>
            </w:tcBorders>
            <w:shd w:val="clear" w:color="auto" w:fill="auto"/>
            <w:noWrap/>
            <w:vAlign w:val="bottom"/>
            <w:hideMark/>
          </w:tcPr>
          <w:p w14:paraId="2C2B45D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256</w:t>
            </w:r>
          </w:p>
        </w:tc>
        <w:tc>
          <w:tcPr>
            <w:tcW w:w="485" w:type="pct"/>
            <w:tcBorders>
              <w:top w:val="single" w:sz="4" w:space="0" w:color="95B3D7"/>
              <w:left w:val="nil"/>
              <w:bottom w:val="single" w:sz="4" w:space="0" w:color="95B3D7"/>
              <w:right w:val="nil"/>
            </w:tcBorders>
            <w:shd w:val="clear" w:color="auto" w:fill="auto"/>
            <w:noWrap/>
            <w:vAlign w:val="bottom"/>
            <w:hideMark/>
          </w:tcPr>
          <w:p w14:paraId="1322007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208</w:t>
            </w:r>
          </w:p>
        </w:tc>
        <w:tc>
          <w:tcPr>
            <w:tcW w:w="485" w:type="pct"/>
            <w:tcBorders>
              <w:top w:val="single" w:sz="4" w:space="0" w:color="95B3D7"/>
              <w:left w:val="nil"/>
              <w:bottom w:val="single" w:sz="4" w:space="0" w:color="95B3D7"/>
              <w:right w:val="nil"/>
            </w:tcBorders>
            <w:shd w:val="clear" w:color="auto" w:fill="auto"/>
            <w:noWrap/>
            <w:vAlign w:val="bottom"/>
            <w:hideMark/>
          </w:tcPr>
          <w:p w14:paraId="1A78129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128</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0B6F253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213</w:t>
            </w:r>
          </w:p>
        </w:tc>
      </w:tr>
      <w:tr w:rsidR="009D7419" w:rsidRPr="00797CAD" w14:paraId="1F88BFE3"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60B68F93"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Depreciation/amortization</w:t>
            </w:r>
          </w:p>
        </w:tc>
        <w:tc>
          <w:tcPr>
            <w:tcW w:w="577" w:type="pct"/>
            <w:tcBorders>
              <w:top w:val="single" w:sz="4" w:space="0" w:color="95B3D7"/>
              <w:left w:val="nil"/>
              <w:bottom w:val="single" w:sz="4" w:space="0" w:color="95B3D7"/>
              <w:right w:val="nil"/>
            </w:tcBorders>
            <w:shd w:val="clear" w:color="DCE6F1" w:fill="DCE6F1"/>
            <w:noWrap/>
            <w:vAlign w:val="bottom"/>
            <w:hideMark/>
          </w:tcPr>
          <w:p w14:paraId="56AEDFEE"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0DD18C06"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3AF57E7F"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7702B071"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3D37C4E1"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5A79B864"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5C361A44"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Unusual expense(income)</w:t>
            </w:r>
          </w:p>
        </w:tc>
        <w:tc>
          <w:tcPr>
            <w:tcW w:w="577" w:type="pct"/>
            <w:tcBorders>
              <w:top w:val="single" w:sz="4" w:space="0" w:color="95B3D7"/>
              <w:left w:val="nil"/>
              <w:bottom w:val="single" w:sz="4" w:space="0" w:color="95B3D7"/>
              <w:right w:val="nil"/>
            </w:tcBorders>
            <w:shd w:val="clear" w:color="auto" w:fill="auto"/>
            <w:noWrap/>
            <w:vAlign w:val="bottom"/>
            <w:hideMark/>
          </w:tcPr>
          <w:p w14:paraId="229A826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179</w:t>
            </w:r>
          </w:p>
        </w:tc>
        <w:tc>
          <w:tcPr>
            <w:tcW w:w="485" w:type="pct"/>
            <w:tcBorders>
              <w:top w:val="single" w:sz="4" w:space="0" w:color="95B3D7"/>
              <w:left w:val="nil"/>
              <w:bottom w:val="single" w:sz="4" w:space="0" w:color="95B3D7"/>
              <w:right w:val="nil"/>
            </w:tcBorders>
            <w:shd w:val="clear" w:color="auto" w:fill="auto"/>
            <w:noWrap/>
            <w:vAlign w:val="bottom"/>
            <w:hideMark/>
          </w:tcPr>
          <w:p w14:paraId="1C88E81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413</w:t>
            </w:r>
          </w:p>
        </w:tc>
        <w:tc>
          <w:tcPr>
            <w:tcW w:w="485" w:type="pct"/>
            <w:tcBorders>
              <w:top w:val="single" w:sz="4" w:space="0" w:color="95B3D7"/>
              <w:left w:val="nil"/>
              <w:bottom w:val="single" w:sz="4" w:space="0" w:color="95B3D7"/>
              <w:right w:val="nil"/>
            </w:tcBorders>
            <w:shd w:val="clear" w:color="auto" w:fill="auto"/>
            <w:noWrap/>
            <w:vAlign w:val="bottom"/>
            <w:hideMark/>
          </w:tcPr>
          <w:p w14:paraId="4B3C387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56</w:t>
            </w:r>
          </w:p>
        </w:tc>
        <w:tc>
          <w:tcPr>
            <w:tcW w:w="485" w:type="pct"/>
            <w:tcBorders>
              <w:top w:val="single" w:sz="4" w:space="0" w:color="95B3D7"/>
              <w:left w:val="nil"/>
              <w:bottom w:val="single" w:sz="4" w:space="0" w:color="95B3D7"/>
              <w:right w:val="nil"/>
            </w:tcBorders>
            <w:shd w:val="clear" w:color="auto" w:fill="auto"/>
            <w:noWrap/>
            <w:vAlign w:val="bottom"/>
            <w:hideMark/>
          </w:tcPr>
          <w:p w14:paraId="604FB221"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114</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6C7187F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4.3</w:t>
            </w:r>
          </w:p>
        </w:tc>
      </w:tr>
      <w:tr w:rsidR="009D7419" w:rsidRPr="00797CAD" w14:paraId="0758D9C7"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0AA3ADDF"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Other operating expenses, total</w:t>
            </w:r>
          </w:p>
        </w:tc>
        <w:tc>
          <w:tcPr>
            <w:tcW w:w="577" w:type="pct"/>
            <w:tcBorders>
              <w:top w:val="single" w:sz="4" w:space="0" w:color="95B3D7"/>
              <w:left w:val="nil"/>
              <w:bottom w:val="single" w:sz="4" w:space="0" w:color="95B3D7"/>
              <w:right w:val="nil"/>
            </w:tcBorders>
            <w:shd w:val="clear" w:color="DCE6F1" w:fill="DCE6F1"/>
            <w:noWrap/>
            <w:vAlign w:val="bottom"/>
            <w:hideMark/>
          </w:tcPr>
          <w:p w14:paraId="4451F9C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-3.3</w:t>
            </w:r>
          </w:p>
        </w:tc>
        <w:tc>
          <w:tcPr>
            <w:tcW w:w="485" w:type="pct"/>
            <w:tcBorders>
              <w:top w:val="single" w:sz="4" w:space="0" w:color="95B3D7"/>
              <w:left w:val="nil"/>
              <w:bottom w:val="single" w:sz="4" w:space="0" w:color="95B3D7"/>
              <w:right w:val="nil"/>
            </w:tcBorders>
            <w:shd w:val="clear" w:color="DCE6F1" w:fill="DCE6F1"/>
            <w:noWrap/>
            <w:vAlign w:val="bottom"/>
            <w:hideMark/>
          </w:tcPr>
          <w:p w14:paraId="17E9641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-3.1</w:t>
            </w:r>
          </w:p>
        </w:tc>
        <w:tc>
          <w:tcPr>
            <w:tcW w:w="485" w:type="pct"/>
            <w:tcBorders>
              <w:top w:val="single" w:sz="4" w:space="0" w:color="95B3D7"/>
              <w:left w:val="nil"/>
              <w:bottom w:val="single" w:sz="4" w:space="0" w:color="95B3D7"/>
              <w:right w:val="nil"/>
            </w:tcBorders>
            <w:shd w:val="clear" w:color="DCE6F1" w:fill="DCE6F1"/>
            <w:noWrap/>
            <w:vAlign w:val="bottom"/>
            <w:hideMark/>
          </w:tcPr>
          <w:p w14:paraId="6FB0F9A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-5.5</w:t>
            </w:r>
          </w:p>
        </w:tc>
        <w:tc>
          <w:tcPr>
            <w:tcW w:w="485" w:type="pct"/>
            <w:tcBorders>
              <w:top w:val="single" w:sz="4" w:space="0" w:color="95B3D7"/>
              <w:left w:val="nil"/>
              <w:bottom w:val="single" w:sz="4" w:space="0" w:color="95B3D7"/>
              <w:right w:val="nil"/>
            </w:tcBorders>
            <w:shd w:val="clear" w:color="DCE6F1" w:fill="DCE6F1"/>
            <w:noWrap/>
            <w:vAlign w:val="bottom"/>
            <w:hideMark/>
          </w:tcPr>
          <w:p w14:paraId="73656F5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-3.6</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156CBB4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-30</w:t>
            </w:r>
          </w:p>
        </w:tc>
      </w:tr>
      <w:tr w:rsidR="009D7419" w:rsidRPr="00797CAD" w14:paraId="266BDABB"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6A75200"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Total operating expense</w:t>
            </w:r>
          </w:p>
        </w:tc>
        <w:tc>
          <w:tcPr>
            <w:tcW w:w="577" w:type="pct"/>
            <w:tcBorders>
              <w:top w:val="single" w:sz="4" w:space="0" w:color="95B3D7"/>
              <w:left w:val="nil"/>
              <w:bottom w:val="single" w:sz="4" w:space="0" w:color="95B3D7"/>
              <w:right w:val="nil"/>
            </w:tcBorders>
            <w:shd w:val="clear" w:color="auto" w:fill="auto"/>
            <w:noWrap/>
            <w:vAlign w:val="bottom"/>
            <w:hideMark/>
          </w:tcPr>
          <w:p w14:paraId="0C01B85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4,638</w:t>
            </w:r>
          </w:p>
        </w:tc>
        <w:tc>
          <w:tcPr>
            <w:tcW w:w="485" w:type="pct"/>
            <w:tcBorders>
              <w:top w:val="single" w:sz="4" w:space="0" w:color="95B3D7"/>
              <w:left w:val="nil"/>
              <w:bottom w:val="single" w:sz="4" w:space="0" w:color="95B3D7"/>
              <w:right w:val="nil"/>
            </w:tcBorders>
            <w:shd w:val="clear" w:color="auto" w:fill="auto"/>
            <w:noWrap/>
            <w:vAlign w:val="bottom"/>
            <w:hideMark/>
          </w:tcPr>
          <w:p w14:paraId="390ADD6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4,626</w:t>
            </w:r>
          </w:p>
        </w:tc>
        <w:tc>
          <w:tcPr>
            <w:tcW w:w="485" w:type="pct"/>
            <w:tcBorders>
              <w:top w:val="single" w:sz="4" w:space="0" w:color="95B3D7"/>
              <w:left w:val="nil"/>
              <w:bottom w:val="single" w:sz="4" w:space="0" w:color="95B3D7"/>
              <w:right w:val="nil"/>
            </w:tcBorders>
            <w:shd w:val="clear" w:color="auto" w:fill="auto"/>
            <w:noWrap/>
            <w:vAlign w:val="bottom"/>
            <w:hideMark/>
          </w:tcPr>
          <w:p w14:paraId="70DD219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4,000</w:t>
            </w:r>
          </w:p>
        </w:tc>
        <w:tc>
          <w:tcPr>
            <w:tcW w:w="485" w:type="pct"/>
            <w:tcBorders>
              <w:top w:val="single" w:sz="4" w:space="0" w:color="95B3D7"/>
              <w:left w:val="nil"/>
              <w:bottom w:val="single" w:sz="4" w:space="0" w:color="95B3D7"/>
              <w:right w:val="nil"/>
            </w:tcBorders>
            <w:shd w:val="clear" w:color="auto" w:fill="auto"/>
            <w:noWrap/>
            <w:vAlign w:val="bottom"/>
            <w:hideMark/>
          </w:tcPr>
          <w:p w14:paraId="6E5EA83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2,926</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4069659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3,864</w:t>
            </w:r>
          </w:p>
        </w:tc>
      </w:tr>
      <w:tr w:rsidR="009D7419" w:rsidRPr="00797CAD" w14:paraId="5D409D60"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12B2EF3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Operating income</w:t>
            </w:r>
          </w:p>
        </w:tc>
        <w:tc>
          <w:tcPr>
            <w:tcW w:w="577" w:type="pct"/>
            <w:tcBorders>
              <w:top w:val="single" w:sz="4" w:space="0" w:color="95B3D7"/>
              <w:left w:val="nil"/>
              <w:bottom w:val="single" w:sz="4" w:space="0" w:color="95B3D7"/>
              <w:right w:val="nil"/>
            </w:tcBorders>
            <w:shd w:val="clear" w:color="DCE6F1" w:fill="DCE6F1"/>
            <w:noWrap/>
            <w:vAlign w:val="bottom"/>
            <w:hideMark/>
          </w:tcPr>
          <w:p w14:paraId="7590863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684</w:t>
            </w:r>
          </w:p>
        </w:tc>
        <w:tc>
          <w:tcPr>
            <w:tcW w:w="485" w:type="pct"/>
            <w:tcBorders>
              <w:top w:val="single" w:sz="4" w:space="0" w:color="95B3D7"/>
              <w:left w:val="nil"/>
              <w:bottom w:val="single" w:sz="4" w:space="0" w:color="95B3D7"/>
              <w:right w:val="nil"/>
            </w:tcBorders>
            <w:shd w:val="clear" w:color="DCE6F1" w:fill="DCE6F1"/>
            <w:noWrap/>
            <w:vAlign w:val="bottom"/>
            <w:hideMark/>
          </w:tcPr>
          <w:p w14:paraId="4479FFB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642</w:t>
            </w:r>
          </w:p>
        </w:tc>
        <w:tc>
          <w:tcPr>
            <w:tcW w:w="485" w:type="pct"/>
            <w:tcBorders>
              <w:top w:val="single" w:sz="4" w:space="0" w:color="95B3D7"/>
              <w:left w:val="nil"/>
              <w:bottom w:val="single" w:sz="4" w:space="0" w:color="95B3D7"/>
              <w:right w:val="nil"/>
            </w:tcBorders>
            <w:shd w:val="clear" w:color="DCE6F1" w:fill="DCE6F1"/>
            <w:noWrap/>
            <w:vAlign w:val="bottom"/>
            <w:hideMark/>
          </w:tcPr>
          <w:p w14:paraId="1754D6F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812</w:t>
            </w:r>
          </w:p>
        </w:tc>
        <w:tc>
          <w:tcPr>
            <w:tcW w:w="485" w:type="pct"/>
            <w:tcBorders>
              <w:top w:val="single" w:sz="4" w:space="0" w:color="95B3D7"/>
              <w:left w:val="nil"/>
              <w:bottom w:val="single" w:sz="4" w:space="0" w:color="95B3D7"/>
              <w:right w:val="nil"/>
            </w:tcBorders>
            <w:shd w:val="clear" w:color="DCE6F1" w:fill="DCE6F1"/>
            <w:noWrap/>
            <w:vAlign w:val="bottom"/>
            <w:hideMark/>
          </w:tcPr>
          <w:p w14:paraId="2CC8A63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493</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289E5571"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899</w:t>
            </w:r>
          </w:p>
        </w:tc>
      </w:tr>
      <w:tr w:rsidR="009D7419" w:rsidRPr="00797CAD" w14:paraId="7371C1F3"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12E2571A"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Other, net</w:t>
            </w:r>
          </w:p>
        </w:tc>
        <w:tc>
          <w:tcPr>
            <w:tcW w:w="577" w:type="pct"/>
            <w:tcBorders>
              <w:top w:val="single" w:sz="4" w:space="0" w:color="95B3D7"/>
              <w:left w:val="nil"/>
              <w:bottom w:val="single" w:sz="4" w:space="0" w:color="95B3D7"/>
              <w:right w:val="nil"/>
            </w:tcBorders>
            <w:shd w:val="clear" w:color="auto" w:fill="auto"/>
            <w:noWrap/>
            <w:vAlign w:val="bottom"/>
            <w:hideMark/>
          </w:tcPr>
          <w:p w14:paraId="1034312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-23</w:t>
            </w:r>
          </w:p>
        </w:tc>
        <w:tc>
          <w:tcPr>
            <w:tcW w:w="485" w:type="pct"/>
            <w:tcBorders>
              <w:top w:val="single" w:sz="4" w:space="0" w:color="95B3D7"/>
              <w:left w:val="nil"/>
              <w:bottom w:val="single" w:sz="4" w:space="0" w:color="95B3D7"/>
              <w:right w:val="nil"/>
            </w:tcBorders>
            <w:shd w:val="clear" w:color="auto" w:fill="auto"/>
            <w:noWrap/>
            <w:vAlign w:val="bottom"/>
            <w:hideMark/>
          </w:tcPr>
          <w:p w14:paraId="3D4E5B31"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-19</w:t>
            </w:r>
          </w:p>
        </w:tc>
        <w:tc>
          <w:tcPr>
            <w:tcW w:w="485" w:type="pct"/>
            <w:tcBorders>
              <w:top w:val="single" w:sz="4" w:space="0" w:color="95B3D7"/>
              <w:left w:val="nil"/>
              <w:bottom w:val="single" w:sz="4" w:space="0" w:color="95B3D7"/>
              <w:right w:val="nil"/>
            </w:tcBorders>
            <w:shd w:val="clear" w:color="auto" w:fill="auto"/>
            <w:noWrap/>
            <w:vAlign w:val="bottom"/>
            <w:hideMark/>
          </w:tcPr>
          <w:p w14:paraId="020D3F3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-16</w:t>
            </w:r>
          </w:p>
        </w:tc>
        <w:tc>
          <w:tcPr>
            <w:tcW w:w="485" w:type="pct"/>
            <w:tcBorders>
              <w:top w:val="single" w:sz="4" w:space="0" w:color="95B3D7"/>
              <w:left w:val="nil"/>
              <w:bottom w:val="single" w:sz="4" w:space="0" w:color="95B3D7"/>
              <w:right w:val="nil"/>
            </w:tcBorders>
            <w:shd w:val="clear" w:color="auto" w:fill="auto"/>
            <w:noWrap/>
            <w:vAlign w:val="bottom"/>
            <w:hideMark/>
          </w:tcPr>
          <w:p w14:paraId="513F07B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-21</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7A1785B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-22</w:t>
            </w:r>
          </w:p>
        </w:tc>
      </w:tr>
      <w:tr w:rsidR="009D7419" w:rsidRPr="00797CAD" w14:paraId="3BCA189B" w14:textId="77777777" w:rsidTr="00CD240D">
        <w:trPr>
          <w:trHeight w:val="255"/>
        </w:trPr>
        <w:tc>
          <w:tcPr>
            <w:tcW w:w="3061" w:type="pct"/>
            <w:gridSpan w:val="2"/>
            <w:tcBorders>
              <w:top w:val="single" w:sz="4" w:space="0" w:color="95B3D7"/>
              <w:left w:val="single" w:sz="4" w:space="0" w:color="95B3D7"/>
              <w:bottom w:val="single" w:sz="4" w:space="0" w:color="95B3D7"/>
              <w:right w:val="nil"/>
            </w:tcBorders>
            <w:shd w:val="clear" w:color="DCE6F1" w:fill="DCE6F1"/>
            <w:noWrap/>
            <w:vAlign w:val="bottom"/>
            <w:hideMark/>
          </w:tcPr>
          <w:p w14:paraId="6E2A8CDF"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INCOME TAXES, MINORITY INTEREST AND EXTRA ITEMS</w:t>
            </w:r>
          </w:p>
        </w:tc>
        <w:tc>
          <w:tcPr>
            <w:tcW w:w="485" w:type="pct"/>
            <w:tcBorders>
              <w:top w:val="single" w:sz="4" w:space="0" w:color="95B3D7"/>
              <w:left w:val="nil"/>
              <w:bottom w:val="single" w:sz="4" w:space="0" w:color="95B3D7"/>
              <w:right w:val="nil"/>
            </w:tcBorders>
            <w:shd w:val="clear" w:color="DCE6F1" w:fill="DCE6F1"/>
            <w:noWrap/>
            <w:vAlign w:val="bottom"/>
            <w:hideMark/>
          </w:tcPr>
          <w:p w14:paraId="716B421E"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3AD46386"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00FAD171"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314193A6"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5D027C77"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531EB45B"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Net income before taxes</w:t>
            </w:r>
          </w:p>
        </w:tc>
        <w:tc>
          <w:tcPr>
            <w:tcW w:w="577" w:type="pct"/>
            <w:tcBorders>
              <w:top w:val="single" w:sz="4" w:space="0" w:color="95B3D7"/>
              <w:left w:val="nil"/>
              <w:bottom w:val="single" w:sz="4" w:space="0" w:color="95B3D7"/>
              <w:right w:val="nil"/>
            </w:tcBorders>
            <w:shd w:val="clear" w:color="auto" w:fill="auto"/>
            <w:noWrap/>
            <w:vAlign w:val="bottom"/>
            <w:hideMark/>
          </w:tcPr>
          <w:p w14:paraId="5BF9F88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705</w:t>
            </w:r>
          </w:p>
        </w:tc>
        <w:tc>
          <w:tcPr>
            <w:tcW w:w="485" w:type="pct"/>
            <w:tcBorders>
              <w:top w:val="single" w:sz="4" w:space="0" w:color="95B3D7"/>
              <w:left w:val="nil"/>
              <w:bottom w:val="single" w:sz="4" w:space="0" w:color="95B3D7"/>
              <w:right w:val="nil"/>
            </w:tcBorders>
            <w:shd w:val="clear" w:color="auto" w:fill="auto"/>
            <w:noWrap/>
            <w:vAlign w:val="bottom"/>
            <w:hideMark/>
          </w:tcPr>
          <w:p w14:paraId="1FBF207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642</w:t>
            </w:r>
          </w:p>
        </w:tc>
        <w:tc>
          <w:tcPr>
            <w:tcW w:w="485" w:type="pct"/>
            <w:tcBorders>
              <w:top w:val="single" w:sz="4" w:space="0" w:color="95B3D7"/>
              <w:left w:val="nil"/>
              <w:bottom w:val="single" w:sz="4" w:space="0" w:color="95B3D7"/>
              <w:right w:val="nil"/>
            </w:tcBorders>
            <w:shd w:val="clear" w:color="auto" w:fill="auto"/>
            <w:noWrap/>
            <w:vAlign w:val="bottom"/>
            <w:hideMark/>
          </w:tcPr>
          <w:p w14:paraId="024E3B0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812</w:t>
            </w:r>
          </w:p>
        </w:tc>
        <w:tc>
          <w:tcPr>
            <w:tcW w:w="485" w:type="pct"/>
            <w:tcBorders>
              <w:top w:val="single" w:sz="4" w:space="0" w:color="95B3D7"/>
              <w:left w:val="nil"/>
              <w:bottom w:val="single" w:sz="4" w:space="0" w:color="95B3D7"/>
              <w:right w:val="nil"/>
            </w:tcBorders>
            <w:shd w:val="clear" w:color="auto" w:fill="auto"/>
            <w:noWrap/>
            <w:vAlign w:val="bottom"/>
            <w:hideMark/>
          </w:tcPr>
          <w:p w14:paraId="0E3AFFF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492</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087A75B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910</w:t>
            </w:r>
          </w:p>
        </w:tc>
      </w:tr>
      <w:tr w:rsidR="009D7419" w:rsidRPr="00797CAD" w14:paraId="378106F4"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436DC7A8"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Provision for income taxes</w:t>
            </w:r>
          </w:p>
        </w:tc>
        <w:tc>
          <w:tcPr>
            <w:tcW w:w="577" w:type="pct"/>
            <w:tcBorders>
              <w:top w:val="single" w:sz="4" w:space="0" w:color="95B3D7"/>
              <w:left w:val="nil"/>
              <w:bottom w:val="single" w:sz="4" w:space="0" w:color="95B3D7"/>
              <w:right w:val="nil"/>
            </w:tcBorders>
            <w:shd w:val="clear" w:color="DCE6F1" w:fill="DCE6F1"/>
            <w:noWrap/>
            <w:vAlign w:val="bottom"/>
            <w:hideMark/>
          </w:tcPr>
          <w:p w14:paraId="65915D7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175</w:t>
            </w:r>
          </w:p>
        </w:tc>
        <w:tc>
          <w:tcPr>
            <w:tcW w:w="485" w:type="pct"/>
            <w:tcBorders>
              <w:top w:val="single" w:sz="4" w:space="0" w:color="95B3D7"/>
              <w:left w:val="nil"/>
              <w:bottom w:val="single" w:sz="4" w:space="0" w:color="95B3D7"/>
              <w:right w:val="nil"/>
            </w:tcBorders>
            <w:shd w:val="clear" w:color="DCE6F1" w:fill="DCE6F1"/>
            <w:noWrap/>
            <w:vAlign w:val="bottom"/>
            <w:hideMark/>
          </w:tcPr>
          <w:p w14:paraId="14BC35A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127</w:t>
            </w:r>
          </w:p>
        </w:tc>
        <w:tc>
          <w:tcPr>
            <w:tcW w:w="485" w:type="pct"/>
            <w:tcBorders>
              <w:top w:val="single" w:sz="4" w:space="0" w:color="95B3D7"/>
              <w:left w:val="nil"/>
              <w:bottom w:val="single" w:sz="4" w:space="0" w:color="95B3D7"/>
              <w:right w:val="nil"/>
            </w:tcBorders>
            <w:shd w:val="clear" w:color="DCE6F1" w:fill="DCE6F1"/>
            <w:noWrap/>
            <w:vAlign w:val="bottom"/>
            <w:hideMark/>
          </w:tcPr>
          <w:p w14:paraId="1362950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152</w:t>
            </w:r>
          </w:p>
        </w:tc>
        <w:tc>
          <w:tcPr>
            <w:tcW w:w="485" w:type="pct"/>
            <w:tcBorders>
              <w:top w:val="single" w:sz="4" w:space="0" w:color="95B3D7"/>
              <w:left w:val="nil"/>
              <w:bottom w:val="single" w:sz="4" w:space="0" w:color="95B3D7"/>
              <w:right w:val="nil"/>
            </w:tcBorders>
            <w:shd w:val="clear" w:color="DCE6F1" w:fill="DCE6F1"/>
            <w:noWrap/>
            <w:vAlign w:val="bottom"/>
            <w:hideMark/>
          </w:tcPr>
          <w:p w14:paraId="47FB9C6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89</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1AAB44F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170</w:t>
            </w:r>
          </w:p>
        </w:tc>
      </w:tr>
      <w:tr w:rsidR="009D7419" w:rsidRPr="00797CAD" w14:paraId="25D66003"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6BF48EF6"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Net income after taxes</w:t>
            </w:r>
          </w:p>
        </w:tc>
        <w:tc>
          <w:tcPr>
            <w:tcW w:w="577" w:type="pct"/>
            <w:tcBorders>
              <w:top w:val="single" w:sz="4" w:space="0" w:color="95B3D7"/>
              <w:left w:val="nil"/>
              <w:bottom w:val="single" w:sz="4" w:space="0" w:color="95B3D7"/>
              <w:right w:val="nil"/>
            </w:tcBorders>
            <w:shd w:val="clear" w:color="auto" w:fill="auto"/>
            <w:noWrap/>
            <w:vAlign w:val="bottom"/>
            <w:hideMark/>
          </w:tcPr>
          <w:p w14:paraId="201D68C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530</w:t>
            </w:r>
          </w:p>
        </w:tc>
        <w:tc>
          <w:tcPr>
            <w:tcW w:w="485" w:type="pct"/>
            <w:tcBorders>
              <w:top w:val="single" w:sz="4" w:space="0" w:color="95B3D7"/>
              <w:left w:val="nil"/>
              <w:bottom w:val="single" w:sz="4" w:space="0" w:color="95B3D7"/>
              <w:right w:val="nil"/>
            </w:tcBorders>
            <w:shd w:val="clear" w:color="auto" w:fill="auto"/>
            <w:noWrap/>
            <w:vAlign w:val="bottom"/>
            <w:hideMark/>
          </w:tcPr>
          <w:p w14:paraId="23498C6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515</w:t>
            </w:r>
          </w:p>
        </w:tc>
        <w:tc>
          <w:tcPr>
            <w:tcW w:w="485" w:type="pct"/>
            <w:tcBorders>
              <w:top w:val="single" w:sz="4" w:space="0" w:color="95B3D7"/>
              <w:left w:val="nil"/>
              <w:bottom w:val="single" w:sz="4" w:space="0" w:color="95B3D7"/>
              <w:right w:val="nil"/>
            </w:tcBorders>
            <w:shd w:val="clear" w:color="auto" w:fill="auto"/>
            <w:noWrap/>
            <w:vAlign w:val="bottom"/>
            <w:hideMark/>
          </w:tcPr>
          <w:p w14:paraId="579C641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660</w:t>
            </w:r>
          </w:p>
        </w:tc>
        <w:tc>
          <w:tcPr>
            <w:tcW w:w="485" w:type="pct"/>
            <w:tcBorders>
              <w:top w:val="single" w:sz="4" w:space="0" w:color="95B3D7"/>
              <w:left w:val="nil"/>
              <w:bottom w:val="single" w:sz="4" w:space="0" w:color="95B3D7"/>
              <w:right w:val="nil"/>
            </w:tcBorders>
            <w:shd w:val="clear" w:color="auto" w:fill="auto"/>
            <w:noWrap/>
            <w:vAlign w:val="bottom"/>
            <w:hideMark/>
          </w:tcPr>
          <w:p w14:paraId="25B9DA2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403</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65F291F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739</w:t>
            </w:r>
          </w:p>
        </w:tc>
      </w:tr>
      <w:tr w:rsidR="009D7419" w:rsidRPr="00797CAD" w14:paraId="6C9DA1D3"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2C2E1E2B"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Minority interest</w:t>
            </w:r>
          </w:p>
        </w:tc>
        <w:tc>
          <w:tcPr>
            <w:tcW w:w="577" w:type="pct"/>
            <w:tcBorders>
              <w:top w:val="single" w:sz="4" w:space="0" w:color="95B3D7"/>
              <w:left w:val="nil"/>
              <w:bottom w:val="single" w:sz="4" w:space="0" w:color="95B3D7"/>
              <w:right w:val="nil"/>
            </w:tcBorders>
            <w:shd w:val="clear" w:color="DCE6F1" w:fill="DCE6F1"/>
            <w:noWrap/>
            <w:vAlign w:val="bottom"/>
            <w:hideMark/>
          </w:tcPr>
          <w:p w14:paraId="0048319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w:t>
            </w:r>
          </w:p>
        </w:tc>
        <w:tc>
          <w:tcPr>
            <w:tcW w:w="485" w:type="pct"/>
            <w:tcBorders>
              <w:top w:val="single" w:sz="4" w:space="0" w:color="95B3D7"/>
              <w:left w:val="nil"/>
              <w:bottom w:val="single" w:sz="4" w:space="0" w:color="95B3D7"/>
              <w:right w:val="nil"/>
            </w:tcBorders>
            <w:shd w:val="clear" w:color="DCE6F1" w:fill="DCE6F1"/>
            <w:noWrap/>
            <w:vAlign w:val="bottom"/>
            <w:hideMark/>
          </w:tcPr>
          <w:p w14:paraId="6CA40D4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-0.1</w:t>
            </w:r>
          </w:p>
        </w:tc>
        <w:tc>
          <w:tcPr>
            <w:tcW w:w="485" w:type="pct"/>
            <w:tcBorders>
              <w:top w:val="single" w:sz="4" w:space="0" w:color="95B3D7"/>
              <w:left w:val="nil"/>
              <w:bottom w:val="single" w:sz="4" w:space="0" w:color="95B3D7"/>
              <w:right w:val="nil"/>
            </w:tcBorders>
            <w:shd w:val="clear" w:color="DCE6F1" w:fill="DCE6F1"/>
            <w:noWrap/>
            <w:vAlign w:val="bottom"/>
            <w:hideMark/>
          </w:tcPr>
          <w:p w14:paraId="6C9E544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w:t>
            </w:r>
          </w:p>
        </w:tc>
        <w:tc>
          <w:tcPr>
            <w:tcW w:w="485" w:type="pct"/>
            <w:tcBorders>
              <w:top w:val="single" w:sz="4" w:space="0" w:color="95B3D7"/>
              <w:left w:val="nil"/>
              <w:bottom w:val="single" w:sz="4" w:space="0" w:color="95B3D7"/>
              <w:right w:val="nil"/>
            </w:tcBorders>
            <w:shd w:val="clear" w:color="DCE6F1" w:fill="DCE6F1"/>
            <w:noWrap/>
            <w:vAlign w:val="bottom"/>
            <w:hideMark/>
          </w:tcPr>
          <w:p w14:paraId="111511C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70579FE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w:t>
            </w:r>
          </w:p>
        </w:tc>
      </w:tr>
      <w:tr w:rsidR="009D7419" w:rsidRPr="00797CAD" w14:paraId="5F46AFB8"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6561E40"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Net income before extra. Items</w:t>
            </w:r>
          </w:p>
        </w:tc>
        <w:tc>
          <w:tcPr>
            <w:tcW w:w="577" w:type="pct"/>
            <w:tcBorders>
              <w:top w:val="single" w:sz="4" w:space="0" w:color="95B3D7"/>
              <w:left w:val="nil"/>
              <w:bottom w:val="single" w:sz="4" w:space="0" w:color="95B3D7"/>
              <w:right w:val="nil"/>
            </w:tcBorders>
            <w:shd w:val="clear" w:color="auto" w:fill="auto"/>
            <w:noWrap/>
            <w:vAlign w:val="bottom"/>
            <w:hideMark/>
          </w:tcPr>
          <w:p w14:paraId="60D36E2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530</w:t>
            </w:r>
          </w:p>
        </w:tc>
        <w:tc>
          <w:tcPr>
            <w:tcW w:w="485" w:type="pct"/>
            <w:tcBorders>
              <w:top w:val="single" w:sz="4" w:space="0" w:color="95B3D7"/>
              <w:left w:val="nil"/>
              <w:bottom w:val="single" w:sz="4" w:space="0" w:color="95B3D7"/>
              <w:right w:val="nil"/>
            </w:tcBorders>
            <w:shd w:val="clear" w:color="auto" w:fill="auto"/>
            <w:noWrap/>
            <w:vAlign w:val="bottom"/>
            <w:hideMark/>
          </w:tcPr>
          <w:p w14:paraId="2A36374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515</w:t>
            </w:r>
          </w:p>
        </w:tc>
        <w:tc>
          <w:tcPr>
            <w:tcW w:w="485" w:type="pct"/>
            <w:tcBorders>
              <w:top w:val="single" w:sz="4" w:space="0" w:color="95B3D7"/>
              <w:left w:val="nil"/>
              <w:bottom w:val="single" w:sz="4" w:space="0" w:color="95B3D7"/>
              <w:right w:val="nil"/>
            </w:tcBorders>
            <w:shd w:val="clear" w:color="auto" w:fill="auto"/>
            <w:noWrap/>
            <w:vAlign w:val="bottom"/>
            <w:hideMark/>
          </w:tcPr>
          <w:p w14:paraId="7CF32F2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660</w:t>
            </w:r>
          </w:p>
        </w:tc>
        <w:tc>
          <w:tcPr>
            <w:tcW w:w="485" w:type="pct"/>
            <w:tcBorders>
              <w:top w:val="single" w:sz="4" w:space="0" w:color="95B3D7"/>
              <w:left w:val="nil"/>
              <w:bottom w:val="single" w:sz="4" w:space="0" w:color="95B3D7"/>
              <w:right w:val="nil"/>
            </w:tcBorders>
            <w:shd w:val="clear" w:color="auto" w:fill="auto"/>
            <w:noWrap/>
            <w:vAlign w:val="bottom"/>
            <w:hideMark/>
          </w:tcPr>
          <w:p w14:paraId="1863CF6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400</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4818176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740</w:t>
            </w:r>
          </w:p>
        </w:tc>
      </w:tr>
      <w:tr w:rsidR="009D7419" w:rsidRPr="00797CAD" w14:paraId="06CA5E0F"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35D015DD"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Total extraordinary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0AE387F8"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55E3EFE9"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2477AE0A"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1E5C7ACB"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5CDF8A52"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037AC78C"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1C871901"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Net income</w:t>
            </w:r>
          </w:p>
        </w:tc>
        <w:tc>
          <w:tcPr>
            <w:tcW w:w="577" w:type="pct"/>
            <w:tcBorders>
              <w:top w:val="single" w:sz="4" w:space="0" w:color="95B3D7"/>
              <w:left w:val="nil"/>
              <w:bottom w:val="single" w:sz="4" w:space="0" w:color="95B3D7"/>
              <w:right w:val="nil"/>
            </w:tcBorders>
            <w:shd w:val="clear" w:color="auto" w:fill="auto"/>
            <w:noWrap/>
            <w:vAlign w:val="bottom"/>
            <w:hideMark/>
          </w:tcPr>
          <w:p w14:paraId="05D6EDA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530</w:t>
            </w:r>
          </w:p>
        </w:tc>
        <w:tc>
          <w:tcPr>
            <w:tcW w:w="485" w:type="pct"/>
            <w:tcBorders>
              <w:top w:val="single" w:sz="4" w:space="0" w:color="95B3D7"/>
              <w:left w:val="nil"/>
              <w:bottom w:val="single" w:sz="4" w:space="0" w:color="95B3D7"/>
              <w:right w:val="nil"/>
            </w:tcBorders>
            <w:shd w:val="clear" w:color="auto" w:fill="auto"/>
            <w:noWrap/>
            <w:vAlign w:val="bottom"/>
            <w:hideMark/>
          </w:tcPr>
          <w:p w14:paraId="216781D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515</w:t>
            </w:r>
          </w:p>
        </w:tc>
        <w:tc>
          <w:tcPr>
            <w:tcW w:w="485" w:type="pct"/>
            <w:tcBorders>
              <w:top w:val="single" w:sz="4" w:space="0" w:color="95B3D7"/>
              <w:left w:val="nil"/>
              <w:bottom w:val="single" w:sz="4" w:space="0" w:color="95B3D7"/>
              <w:right w:val="nil"/>
            </w:tcBorders>
            <w:shd w:val="clear" w:color="auto" w:fill="auto"/>
            <w:noWrap/>
            <w:vAlign w:val="bottom"/>
            <w:hideMark/>
          </w:tcPr>
          <w:p w14:paraId="1AED306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660</w:t>
            </w:r>
          </w:p>
        </w:tc>
        <w:tc>
          <w:tcPr>
            <w:tcW w:w="485" w:type="pct"/>
            <w:tcBorders>
              <w:top w:val="single" w:sz="4" w:space="0" w:color="95B3D7"/>
              <w:left w:val="nil"/>
              <w:bottom w:val="single" w:sz="4" w:space="0" w:color="95B3D7"/>
              <w:right w:val="nil"/>
            </w:tcBorders>
            <w:shd w:val="clear" w:color="auto" w:fill="auto"/>
            <w:noWrap/>
            <w:vAlign w:val="bottom"/>
            <w:hideMark/>
          </w:tcPr>
          <w:p w14:paraId="1867DA8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400</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6338575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740</w:t>
            </w:r>
          </w:p>
        </w:tc>
      </w:tr>
      <w:tr w:rsidR="009D7419" w:rsidRPr="00797CAD" w14:paraId="5E2BB53E"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184608C6" w14:textId="77777777" w:rsidR="009D7419" w:rsidRPr="00797CAD" w:rsidRDefault="009D7419" w:rsidP="00CD240D">
            <w:pPr>
              <w:spacing w:after="0" w:line="240" w:lineRule="auto"/>
              <w:rPr>
                <w:rFonts w:ascii="Arial" w:eastAsia="Times New Roman" w:hAnsi="Arial" w:cs="Arial"/>
                <w:color w:val="000000"/>
                <w:sz w:val="20"/>
                <w:szCs w:val="20"/>
              </w:rPr>
            </w:pPr>
            <w:proofErr w:type="spellStart"/>
            <w:r w:rsidRPr="00797CAD">
              <w:rPr>
                <w:rFonts w:ascii="Arial" w:eastAsia="Times New Roman" w:hAnsi="Arial" w:cs="Arial"/>
                <w:color w:val="000000"/>
                <w:sz w:val="20"/>
                <w:szCs w:val="20"/>
              </w:rPr>
              <w:t>Inc.avail</w:t>
            </w:r>
            <w:proofErr w:type="spellEnd"/>
            <w:r w:rsidRPr="00797CAD">
              <w:rPr>
                <w:rFonts w:ascii="Arial" w:eastAsia="Times New Roman" w:hAnsi="Arial" w:cs="Arial"/>
                <w:color w:val="000000"/>
                <w:sz w:val="20"/>
                <w:szCs w:val="20"/>
              </w:rPr>
              <w:t>. to common excl. extra.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51CB4F4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530</w:t>
            </w:r>
          </w:p>
        </w:tc>
        <w:tc>
          <w:tcPr>
            <w:tcW w:w="485" w:type="pct"/>
            <w:tcBorders>
              <w:top w:val="single" w:sz="4" w:space="0" w:color="95B3D7"/>
              <w:left w:val="nil"/>
              <w:bottom w:val="single" w:sz="4" w:space="0" w:color="95B3D7"/>
              <w:right w:val="nil"/>
            </w:tcBorders>
            <w:shd w:val="clear" w:color="DCE6F1" w:fill="DCE6F1"/>
            <w:noWrap/>
            <w:vAlign w:val="bottom"/>
            <w:hideMark/>
          </w:tcPr>
          <w:p w14:paraId="7FAD04D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515</w:t>
            </w:r>
          </w:p>
        </w:tc>
        <w:tc>
          <w:tcPr>
            <w:tcW w:w="485" w:type="pct"/>
            <w:tcBorders>
              <w:top w:val="single" w:sz="4" w:space="0" w:color="95B3D7"/>
              <w:left w:val="nil"/>
              <w:bottom w:val="single" w:sz="4" w:space="0" w:color="95B3D7"/>
              <w:right w:val="nil"/>
            </w:tcBorders>
            <w:shd w:val="clear" w:color="DCE6F1" w:fill="DCE6F1"/>
            <w:noWrap/>
            <w:vAlign w:val="bottom"/>
            <w:hideMark/>
          </w:tcPr>
          <w:p w14:paraId="2BA0D40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660</w:t>
            </w:r>
          </w:p>
        </w:tc>
        <w:tc>
          <w:tcPr>
            <w:tcW w:w="485" w:type="pct"/>
            <w:tcBorders>
              <w:top w:val="single" w:sz="4" w:space="0" w:color="95B3D7"/>
              <w:left w:val="nil"/>
              <w:bottom w:val="single" w:sz="4" w:space="0" w:color="95B3D7"/>
              <w:right w:val="nil"/>
            </w:tcBorders>
            <w:shd w:val="clear" w:color="DCE6F1" w:fill="DCE6F1"/>
            <w:noWrap/>
            <w:vAlign w:val="bottom"/>
            <w:hideMark/>
          </w:tcPr>
          <w:p w14:paraId="53F3C61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400</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4A02881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740</w:t>
            </w:r>
          </w:p>
        </w:tc>
      </w:tr>
      <w:tr w:rsidR="009D7419" w:rsidRPr="00797CAD" w14:paraId="4C9578D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4DD4F206" w14:textId="77777777" w:rsidR="009D7419" w:rsidRPr="00797CAD" w:rsidRDefault="009D7419" w:rsidP="00CD240D">
            <w:pPr>
              <w:spacing w:after="0" w:line="240" w:lineRule="auto"/>
              <w:rPr>
                <w:rFonts w:ascii="Arial" w:eastAsia="Times New Roman" w:hAnsi="Arial" w:cs="Arial"/>
                <w:color w:val="000000"/>
                <w:sz w:val="20"/>
                <w:szCs w:val="20"/>
              </w:rPr>
            </w:pPr>
            <w:proofErr w:type="spellStart"/>
            <w:r w:rsidRPr="00797CAD">
              <w:rPr>
                <w:rFonts w:ascii="Arial" w:eastAsia="Times New Roman" w:hAnsi="Arial" w:cs="Arial"/>
                <w:color w:val="000000"/>
                <w:sz w:val="20"/>
                <w:szCs w:val="20"/>
              </w:rPr>
              <w:t>Inc.avail</w:t>
            </w:r>
            <w:proofErr w:type="spellEnd"/>
            <w:r w:rsidRPr="00797CAD">
              <w:rPr>
                <w:rFonts w:ascii="Arial" w:eastAsia="Times New Roman" w:hAnsi="Arial" w:cs="Arial"/>
                <w:color w:val="000000"/>
                <w:sz w:val="20"/>
                <w:szCs w:val="20"/>
              </w:rPr>
              <w:t>. to common incl. extra. Items</w:t>
            </w:r>
          </w:p>
        </w:tc>
        <w:tc>
          <w:tcPr>
            <w:tcW w:w="577" w:type="pct"/>
            <w:tcBorders>
              <w:top w:val="single" w:sz="4" w:space="0" w:color="95B3D7"/>
              <w:left w:val="nil"/>
              <w:bottom w:val="single" w:sz="4" w:space="0" w:color="95B3D7"/>
              <w:right w:val="nil"/>
            </w:tcBorders>
            <w:shd w:val="clear" w:color="auto" w:fill="auto"/>
            <w:noWrap/>
            <w:vAlign w:val="bottom"/>
            <w:hideMark/>
          </w:tcPr>
          <w:p w14:paraId="7D55BC9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530</w:t>
            </w:r>
          </w:p>
        </w:tc>
        <w:tc>
          <w:tcPr>
            <w:tcW w:w="485" w:type="pct"/>
            <w:tcBorders>
              <w:top w:val="single" w:sz="4" w:space="0" w:color="95B3D7"/>
              <w:left w:val="nil"/>
              <w:bottom w:val="single" w:sz="4" w:space="0" w:color="95B3D7"/>
              <w:right w:val="nil"/>
            </w:tcBorders>
            <w:shd w:val="clear" w:color="auto" w:fill="auto"/>
            <w:noWrap/>
            <w:vAlign w:val="bottom"/>
            <w:hideMark/>
          </w:tcPr>
          <w:p w14:paraId="5D31336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515</w:t>
            </w:r>
          </w:p>
        </w:tc>
        <w:tc>
          <w:tcPr>
            <w:tcW w:w="485" w:type="pct"/>
            <w:tcBorders>
              <w:top w:val="single" w:sz="4" w:space="0" w:color="95B3D7"/>
              <w:left w:val="nil"/>
              <w:bottom w:val="single" w:sz="4" w:space="0" w:color="95B3D7"/>
              <w:right w:val="nil"/>
            </w:tcBorders>
            <w:shd w:val="clear" w:color="auto" w:fill="auto"/>
            <w:noWrap/>
            <w:vAlign w:val="bottom"/>
            <w:hideMark/>
          </w:tcPr>
          <w:p w14:paraId="438E50D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660</w:t>
            </w:r>
          </w:p>
        </w:tc>
        <w:tc>
          <w:tcPr>
            <w:tcW w:w="485" w:type="pct"/>
            <w:tcBorders>
              <w:top w:val="single" w:sz="4" w:space="0" w:color="95B3D7"/>
              <w:left w:val="nil"/>
              <w:bottom w:val="single" w:sz="4" w:space="0" w:color="95B3D7"/>
              <w:right w:val="nil"/>
            </w:tcBorders>
            <w:shd w:val="clear" w:color="auto" w:fill="auto"/>
            <w:noWrap/>
            <w:vAlign w:val="bottom"/>
            <w:hideMark/>
          </w:tcPr>
          <w:p w14:paraId="45BFE7B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400</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6E29971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740</w:t>
            </w:r>
          </w:p>
        </w:tc>
      </w:tr>
      <w:tr w:rsidR="009D7419" w:rsidRPr="00797CAD" w14:paraId="47DFDA51"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1D4987C8"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EPS RECONCILIATION</w:t>
            </w:r>
          </w:p>
        </w:tc>
        <w:tc>
          <w:tcPr>
            <w:tcW w:w="577" w:type="pct"/>
            <w:tcBorders>
              <w:top w:val="single" w:sz="4" w:space="0" w:color="95B3D7"/>
              <w:left w:val="nil"/>
              <w:bottom w:val="single" w:sz="4" w:space="0" w:color="95B3D7"/>
              <w:right w:val="nil"/>
            </w:tcBorders>
            <w:shd w:val="clear" w:color="DCE6F1" w:fill="DCE6F1"/>
            <w:noWrap/>
            <w:vAlign w:val="bottom"/>
            <w:hideMark/>
          </w:tcPr>
          <w:p w14:paraId="28EAB58F"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4F4407BD"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7FE9C0DD"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4598CB02"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11B0D4C9"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0DC5F50D"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1C73136"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Basic/primary weighted average shares</w:t>
            </w:r>
          </w:p>
        </w:tc>
        <w:tc>
          <w:tcPr>
            <w:tcW w:w="577" w:type="pct"/>
            <w:tcBorders>
              <w:top w:val="single" w:sz="4" w:space="0" w:color="95B3D7"/>
              <w:left w:val="nil"/>
              <w:bottom w:val="single" w:sz="4" w:space="0" w:color="95B3D7"/>
              <w:right w:val="nil"/>
            </w:tcBorders>
            <w:shd w:val="clear" w:color="auto" w:fill="auto"/>
            <w:noWrap/>
            <w:vAlign w:val="bottom"/>
            <w:hideMark/>
          </w:tcPr>
          <w:p w14:paraId="01B7D20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1,000</w:t>
            </w:r>
          </w:p>
        </w:tc>
        <w:tc>
          <w:tcPr>
            <w:tcW w:w="485" w:type="pct"/>
            <w:tcBorders>
              <w:top w:val="single" w:sz="4" w:space="0" w:color="95B3D7"/>
              <w:left w:val="nil"/>
              <w:bottom w:val="single" w:sz="4" w:space="0" w:color="95B3D7"/>
              <w:right w:val="nil"/>
            </w:tcBorders>
            <w:shd w:val="clear" w:color="auto" w:fill="auto"/>
            <w:noWrap/>
            <w:vAlign w:val="bottom"/>
            <w:hideMark/>
          </w:tcPr>
          <w:p w14:paraId="04009E6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1,019</w:t>
            </w:r>
          </w:p>
        </w:tc>
        <w:tc>
          <w:tcPr>
            <w:tcW w:w="485" w:type="pct"/>
            <w:tcBorders>
              <w:top w:val="single" w:sz="4" w:space="0" w:color="95B3D7"/>
              <w:left w:val="nil"/>
              <w:bottom w:val="single" w:sz="4" w:space="0" w:color="95B3D7"/>
              <w:right w:val="nil"/>
            </w:tcBorders>
            <w:shd w:val="clear" w:color="auto" w:fill="auto"/>
            <w:noWrap/>
            <w:vAlign w:val="bottom"/>
            <w:hideMark/>
          </w:tcPr>
          <w:p w14:paraId="26CA6D3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1,016</w:t>
            </w:r>
          </w:p>
        </w:tc>
        <w:tc>
          <w:tcPr>
            <w:tcW w:w="485" w:type="pct"/>
            <w:tcBorders>
              <w:top w:val="single" w:sz="4" w:space="0" w:color="95B3D7"/>
              <w:left w:val="nil"/>
              <w:bottom w:val="single" w:sz="4" w:space="0" w:color="95B3D7"/>
              <w:right w:val="nil"/>
            </w:tcBorders>
            <w:shd w:val="clear" w:color="auto" w:fill="auto"/>
            <w:noWrap/>
            <w:vAlign w:val="bottom"/>
            <w:hideMark/>
          </w:tcPr>
          <w:p w14:paraId="3ECC37C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1,014</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3B858ED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1,010</w:t>
            </w:r>
          </w:p>
        </w:tc>
      </w:tr>
      <w:tr w:rsidR="009D7419" w:rsidRPr="00797CAD" w14:paraId="783E62DE"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7E569B82"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Basic/primary eps excl. extra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5B98B55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0.53</w:t>
            </w:r>
          </w:p>
        </w:tc>
        <w:tc>
          <w:tcPr>
            <w:tcW w:w="485" w:type="pct"/>
            <w:tcBorders>
              <w:top w:val="single" w:sz="4" w:space="0" w:color="95B3D7"/>
              <w:left w:val="nil"/>
              <w:bottom w:val="single" w:sz="4" w:space="0" w:color="95B3D7"/>
              <w:right w:val="nil"/>
            </w:tcBorders>
            <w:shd w:val="clear" w:color="DCE6F1" w:fill="DCE6F1"/>
            <w:noWrap/>
            <w:vAlign w:val="bottom"/>
            <w:hideMark/>
          </w:tcPr>
          <w:p w14:paraId="0C72F42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0.51</w:t>
            </w:r>
          </w:p>
        </w:tc>
        <w:tc>
          <w:tcPr>
            <w:tcW w:w="485" w:type="pct"/>
            <w:tcBorders>
              <w:top w:val="single" w:sz="4" w:space="0" w:color="95B3D7"/>
              <w:left w:val="nil"/>
              <w:bottom w:val="single" w:sz="4" w:space="0" w:color="95B3D7"/>
              <w:right w:val="nil"/>
            </w:tcBorders>
            <w:shd w:val="clear" w:color="DCE6F1" w:fill="DCE6F1"/>
            <w:noWrap/>
            <w:vAlign w:val="bottom"/>
            <w:hideMark/>
          </w:tcPr>
          <w:p w14:paraId="310C37B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0.65</w:t>
            </w:r>
          </w:p>
        </w:tc>
        <w:tc>
          <w:tcPr>
            <w:tcW w:w="485" w:type="pct"/>
            <w:tcBorders>
              <w:top w:val="single" w:sz="4" w:space="0" w:color="95B3D7"/>
              <w:left w:val="nil"/>
              <w:bottom w:val="single" w:sz="4" w:space="0" w:color="95B3D7"/>
              <w:right w:val="nil"/>
            </w:tcBorders>
            <w:shd w:val="clear" w:color="DCE6F1" w:fill="DCE6F1"/>
            <w:noWrap/>
            <w:vAlign w:val="bottom"/>
            <w:hideMark/>
          </w:tcPr>
          <w:p w14:paraId="3CC1EA8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0.39</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76500E3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0.73</w:t>
            </w:r>
          </w:p>
        </w:tc>
      </w:tr>
      <w:tr w:rsidR="009D7419" w:rsidRPr="00797CAD" w14:paraId="41E2088C"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0C63C77A"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Basic/primary eps incl. extra items</w:t>
            </w:r>
          </w:p>
        </w:tc>
        <w:tc>
          <w:tcPr>
            <w:tcW w:w="577" w:type="pct"/>
            <w:tcBorders>
              <w:top w:val="single" w:sz="4" w:space="0" w:color="95B3D7"/>
              <w:left w:val="nil"/>
              <w:bottom w:val="single" w:sz="4" w:space="0" w:color="95B3D7"/>
              <w:right w:val="nil"/>
            </w:tcBorders>
            <w:shd w:val="clear" w:color="auto" w:fill="auto"/>
            <w:noWrap/>
            <w:vAlign w:val="bottom"/>
            <w:hideMark/>
          </w:tcPr>
          <w:p w14:paraId="6AE84B4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0.53</w:t>
            </w:r>
          </w:p>
        </w:tc>
        <w:tc>
          <w:tcPr>
            <w:tcW w:w="485" w:type="pct"/>
            <w:tcBorders>
              <w:top w:val="single" w:sz="4" w:space="0" w:color="95B3D7"/>
              <w:left w:val="nil"/>
              <w:bottom w:val="single" w:sz="4" w:space="0" w:color="95B3D7"/>
              <w:right w:val="nil"/>
            </w:tcBorders>
            <w:shd w:val="clear" w:color="auto" w:fill="auto"/>
            <w:noWrap/>
            <w:vAlign w:val="bottom"/>
            <w:hideMark/>
          </w:tcPr>
          <w:p w14:paraId="6C9D4A0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0.51</w:t>
            </w:r>
          </w:p>
        </w:tc>
        <w:tc>
          <w:tcPr>
            <w:tcW w:w="485" w:type="pct"/>
            <w:tcBorders>
              <w:top w:val="single" w:sz="4" w:space="0" w:color="95B3D7"/>
              <w:left w:val="nil"/>
              <w:bottom w:val="single" w:sz="4" w:space="0" w:color="95B3D7"/>
              <w:right w:val="nil"/>
            </w:tcBorders>
            <w:shd w:val="clear" w:color="auto" w:fill="auto"/>
            <w:noWrap/>
            <w:vAlign w:val="bottom"/>
            <w:hideMark/>
          </w:tcPr>
          <w:p w14:paraId="692D90A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0.65</w:t>
            </w:r>
          </w:p>
        </w:tc>
        <w:tc>
          <w:tcPr>
            <w:tcW w:w="485" w:type="pct"/>
            <w:tcBorders>
              <w:top w:val="single" w:sz="4" w:space="0" w:color="95B3D7"/>
              <w:left w:val="nil"/>
              <w:bottom w:val="single" w:sz="4" w:space="0" w:color="95B3D7"/>
              <w:right w:val="nil"/>
            </w:tcBorders>
            <w:shd w:val="clear" w:color="auto" w:fill="auto"/>
            <w:noWrap/>
            <w:vAlign w:val="bottom"/>
            <w:hideMark/>
          </w:tcPr>
          <w:p w14:paraId="1412899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0.39</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26345D0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0.73</w:t>
            </w:r>
          </w:p>
        </w:tc>
      </w:tr>
      <w:tr w:rsidR="009D7419" w:rsidRPr="00797CAD" w14:paraId="22B70AD5"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176EBA61"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Dilution adjustment</w:t>
            </w:r>
          </w:p>
        </w:tc>
        <w:tc>
          <w:tcPr>
            <w:tcW w:w="577" w:type="pct"/>
            <w:tcBorders>
              <w:top w:val="single" w:sz="4" w:space="0" w:color="95B3D7"/>
              <w:left w:val="nil"/>
              <w:bottom w:val="single" w:sz="4" w:space="0" w:color="95B3D7"/>
              <w:right w:val="nil"/>
            </w:tcBorders>
            <w:shd w:val="clear" w:color="DCE6F1" w:fill="DCE6F1"/>
            <w:noWrap/>
            <w:vAlign w:val="bottom"/>
            <w:hideMark/>
          </w:tcPr>
          <w:p w14:paraId="0DF0D4B6"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6B1D09CE"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540E0CCF"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3A0E4D79"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51BEE07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w:t>
            </w:r>
          </w:p>
        </w:tc>
      </w:tr>
      <w:tr w:rsidR="009D7419" w:rsidRPr="00797CAD" w14:paraId="7A439582"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632744AD"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Diluted weighted average shares</w:t>
            </w:r>
          </w:p>
        </w:tc>
        <w:tc>
          <w:tcPr>
            <w:tcW w:w="577" w:type="pct"/>
            <w:tcBorders>
              <w:top w:val="single" w:sz="4" w:space="0" w:color="95B3D7"/>
              <w:left w:val="nil"/>
              <w:bottom w:val="single" w:sz="4" w:space="0" w:color="95B3D7"/>
              <w:right w:val="nil"/>
            </w:tcBorders>
            <w:shd w:val="clear" w:color="auto" w:fill="auto"/>
            <w:noWrap/>
            <w:vAlign w:val="bottom"/>
            <w:hideMark/>
          </w:tcPr>
          <w:p w14:paraId="74827CA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1,009</w:t>
            </w:r>
          </w:p>
        </w:tc>
        <w:tc>
          <w:tcPr>
            <w:tcW w:w="485" w:type="pct"/>
            <w:tcBorders>
              <w:top w:val="single" w:sz="4" w:space="0" w:color="95B3D7"/>
              <w:left w:val="nil"/>
              <w:bottom w:val="single" w:sz="4" w:space="0" w:color="95B3D7"/>
              <w:right w:val="nil"/>
            </w:tcBorders>
            <w:shd w:val="clear" w:color="auto" w:fill="auto"/>
            <w:noWrap/>
            <w:vAlign w:val="bottom"/>
            <w:hideMark/>
          </w:tcPr>
          <w:p w14:paraId="4CF4403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1,034</w:t>
            </w:r>
          </w:p>
        </w:tc>
        <w:tc>
          <w:tcPr>
            <w:tcW w:w="485" w:type="pct"/>
            <w:tcBorders>
              <w:top w:val="single" w:sz="4" w:space="0" w:color="95B3D7"/>
              <w:left w:val="nil"/>
              <w:bottom w:val="single" w:sz="4" w:space="0" w:color="95B3D7"/>
              <w:right w:val="nil"/>
            </w:tcBorders>
            <w:shd w:val="clear" w:color="auto" w:fill="auto"/>
            <w:noWrap/>
            <w:vAlign w:val="bottom"/>
            <w:hideMark/>
          </w:tcPr>
          <w:p w14:paraId="5151923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1,031</w:t>
            </w:r>
          </w:p>
        </w:tc>
        <w:tc>
          <w:tcPr>
            <w:tcW w:w="485" w:type="pct"/>
            <w:tcBorders>
              <w:top w:val="single" w:sz="4" w:space="0" w:color="95B3D7"/>
              <w:left w:val="nil"/>
              <w:bottom w:val="single" w:sz="4" w:space="0" w:color="95B3D7"/>
              <w:right w:val="nil"/>
            </w:tcBorders>
            <w:shd w:val="clear" w:color="auto" w:fill="auto"/>
            <w:noWrap/>
            <w:vAlign w:val="bottom"/>
            <w:hideMark/>
          </w:tcPr>
          <w:p w14:paraId="4163464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1,028</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188D27F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1,024</w:t>
            </w:r>
          </w:p>
        </w:tc>
      </w:tr>
      <w:tr w:rsidR="009D7419" w:rsidRPr="00797CAD" w14:paraId="0AA8C6A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0DCB8774"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Diluted eps excl. extra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54181DE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0.53</w:t>
            </w:r>
          </w:p>
        </w:tc>
        <w:tc>
          <w:tcPr>
            <w:tcW w:w="485" w:type="pct"/>
            <w:tcBorders>
              <w:top w:val="single" w:sz="4" w:space="0" w:color="95B3D7"/>
              <w:left w:val="nil"/>
              <w:bottom w:val="single" w:sz="4" w:space="0" w:color="95B3D7"/>
              <w:right w:val="nil"/>
            </w:tcBorders>
            <w:shd w:val="clear" w:color="DCE6F1" w:fill="DCE6F1"/>
            <w:noWrap/>
            <w:vAlign w:val="bottom"/>
            <w:hideMark/>
          </w:tcPr>
          <w:p w14:paraId="3C40A3B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w:t>
            </w:r>
          </w:p>
        </w:tc>
        <w:tc>
          <w:tcPr>
            <w:tcW w:w="485" w:type="pct"/>
            <w:tcBorders>
              <w:top w:val="single" w:sz="4" w:space="0" w:color="95B3D7"/>
              <w:left w:val="nil"/>
              <w:bottom w:val="single" w:sz="4" w:space="0" w:color="95B3D7"/>
              <w:right w:val="nil"/>
            </w:tcBorders>
            <w:shd w:val="clear" w:color="DCE6F1" w:fill="DCE6F1"/>
            <w:noWrap/>
            <w:vAlign w:val="bottom"/>
            <w:hideMark/>
          </w:tcPr>
          <w:p w14:paraId="16D5EAD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0.64</w:t>
            </w:r>
          </w:p>
        </w:tc>
        <w:tc>
          <w:tcPr>
            <w:tcW w:w="485" w:type="pct"/>
            <w:tcBorders>
              <w:top w:val="single" w:sz="4" w:space="0" w:color="95B3D7"/>
              <w:left w:val="nil"/>
              <w:bottom w:val="single" w:sz="4" w:space="0" w:color="95B3D7"/>
              <w:right w:val="nil"/>
            </w:tcBorders>
            <w:shd w:val="clear" w:color="DCE6F1" w:fill="DCE6F1"/>
            <w:noWrap/>
            <w:vAlign w:val="bottom"/>
            <w:hideMark/>
          </w:tcPr>
          <w:p w14:paraId="27A0076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0.39</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4148386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0.72</w:t>
            </w:r>
          </w:p>
        </w:tc>
      </w:tr>
      <w:tr w:rsidR="009D7419" w:rsidRPr="00797CAD" w14:paraId="4616D673"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07D9921E"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Diluted eps incl. extra items</w:t>
            </w:r>
          </w:p>
        </w:tc>
        <w:tc>
          <w:tcPr>
            <w:tcW w:w="577" w:type="pct"/>
            <w:tcBorders>
              <w:top w:val="single" w:sz="4" w:space="0" w:color="95B3D7"/>
              <w:left w:val="nil"/>
              <w:bottom w:val="single" w:sz="4" w:space="0" w:color="95B3D7"/>
              <w:right w:val="nil"/>
            </w:tcBorders>
            <w:shd w:val="clear" w:color="auto" w:fill="auto"/>
            <w:noWrap/>
            <w:vAlign w:val="bottom"/>
            <w:hideMark/>
          </w:tcPr>
          <w:p w14:paraId="40C74B2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0.53</w:t>
            </w:r>
          </w:p>
        </w:tc>
        <w:tc>
          <w:tcPr>
            <w:tcW w:w="485" w:type="pct"/>
            <w:tcBorders>
              <w:top w:val="single" w:sz="4" w:space="0" w:color="95B3D7"/>
              <w:left w:val="nil"/>
              <w:bottom w:val="single" w:sz="4" w:space="0" w:color="95B3D7"/>
              <w:right w:val="nil"/>
            </w:tcBorders>
            <w:shd w:val="clear" w:color="auto" w:fill="auto"/>
            <w:noWrap/>
            <w:vAlign w:val="bottom"/>
            <w:hideMark/>
          </w:tcPr>
          <w:p w14:paraId="389A471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0.5</w:t>
            </w:r>
          </w:p>
        </w:tc>
        <w:tc>
          <w:tcPr>
            <w:tcW w:w="485" w:type="pct"/>
            <w:tcBorders>
              <w:top w:val="single" w:sz="4" w:space="0" w:color="95B3D7"/>
              <w:left w:val="nil"/>
              <w:bottom w:val="single" w:sz="4" w:space="0" w:color="95B3D7"/>
              <w:right w:val="nil"/>
            </w:tcBorders>
            <w:shd w:val="clear" w:color="auto" w:fill="auto"/>
            <w:noWrap/>
            <w:vAlign w:val="bottom"/>
            <w:hideMark/>
          </w:tcPr>
          <w:p w14:paraId="11A550B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0.64</w:t>
            </w:r>
          </w:p>
        </w:tc>
        <w:tc>
          <w:tcPr>
            <w:tcW w:w="485" w:type="pct"/>
            <w:tcBorders>
              <w:top w:val="single" w:sz="4" w:space="0" w:color="95B3D7"/>
              <w:left w:val="nil"/>
              <w:bottom w:val="single" w:sz="4" w:space="0" w:color="95B3D7"/>
              <w:right w:val="nil"/>
            </w:tcBorders>
            <w:shd w:val="clear" w:color="auto" w:fill="auto"/>
            <w:noWrap/>
            <w:vAlign w:val="bottom"/>
            <w:hideMark/>
          </w:tcPr>
          <w:p w14:paraId="0E16216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0.39</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020CF4C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0.72</w:t>
            </w:r>
          </w:p>
        </w:tc>
      </w:tr>
      <w:tr w:rsidR="009D7419" w:rsidRPr="00797CAD" w14:paraId="7911CF8D"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752DCC0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COMMON STOCK DIVIDENDS</w:t>
            </w:r>
          </w:p>
        </w:tc>
        <w:tc>
          <w:tcPr>
            <w:tcW w:w="577" w:type="pct"/>
            <w:tcBorders>
              <w:top w:val="single" w:sz="4" w:space="0" w:color="95B3D7"/>
              <w:left w:val="nil"/>
              <w:bottom w:val="single" w:sz="4" w:space="0" w:color="95B3D7"/>
              <w:right w:val="nil"/>
            </w:tcBorders>
            <w:shd w:val="clear" w:color="DCE6F1" w:fill="DCE6F1"/>
            <w:noWrap/>
            <w:vAlign w:val="bottom"/>
            <w:hideMark/>
          </w:tcPr>
          <w:p w14:paraId="78F9EA22"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26980B45"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31F525B7"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24B4BA8B"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446530E6"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558C2310"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3B5458E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DPS - common stock primary issue</w:t>
            </w:r>
          </w:p>
        </w:tc>
        <w:tc>
          <w:tcPr>
            <w:tcW w:w="577" w:type="pct"/>
            <w:tcBorders>
              <w:top w:val="single" w:sz="4" w:space="0" w:color="95B3D7"/>
              <w:left w:val="nil"/>
              <w:bottom w:val="single" w:sz="4" w:space="0" w:color="95B3D7"/>
              <w:right w:val="nil"/>
            </w:tcBorders>
            <w:shd w:val="clear" w:color="auto" w:fill="auto"/>
            <w:noWrap/>
            <w:vAlign w:val="bottom"/>
            <w:hideMark/>
          </w:tcPr>
          <w:p w14:paraId="2DE4239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0.34</w:t>
            </w:r>
          </w:p>
        </w:tc>
        <w:tc>
          <w:tcPr>
            <w:tcW w:w="485" w:type="pct"/>
            <w:tcBorders>
              <w:top w:val="single" w:sz="4" w:space="0" w:color="95B3D7"/>
              <w:left w:val="nil"/>
              <w:bottom w:val="single" w:sz="4" w:space="0" w:color="95B3D7"/>
              <w:right w:val="nil"/>
            </w:tcBorders>
            <w:shd w:val="clear" w:color="auto" w:fill="auto"/>
            <w:noWrap/>
            <w:vAlign w:val="bottom"/>
            <w:hideMark/>
          </w:tcPr>
          <w:p w14:paraId="243600C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0.37</w:t>
            </w:r>
          </w:p>
        </w:tc>
        <w:tc>
          <w:tcPr>
            <w:tcW w:w="485" w:type="pct"/>
            <w:tcBorders>
              <w:top w:val="single" w:sz="4" w:space="0" w:color="95B3D7"/>
              <w:left w:val="nil"/>
              <w:bottom w:val="single" w:sz="4" w:space="0" w:color="95B3D7"/>
              <w:right w:val="nil"/>
            </w:tcBorders>
            <w:shd w:val="clear" w:color="auto" w:fill="auto"/>
            <w:noWrap/>
            <w:vAlign w:val="bottom"/>
            <w:hideMark/>
          </w:tcPr>
          <w:p w14:paraId="46C83FC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0.29</w:t>
            </w:r>
          </w:p>
        </w:tc>
        <w:tc>
          <w:tcPr>
            <w:tcW w:w="485" w:type="pct"/>
            <w:tcBorders>
              <w:top w:val="single" w:sz="4" w:space="0" w:color="95B3D7"/>
              <w:left w:val="nil"/>
              <w:bottom w:val="single" w:sz="4" w:space="0" w:color="95B3D7"/>
              <w:right w:val="nil"/>
            </w:tcBorders>
            <w:shd w:val="clear" w:color="auto" w:fill="auto"/>
            <w:noWrap/>
            <w:vAlign w:val="bottom"/>
            <w:hideMark/>
          </w:tcPr>
          <w:p w14:paraId="0B43E10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461CAFA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0.29</w:t>
            </w:r>
          </w:p>
        </w:tc>
      </w:tr>
      <w:tr w:rsidR="009D7419" w:rsidRPr="00797CAD" w14:paraId="681025FE"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7C2A04E2"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Gross dividend - common stock</w:t>
            </w:r>
          </w:p>
        </w:tc>
        <w:tc>
          <w:tcPr>
            <w:tcW w:w="577" w:type="pct"/>
            <w:tcBorders>
              <w:top w:val="single" w:sz="4" w:space="0" w:color="95B3D7"/>
              <w:left w:val="nil"/>
              <w:bottom w:val="single" w:sz="4" w:space="0" w:color="95B3D7"/>
              <w:right w:val="nil"/>
            </w:tcBorders>
            <w:shd w:val="clear" w:color="DCE6F1" w:fill="DCE6F1"/>
            <w:noWrap/>
            <w:vAlign w:val="bottom"/>
            <w:hideMark/>
          </w:tcPr>
          <w:p w14:paraId="730A5DC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328</w:t>
            </w:r>
          </w:p>
        </w:tc>
        <w:tc>
          <w:tcPr>
            <w:tcW w:w="485" w:type="pct"/>
            <w:tcBorders>
              <w:top w:val="single" w:sz="4" w:space="0" w:color="95B3D7"/>
              <w:left w:val="nil"/>
              <w:bottom w:val="single" w:sz="4" w:space="0" w:color="95B3D7"/>
              <w:right w:val="nil"/>
            </w:tcBorders>
            <w:shd w:val="clear" w:color="DCE6F1" w:fill="DCE6F1"/>
            <w:noWrap/>
            <w:vAlign w:val="bottom"/>
            <w:hideMark/>
          </w:tcPr>
          <w:p w14:paraId="6FBC183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375</w:t>
            </w:r>
          </w:p>
        </w:tc>
        <w:tc>
          <w:tcPr>
            <w:tcW w:w="485" w:type="pct"/>
            <w:tcBorders>
              <w:top w:val="single" w:sz="4" w:space="0" w:color="95B3D7"/>
              <w:left w:val="nil"/>
              <w:bottom w:val="single" w:sz="4" w:space="0" w:color="95B3D7"/>
              <w:right w:val="nil"/>
            </w:tcBorders>
            <w:shd w:val="clear" w:color="DCE6F1" w:fill="DCE6F1"/>
            <w:noWrap/>
            <w:vAlign w:val="bottom"/>
            <w:hideMark/>
          </w:tcPr>
          <w:p w14:paraId="1DFA0B7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299</w:t>
            </w:r>
          </w:p>
        </w:tc>
        <w:tc>
          <w:tcPr>
            <w:tcW w:w="485" w:type="pct"/>
            <w:tcBorders>
              <w:top w:val="single" w:sz="4" w:space="0" w:color="95B3D7"/>
              <w:left w:val="nil"/>
              <w:bottom w:val="single" w:sz="4" w:space="0" w:color="95B3D7"/>
              <w:right w:val="nil"/>
            </w:tcBorders>
            <w:shd w:val="clear" w:color="DCE6F1" w:fill="DCE6F1"/>
            <w:noWrap/>
            <w:vAlign w:val="bottom"/>
            <w:hideMark/>
          </w:tcPr>
          <w:p w14:paraId="1C96961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5808E398"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469</w:t>
            </w:r>
          </w:p>
        </w:tc>
      </w:tr>
      <w:tr w:rsidR="009D7419" w:rsidRPr="00797CAD" w14:paraId="52926B55"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4E8E7111"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PRO FORMA INCOME</w:t>
            </w:r>
          </w:p>
        </w:tc>
        <w:tc>
          <w:tcPr>
            <w:tcW w:w="577" w:type="pct"/>
            <w:tcBorders>
              <w:top w:val="single" w:sz="4" w:space="0" w:color="95B3D7"/>
              <w:left w:val="nil"/>
              <w:bottom w:val="single" w:sz="4" w:space="0" w:color="95B3D7"/>
              <w:right w:val="nil"/>
            </w:tcBorders>
            <w:shd w:val="clear" w:color="auto" w:fill="auto"/>
            <w:noWrap/>
            <w:vAlign w:val="bottom"/>
            <w:hideMark/>
          </w:tcPr>
          <w:p w14:paraId="49947350"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5F18B19B"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51627694"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496BDB7D"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49D02E70"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4421A52E"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562C8441"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Pro forma net income</w:t>
            </w:r>
          </w:p>
        </w:tc>
        <w:tc>
          <w:tcPr>
            <w:tcW w:w="577" w:type="pct"/>
            <w:tcBorders>
              <w:top w:val="single" w:sz="4" w:space="0" w:color="95B3D7"/>
              <w:left w:val="nil"/>
              <w:bottom w:val="single" w:sz="4" w:space="0" w:color="95B3D7"/>
              <w:right w:val="nil"/>
            </w:tcBorders>
            <w:shd w:val="clear" w:color="DCE6F1" w:fill="DCE6F1"/>
            <w:noWrap/>
            <w:vAlign w:val="bottom"/>
            <w:hideMark/>
          </w:tcPr>
          <w:p w14:paraId="04DA8C6E"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4F4A1121"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67800F87"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36E0A781"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6386C432"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78F7EEA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59CAA895"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Interest expense, supplemental</w:t>
            </w:r>
          </w:p>
        </w:tc>
        <w:tc>
          <w:tcPr>
            <w:tcW w:w="577" w:type="pct"/>
            <w:tcBorders>
              <w:top w:val="single" w:sz="4" w:space="0" w:color="95B3D7"/>
              <w:left w:val="nil"/>
              <w:bottom w:val="single" w:sz="4" w:space="0" w:color="95B3D7"/>
              <w:right w:val="nil"/>
            </w:tcBorders>
            <w:shd w:val="clear" w:color="auto" w:fill="auto"/>
            <w:noWrap/>
            <w:vAlign w:val="bottom"/>
            <w:hideMark/>
          </w:tcPr>
          <w:p w14:paraId="4EB231E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11</w:t>
            </w:r>
          </w:p>
        </w:tc>
        <w:tc>
          <w:tcPr>
            <w:tcW w:w="485" w:type="pct"/>
            <w:tcBorders>
              <w:top w:val="single" w:sz="4" w:space="0" w:color="95B3D7"/>
              <w:left w:val="nil"/>
              <w:bottom w:val="single" w:sz="4" w:space="0" w:color="95B3D7"/>
              <w:right w:val="nil"/>
            </w:tcBorders>
            <w:shd w:val="clear" w:color="auto" w:fill="auto"/>
            <w:noWrap/>
            <w:vAlign w:val="bottom"/>
            <w:hideMark/>
          </w:tcPr>
          <w:p w14:paraId="253203C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w:t>
            </w:r>
          </w:p>
        </w:tc>
        <w:tc>
          <w:tcPr>
            <w:tcW w:w="485" w:type="pct"/>
            <w:tcBorders>
              <w:top w:val="single" w:sz="4" w:space="0" w:color="95B3D7"/>
              <w:left w:val="nil"/>
              <w:bottom w:val="single" w:sz="4" w:space="0" w:color="95B3D7"/>
              <w:right w:val="nil"/>
            </w:tcBorders>
            <w:shd w:val="clear" w:color="auto" w:fill="auto"/>
            <w:noWrap/>
            <w:vAlign w:val="bottom"/>
            <w:hideMark/>
          </w:tcPr>
          <w:p w14:paraId="0AC6AE8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11</w:t>
            </w:r>
          </w:p>
        </w:tc>
        <w:tc>
          <w:tcPr>
            <w:tcW w:w="485" w:type="pct"/>
            <w:tcBorders>
              <w:top w:val="single" w:sz="4" w:space="0" w:color="95B3D7"/>
              <w:left w:val="nil"/>
              <w:bottom w:val="single" w:sz="4" w:space="0" w:color="95B3D7"/>
              <w:right w:val="nil"/>
            </w:tcBorders>
            <w:shd w:val="clear" w:color="auto" w:fill="auto"/>
            <w:noWrap/>
            <w:vAlign w:val="bottom"/>
            <w:hideMark/>
          </w:tcPr>
          <w:p w14:paraId="03211E8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12</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289BB83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9.7</w:t>
            </w:r>
          </w:p>
        </w:tc>
      </w:tr>
      <w:tr w:rsidR="009D7419" w:rsidRPr="00797CAD" w14:paraId="6322EC5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5A8B5C20"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SUPPLEMENTAL INCOME</w:t>
            </w:r>
          </w:p>
        </w:tc>
        <w:tc>
          <w:tcPr>
            <w:tcW w:w="577" w:type="pct"/>
            <w:tcBorders>
              <w:top w:val="single" w:sz="4" w:space="0" w:color="95B3D7"/>
              <w:left w:val="nil"/>
              <w:bottom w:val="single" w:sz="4" w:space="0" w:color="95B3D7"/>
              <w:right w:val="nil"/>
            </w:tcBorders>
            <w:shd w:val="clear" w:color="DCE6F1" w:fill="DCE6F1"/>
            <w:noWrap/>
            <w:vAlign w:val="bottom"/>
            <w:hideMark/>
          </w:tcPr>
          <w:p w14:paraId="2F5A215A"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2FBE387D"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2F89CF21"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DCE6F1" w:fill="DCE6F1"/>
            <w:noWrap/>
            <w:vAlign w:val="bottom"/>
            <w:hideMark/>
          </w:tcPr>
          <w:p w14:paraId="54DBF5E9"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1575CC15"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5B13E5D2"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4DD18D9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Depreciation, supplemental</w:t>
            </w:r>
          </w:p>
        </w:tc>
        <w:tc>
          <w:tcPr>
            <w:tcW w:w="577" w:type="pct"/>
            <w:tcBorders>
              <w:top w:val="single" w:sz="4" w:space="0" w:color="95B3D7"/>
              <w:left w:val="nil"/>
              <w:bottom w:val="single" w:sz="4" w:space="0" w:color="95B3D7"/>
              <w:right w:val="nil"/>
            </w:tcBorders>
            <w:shd w:val="clear" w:color="auto" w:fill="auto"/>
            <w:noWrap/>
            <w:vAlign w:val="bottom"/>
            <w:hideMark/>
          </w:tcPr>
          <w:p w14:paraId="7B3288D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18</w:t>
            </w:r>
          </w:p>
        </w:tc>
        <w:tc>
          <w:tcPr>
            <w:tcW w:w="485" w:type="pct"/>
            <w:tcBorders>
              <w:top w:val="single" w:sz="4" w:space="0" w:color="95B3D7"/>
              <w:left w:val="nil"/>
              <w:bottom w:val="single" w:sz="4" w:space="0" w:color="95B3D7"/>
              <w:right w:val="nil"/>
            </w:tcBorders>
            <w:shd w:val="clear" w:color="auto" w:fill="auto"/>
            <w:noWrap/>
            <w:vAlign w:val="bottom"/>
            <w:hideMark/>
          </w:tcPr>
          <w:p w14:paraId="5CB9756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19</w:t>
            </w:r>
          </w:p>
        </w:tc>
        <w:tc>
          <w:tcPr>
            <w:tcW w:w="485" w:type="pct"/>
            <w:tcBorders>
              <w:top w:val="single" w:sz="4" w:space="0" w:color="95B3D7"/>
              <w:left w:val="nil"/>
              <w:bottom w:val="single" w:sz="4" w:space="0" w:color="95B3D7"/>
              <w:right w:val="nil"/>
            </w:tcBorders>
            <w:shd w:val="clear" w:color="auto" w:fill="auto"/>
            <w:noWrap/>
            <w:vAlign w:val="bottom"/>
            <w:hideMark/>
          </w:tcPr>
          <w:p w14:paraId="51D9D8A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w:t>
            </w:r>
          </w:p>
        </w:tc>
        <w:tc>
          <w:tcPr>
            <w:tcW w:w="485" w:type="pct"/>
            <w:tcBorders>
              <w:top w:val="single" w:sz="4" w:space="0" w:color="95B3D7"/>
              <w:left w:val="nil"/>
              <w:bottom w:val="single" w:sz="4" w:space="0" w:color="95B3D7"/>
              <w:right w:val="nil"/>
            </w:tcBorders>
            <w:shd w:val="clear" w:color="auto" w:fill="auto"/>
            <w:noWrap/>
            <w:vAlign w:val="bottom"/>
            <w:hideMark/>
          </w:tcPr>
          <w:p w14:paraId="2D58FED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19</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4A347FB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w:t>
            </w:r>
          </w:p>
        </w:tc>
      </w:tr>
      <w:tr w:rsidR="009D7419" w:rsidRPr="00797CAD" w14:paraId="55A6A71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2564836E"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Total special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1C12DA2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179</w:t>
            </w:r>
          </w:p>
        </w:tc>
        <w:tc>
          <w:tcPr>
            <w:tcW w:w="485" w:type="pct"/>
            <w:tcBorders>
              <w:top w:val="single" w:sz="4" w:space="0" w:color="95B3D7"/>
              <w:left w:val="nil"/>
              <w:bottom w:val="single" w:sz="4" w:space="0" w:color="95B3D7"/>
              <w:right w:val="nil"/>
            </w:tcBorders>
            <w:shd w:val="clear" w:color="DCE6F1" w:fill="DCE6F1"/>
            <w:noWrap/>
            <w:vAlign w:val="bottom"/>
            <w:hideMark/>
          </w:tcPr>
          <w:p w14:paraId="1A47865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413</w:t>
            </w:r>
          </w:p>
        </w:tc>
        <w:tc>
          <w:tcPr>
            <w:tcW w:w="485" w:type="pct"/>
            <w:tcBorders>
              <w:top w:val="single" w:sz="4" w:space="0" w:color="95B3D7"/>
              <w:left w:val="nil"/>
              <w:bottom w:val="single" w:sz="4" w:space="0" w:color="95B3D7"/>
              <w:right w:val="nil"/>
            </w:tcBorders>
            <w:shd w:val="clear" w:color="DCE6F1" w:fill="DCE6F1"/>
            <w:noWrap/>
            <w:vAlign w:val="bottom"/>
            <w:hideMark/>
          </w:tcPr>
          <w:p w14:paraId="44F9D40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56</w:t>
            </w:r>
          </w:p>
        </w:tc>
        <w:tc>
          <w:tcPr>
            <w:tcW w:w="485" w:type="pct"/>
            <w:tcBorders>
              <w:top w:val="single" w:sz="4" w:space="0" w:color="95B3D7"/>
              <w:left w:val="nil"/>
              <w:bottom w:val="single" w:sz="4" w:space="0" w:color="95B3D7"/>
              <w:right w:val="nil"/>
            </w:tcBorders>
            <w:shd w:val="clear" w:color="DCE6F1" w:fill="DCE6F1"/>
            <w:noWrap/>
            <w:vAlign w:val="bottom"/>
            <w:hideMark/>
          </w:tcPr>
          <w:p w14:paraId="3F49011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114</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6EBCA22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4.3</w:t>
            </w:r>
          </w:p>
        </w:tc>
      </w:tr>
      <w:tr w:rsidR="009D7419" w:rsidRPr="00797CAD" w14:paraId="5EB0D2FD"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564D1E1"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NORMALISED INCOME</w:t>
            </w:r>
          </w:p>
        </w:tc>
        <w:tc>
          <w:tcPr>
            <w:tcW w:w="577" w:type="pct"/>
            <w:tcBorders>
              <w:top w:val="single" w:sz="4" w:space="0" w:color="95B3D7"/>
              <w:left w:val="nil"/>
              <w:bottom w:val="single" w:sz="4" w:space="0" w:color="95B3D7"/>
              <w:right w:val="nil"/>
            </w:tcBorders>
            <w:shd w:val="clear" w:color="auto" w:fill="auto"/>
            <w:noWrap/>
            <w:vAlign w:val="bottom"/>
            <w:hideMark/>
          </w:tcPr>
          <w:p w14:paraId="37D48B3E" w14:textId="77777777" w:rsidR="009D7419" w:rsidRPr="00797CAD" w:rsidRDefault="009D7419" w:rsidP="00CD240D">
            <w:pPr>
              <w:spacing w:after="0" w:line="240" w:lineRule="auto"/>
              <w:rPr>
                <w:rFonts w:ascii="Arial" w:eastAsia="Times New Roman" w:hAnsi="Arial" w:cs="Arial"/>
                <w:color w:val="000000"/>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6FEE8F94"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2E071A9A"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5" w:type="pct"/>
            <w:tcBorders>
              <w:top w:val="single" w:sz="4" w:space="0" w:color="95B3D7"/>
              <w:left w:val="nil"/>
              <w:bottom w:val="single" w:sz="4" w:space="0" w:color="95B3D7"/>
              <w:right w:val="nil"/>
            </w:tcBorders>
            <w:shd w:val="clear" w:color="auto" w:fill="auto"/>
            <w:noWrap/>
            <w:vAlign w:val="bottom"/>
            <w:hideMark/>
          </w:tcPr>
          <w:p w14:paraId="619446E8" w14:textId="77777777" w:rsidR="009D7419" w:rsidRPr="00797CAD" w:rsidRDefault="009D7419" w:rsidP="00CD240D">
            <w:pPr>
              <w:spacing w:after="0" w:line="240" w:lineRule="auto"/>
              <w:rPr>
                <w:rFonts w:ascii="Times New Roman" w:eastAsia="Times New Roman" w:hAnsi="Times New Roman" w:cs="Times New Roman"/>
                <w:sz w:val="20"/>
                <w:szCs w:val="20"/>
              </w:rPr>
            </w:pP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10711EA1" w14:textId="77777777" w:rsidR="009D7419" w:rsidRPr="00797CAD" w:rsidRDefault="009D7419" w:rsidP="00CD240D">
            <w:pPr>
              <w:spacing w:after="0" w:line="240" w:lineRule="auto"/>
              <w:rPr>
                <w:rFonts w:ascii="Times New Roman" w:eastAsia="Times New Roman" w:hAnsi="Times New Roman" w:cs="Times New Roman"/>
                <w:sz w:val="20"/>
                <w:szCs w:val="20"/>
              </w:rPr>
            </w:pPr>
          </w:p>
        </w:tc>
      </w:tr>
      <w:tr w:rsidR="009D7419" w:rsidRPr="00797CAD" w14:paraId="20C643FC"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409B1F35"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Normalized income before taxes</w:t>
            </w:r>
          </w:p>
        </w:tc>
        <w:tc>
          <w:tcPr>
            <w:tcW w:w="577" w:type="pct"/>
            <w:tcBorders>
              <w:top w:val="single" w:sz="4" w:space="0" w:color="95B3D7"/>
              <w:left w:val="nil"/>
              <w:bottom w:val="single" w:sz="4" w:space="0" w:color="95B3D7"/>
              <w:right w:val="nil"/>
            </w:tcBorders>
            <w:shd w:val="clear" w:color="DCE6F1" w:fill="DCE6F1"/>
            <w:noWrap/>
            <w:vAlign w:val="bottom"/>
            <w:hideMark/>
          </w:tcPr>
          <w:p w14:paraId="1A09124B"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884</w:t>
            </w:r>
          </w:p>
        </w:tc>
        <w:tc>
          <w:tcPr>
            <w:tcW w:w="485" w:type="pct"/>
            <w:tcBorders>
              <w:top w:val="single" w:sz="4" w:space="0" w:color="95B3D7"/>
              <w:left w:val="nil"/>
              <w:bottom w:val="single" w:sz="4" w:space="0" w:color="95B3D7"/>
              <w:right w:val="nil"/>
            </w:tcBorders>
            <w:shd w:val="clear" w:color="DCE6F1" w:fill="DCE6F1"/>
            <w:noWrap/>
            <w:vAlign w:val="bottom"/>
            <w:hideMark/>
          </w:tcPr>
          <w:p w14:paraId="690F792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1,055</w:t>
            </w:r>
          </w:p>
        </w:tc>
        <w:tc>
          <w:tcPr>
            <w:tcW w:w="485" w:type="pct"/>
            <w:tcBorders>
              <w:top w:val="single" w:sz="4" w:space="0" w:color="95B3D7"/>
              <w:left w:val="nil"/>
              <w:bottom w:val="single" w:sz="4" w:space="0" w:color="95B3D7"/>
              <w:right w:val="nil"/>
            </w:tcBorders>
            <w:shd w:val="clear" w:color="DCE6F1" w:fill="DCE6F1"/>
            <w:noWrap/>
            <w:vAlign w:val="bottom"/>
            <w:hideMark/>
          </w:tcPr>
          <w:p w14:paraId="11A77F9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868</w:t>
            </w:r>
          </w:p>
        </w:tc>
        <w:tc>
          <w:tcPr>
            <w:tcW w:w="485" w:type="pct"/>
            <w:tcBorders>
              <w:top w:val="single" w:sz="4" w:space="0" w:color="95B3D7"/>
              <w:left w:val="nil"/>
              <w:bottom w:val="single" w:sz="4" w:space="0" w:color="95B3D7"/>
              <w:right w:val="nil"/>
            </w:tcBorders>
            <w:shd w:val="clear" w:color="DCE6F1" w:fill="DCE6F1"/>
            <w:noWrap/>
            <w:vAlign w:val="bottom"/>
            <w:hideMark/>
          </w:tcPr>
          <w:p w14:paraId="61D6CD6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605</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089394F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914</w:t>
            </w:r>
          </w:p>
        </w:tc>
      </w:tr>
      <w:tr w:rsidR="009D7419" w:rsidRPr="00797CAD" w14:paraId="499CCF6D"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12AF13C"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Effect of special items on income taxes</w:t>
            </w:r>
          </w:p>
        </w:tc>
        <w:tc>
          <w:tcPr>
            <w:tcW w:w="577" w:type="pct"/>
            <w:tcBorders>
              <w:top w:val="single" w:sz="4" w:space="0" w:color="95B3D7"/>
              <w:left w:val="nil"/>
              <w:bottom w:val="single" w:sz="4" w:space="0" w:color="95B3D7"/>
              <w:right w:val="nil"/>
            </w:tcBorders>
            <w:shd w:val="clear" w:color="auto" w:fill="auto"/>
            <w:noWrap/>
            <w:vAlign w:val="bottom"/>
            <w:hideMark/>
          </w:tcPr>
          <w:p w14:paraId="1775911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44</w:t>
            </w:r>
          </w:p>
        </w:tc>
        <w:tc>
          <w:tcPr>
            <w:tcW w:w="485" w:type="pct"/>
            <w:tcBorders>
              <w:top w:val="single" w:sz="4" w:space="0" w:color="95B3D7"/>
              <w:left w:val="nil"/>
              <w:bottom w:val="single" w:sz="4" w:space="0" w:color="95B3D7"/>
              <w:right w:val="nil"/>
            </w:tcBorders>
            <w:shd w:val="clear" w:color="auto" w:fill="auto"/>
            <w:noWrap/>
            <w:vAlign w:val="bottom"/>
            <w:hideMark/>
          </w:tcPr>
          <w:p w14:paraId="144B263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82</w:t>
            </w:r>
          </w:p>
        </w:tc>
        <w:tc>
          <w:tcPr>
            <w:tcW w:w="485" w:type="pct"/>
            <w:tcBorders>
              <w:top w:val="single" w:sz="4" w:space="0" w:color="95B3D7"/>
              <w:left w:val="nil"/>
              <w:bottom w:val="single" w:sz="4" w:space="0" w:color="95B3D7"/>
              <w:right w:val="nil"/>
            </w:tcBorders>
            <w:shd w:val="clear" w:color="auto" w:fill="auto"/>
            <w:noWrap/>
            <w:vAlign w:val="bottom"/>
            <w:hideMark/>
          </w:tcPr>
          <w:p w14:paraId="2205310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10</w:t>
            </w:r>
          </w:p>
        </w:tc>
        <w:tc>
          <w:tcPr>
            <w:tcW w:w="485" w:type="pct"/>
            <w:tcBorders>
              <w:top w:val="single" w:sz="4" w:space="0" w:color="95B3D7"/>
              <w:left w:val="nil"/>
              <w:bottom w:val="single" w:sz="4" w:space="0" w:color="95B3D7"/>
              <w:right w:val="nil"/>
            </w:tcBorders>
            <w:shd w:val="clear" w:color="auto" w:fill="auto"/>
            <w:noWrap/>
            <w:vAlign w:val="bottom"/>
            <w:hideMark/>
          </w:tcPr>
          <w:p w14:paraId="3C36530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21</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0B1BEE97"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0.81</w:t>
            </w:r>
          </w:p>
        </w:tc>
      </w:tr>
      <w:tr w:rsidR="009D7419" w:rsidRPr="00797CAD" w14:paraId="7DECAFF6"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1FCE67C2"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Income tax excluding impact of special items</w:t>
            </w:r>
          </w:p>
        </w:tc>
        <w:tc>
          <w:tcPr>
            <w:tcW w:w="577" w:type="pct"/>
            <w:tcBorders>
              <w:top w:val="single" w:sz="4" w:space="0" w:color="95B3D7"/>
              <w:left w:val="nil"/>
              <w:bottom w:val="single" w:sz="4" w:space="0" w:color="95B3D7"/>
              <w:right w:val="nil"/>
            </w:tcBorders>
            <w:shd w:val="clear" w:color="DCE6F1" w:fill="DCE6F1"/>
            <w:noWrap/>
            <w:vAlign w:val="bottom"/>
            <w:hideMark/>
          </w:tcPr>
          <w:p w14:paraId="4C6F4B2D"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219</w:t>
            </w:r>
          </w:p>
        </w:tc>
        <w:tc>
          <w:tcPr>
            <w:tcW w:w="485" w:type="pct"/>
            <w:tcBorders>
              <w:top w:val="single" w:sz="4" w:space="0" w:color="95B3D7"/>
              <w:left w:val="nil"/>
              <w:bottom w:val="single" w:sz="4" w:space="0" w:color="95B3D7"/>
              <w:right w:val="nil"/>
            </w:tcBorders>
            <w:shd w:val="clear" w:color="DCE6F1" w:fill="DCE6F1"/>
            <w:noWrap/>
            <w:vAlign w:val="bottom"/>
            <w:hideMark/>
          </w:tcPr>
          <w:p w14:paraId="64A3E50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209</w:t>
            </w:r>
          </w:p>
        </w:tc>
        <w:tc>
          <w:tcPr>
            <w:tcW w:w="485" w:type="pct"/>
            <w:tcBorders>
              <w:top w:val="single" w:sz="4" w:space="0" w:color="95B3D7"/>
              <w:left w:val="nil"/>
              <w:bottom w:val="single" w:sz="4" w:space="0" w:color="95B3D7"/>
              <w:right w:val="nil"/>
            </w:tcBorders>
            <w:shd w:val="clear" w:color="DCE6F1" w:fill="DCE6F1"/>
            <w:noWrap/>
            <w:vAlign w:val="bottom"/>
            <w:hideMark/>
          </w:tcPr>
          <w:p w14:paraId="7E96E62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162</w:t>
            </w:r>
          </w:p>
        </w:tc>
        <w:tc>
          <w:tcPr>
            <w:tcW w:w="485" w:type="pct"/>
            <w:tcBorders>
              <w:top w:val="single" w:sz="4" w:space="0" w:color="95B3D7"/>
              <w:left w:val="nil"/>
              <w:bottom w:val="single" w:sz="4" w:space="0" w:color="95B3D7"/>
              <w:right w:val="nil"/>
            </w:tcBorders>
            <w:shd w:val="clear" w:color="DCE6F1" w:fill="DCE6F1"/>
            <w:noWrap/>
            <w:vAlign w:val="bottom"/>
            <w:hideMark/>
          </w:tcPr>
          <w:p w14:paraId="7E09775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110</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4C33E53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171</w:t>
            </w:r>
          </w:p>
        </w:tc>
      </w:tr>
      <w:tr w:rsidR="009D7419" w:rsidRPr="00797CAD" w14:paraId="656356AE"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7C2779C8"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Normalized income after tax</w:t>
            </w:r>
          </w:p>
        </w:tc>
        <w:tc>
          <w:tcPr>
            <w:tcW w:w="577" w:type="pct"/>
            <w:tcBorders>
              <w:top w:val="single" w:sz="4" w:space="0" w:color="95B3D7"/>
              <w:left w:val="nil"/>
              <w:bottom w:val="single" w:sz="4" w:space="0" w:color="95B3D7"/>
              <w:right w:val="nil"/>
            </w:tcBorders>
            <w:shd w:val="clear" w:color="auto" w:fill="auto"/>
            <w:noWrap/>
            <w:vAlign w:val="bottom"/>
            <w:hideMark/>
          </w:tcPr>
          <w:p w14:paraId="1177F2F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665</w:t>
            </w:r>
          </w:p>
        </w:tc>
        <w:tc>
          <w:tcPr>
            <w:tcW w:w="485" w:type="pct"/>
            <w:tcBorders>
              <w:top w:val="single" w:sz="4" w:space="0" w:color="95B3D7"/>
              <w:left w:val="nil"/>
              <w:bottom w:val="single" w:sz="4" w:space="0" w:color="95B3D7"/>
              <w:right w:val="nil"/>
            </w:tcBorders>
            <w:shd w:val="clear" w:color="auto" w:fill="auto"/>
            <w:noWrap/>
            <w:vAlign w:val="bottom"/>
            <w:hideMark/>
          </w:tcPr>
          <w:p w14:paraId="41B059E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846</w:t>
            </w:r>
          </w:p>
        </w:tc>
        <w:tc>
          <w:tcPr>
            <w:tcW w:w="485" w:type="pct"/>
            <w:tcBorders>
              <w:top w:val="single" w:sz="4" w:space="0" w:color="95B3D7"/>
              <w:left w:val="nil"/>
              <w:bottom w:val="single" w:sz="4" w:space="0" w:color="95B3D7"/>
              <w:right w:val="nil"/>
            </w:tcBorders>
            <w:shd w:val="clear" w:color="auto" w:fill="auto"/>
            <w:noWrap/>
            <w:vAlign w:val="bottom"/>
            <w:hideMark/>
          </w:tcPr>
          <w:p w14:paraId="2574BB0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705</w:t>
            </w:r>
          </w:p>
        </w:tc>
        <w:tc>
          <w:tcPr>
            <w:tcW w:w="485" w:type="pct"/>
            <w:tcBorders>
              <w:top w:val="single" w:sz="4" w:space="0" w:color="95B3D7"/>
              <w:left w:val="nil"/>
              <w:bottom w:val="single" w:sz="4" w:space="0" w:color="95B3D7"/>
              <w:right w:val="nil"/>
            </w:tcBorders>
            <w:shd w:val="clear" w:color="auto" w:fill="auto"/>
            <w:noWrap/>
            <w:vAlign w:val="bottom"/>
            <w:hideMark/>
          </w:tcPr>
          <w:p w14:paraId="0A387894"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496</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3376889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743</w:t>
            </w:r>
          </w:p>
        </w:tc>
      </w:tr>
      <w:tr w:rsidR="009D7419" w:rsidRPr="00797CAD" w14:paraId="6CCB58F8"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2F015024"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Normalized income avail. to common</w:t>
            </w:r>
          </w:p>
        </w:tc>
        <w:tc>
          <w:tcPr>
            <w:tcW w:w="577" w:type="pct"/>
            <w:tcBorders>
              <w:top w:val="single" w:sz="4" w:space="0" w:color="95B3D7"/>
              <w:left w:val="nil"/>
              <w:bottom w:val="single" w:sz="4" w:space="0" w:color="95B3D7"/>
              <w:right w:val="nil"/>
            </w:tcBorders>
            <w:shd w:val="clear" w:color="DCE6F1" w:fill="DCE6F1"/>
            <w:noWrap/>
            <w:vAlign w:val="bottom"/>
            <w:hideMark/>
          </w:tcPr>
          <w:p w14:paraId="606C4360"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665</w:t>
            </w:r>
          </w:p>
        </w:tc>
        <w:tc>
          <w:tcPr>
            <w:tcW w:w="485" w:type="pct"/>
            <w:tcBorders>
              <w:top w:val="single" w:sz="4" w:space="0" w:color="95B3D7"/>
              <w:left w:val="nil"/>
              <w:bottom w:val="single" w:sz="4" w:space="0" w:color="95B3D7"/>
              <w:right w:val="nil"/>
            </w:tcBorders>
            <w:shd w:val="clear" w:color="DCE6F1" w:fill="DCE6F1"/>
            <w:noWrap/>
            <w:vAlign w:val="bottom"/>
            <w:hideMark/>
          </w:tcPr>
          <w:p w14:paraId="3461B2F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846</w:t>
            </w:r>
          </w:p>
        </w:tc>
        <w:tc>
          <w:tcPr>
            <w:tcW w:w="485" w:type="pct"/>
            <w:tcBorders>
              <w:top w:val="single" w:sz="4" w:space="0" w:color="95B3D7"/>
              <w:left w:val="nil"/>
              <w:bottom w:val="single" w:sz="4" w:space="0" w:color="95B3D7"/>
              <w:right w:val="nil"/>
            </w:tcBorders>
            <w:shd w:val="clear" w:color="DCE6F1" w:fill="DCE6F1"/>
            <w:noWrap/>
            <w:vAlign w:val="bottom"/>
            <w:hideMark/>
          </w:tcPr>
          <w:p w14:paraId="231B4F3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705</w:t>
            </w:r>
          </w:p>
        </w:tc>
        <w:tc>
          <w:tcPr>
            <w:tcW w:w="485" w:type="pct"/>
            <w:tcBorders>
              <w:top w:val="single" w:sz="4" w:space="0" w:color="95B3D7"/>
              <w:left w:val="nil"/>
              <w:bottom w:val="single" w:sz="4" w:space="0" w:color="95B3D7"/>
              <w:right w:val="nil"/>
            </w:tcBorders>
            <w:shd w:val="clear" w:color="DCE6F1" w:fill="DCE6F1"/>
            <w:noWrap/>
            <w:vAlign w:val="bottom"/>
            <w:hideMark/>
          </w:tcPr>
          <w:p w14:paraId="69BB1EF6"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493</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4A9FBAB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743</w:t>
            </w:r>
          </w:p>
        </w:tc>
      </w:tr>
      <w:tr w:rsidR="009D7419" w:rsidRPr="00797CAD" w14:paraId="62DE4A15"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auto" w:fill="auto"/>
            <w:noWrap/>
            <w:vAlign w:val="bottom"/>
            <w:hideMark/>
          </w:tcPr>
          <w:p w14:paraId="50211568"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Basic normalized EPS</w:t>
            </w:r>
          </w:p>
        </w:tc>
        <w:tc>
          <w:tcPr>
            <w:tcW w:w="577" w:type="pct"/>
            <w:tcBorders>
              <w:top w:val="single" w:sz="4" w:space="0" w:color="95B3D7"/>
              <w:left w:val="nil"/>
              <w:bottom w:val="single" w:sz="4" w:space="0" w:color="95B3D7"/>
              <w:right w:val="nil"/>
            </w:tcBorders>
            <w:shd w:val="clear" w:color="auto" w:fill="auto"/>
            <w:noWrap/>
            <w:vAlign w:val="bottom"/>
            <w:hideMark/>
          </w:tcPr>
          <w:p w14:paraId="203F259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0.67</w:t>
            </w:r>
          </w:p>
        </w:tc>
        <w:tc>
          <w:tcPr>
            <w:tcW w:w="485" w:type="pct"/>
            <w:tcBorders>
              <w:top w:val="single" w:sz="4" w:space="0" w:color="95B3D7"/>
              <w:left w:val="nil"/>
              <w:bottom w:val="single" w:sz="4" w:space="0" w:color="95B3D7"/>
              <w:right w:val="nil"/>
            </w:tcBorders>
            <w:shd w:val="clear" w:color="auto" w:fill="auto"/>
            <w:noWrap/>
            <w:vAlign w:val="bottom"/>
            <w:hideMark/>
          </w:tcPr>
          <w:p w14:paraId="3192513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0.83</w:t>
            </w:r>
          </w:p>
        </w:tc>
        <w:tc>
          <w:tcPr>
            <w:tcW w:w="485" w:type="pct"/>
            <w:tcBorders>
              <w:top w:val="single" w:sz="4" w:space="0" w:color="95B3D7"/>
              <w:left w:val="nil"/>
              <w:bottom w:val="single" w:sz="4" w:space="0" w:color="95B3D7"/>
              <w:right w:val="nil"/>
            </w:tcBorders>
            <w:shd w:val="clear" w:color="auto" w:fill="auto"/>
            <w:noWrap/>
            <w:vAlign w:val="bottom"/>
            <w:hideMark/>
          </w:tcPr>
          <w:p w14:paraId="5542CE19"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0.69</w:t>
            </w:r>
          </w:p>
        </w:tc>
        <w:tc>
          <w:tcPr>
            <w:tcW w:w="485" w:type="pct"/>
            <w:tcBorders>
              <w:top w:val="single" w:sz="4" w:space="0" w:color="95B3D7"/>
              <w:left w:val="nil"/>
              <w:bottom w:val="single" w:sz="4" w:space="0" w:color="95B3D7"/>
              <w:right w:val="nil"/>
            </w:tcBorders>
            <w:shd w:val="clear" w:color="auto" w:fill="auto"/>
            <w:noWrap/>
            <w:vAlign w:val="bottom"/>
            <w:hideMark/>
          </w:tcPr>
          <w:p w14:paraId="7EE97F7A"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0.49</w:t>
            </w:r>
          </w:p>
        </w:tc>
        <w:tc>
          <w:tcPr>
            <w:tcW w:w="484" w:type="pct"/>
            <w:tcBorders>
              <w:top w:val="single" w:sz="4" w:space="0" w:color="95B3D7"/>
              <w:left w:val="nil"/>
              <w:bottom w:val="single" w:sz="4" w:space="0" w:color="95B3D7"/>
              <w:right w:val="single" w:sz="4" w:space="0" w:color="95B3D7"/>
            </w:tcBorders>
            <w:shd w:val="clear" w:color="auto" w:fill="auto"/>
            <w:noWrap/>
            <w:vAlign w:val="bottom"/>
            <w:hideMark/>
          </w:tcPr>
          <w:p w14:paraId="5ECC68D3"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0.74</w:t>
            </w:r>
          </w:p>
        </w:tc>
      </w:tr>
      <w:tr w:rsidR="009D7419" w:rsidRPr="00797CAD" w14:paraId="00E8CFE7" w14:textId="77777777" w:rsidTr="00CD240D">
        <w:trPr>
          <w:trHeight w:val="255"/>
        </w:trPr>
        <w:tc>
          <w:tcPr>
            <w:tcW w:w="2485" w:type="pct"/>
            <w:tcBorders>
              <w:top w:val="single" w:sz="4" w:space="0" w:color="95B3D7"/>
              <w:left w:val="single" w:sz="4" w:space="0" w:color="95B3D7"/>
              <w:bottom w:val="single" w:sz="4" w:space="0" w:color="95B3D7"/>
              <w:right w:val="nil"/>
            </w:tcBorders>
            <w:shd w:val="clear" w:color="DCE6F1" w:fill="DCE6F1"/>
            <w:noWrap/>
            <w:vAlign w:val="bottom"/>
            <w:hideMark/>
          </w:tcPr>
          <w:p w14:paraId="04CCE2E5" w14:textId="77777777" w:rsidR="009D7419" w:rsidRPr="00797CAD" w:rsidRDefault="009D7419" w:rsidP="00CD240D">
            <w:pPr>
              <w:spacing w:after="0" w:line="240" w:lineRule="auto"/>
              <w:rPr>
                <w:rFonts w:ascii="Arial" w:eastAsia="Times New Roman" w:hAnsi="Arial" w:cs="Arial"/>
                <w:color w:val="000000"/>
                <w:sz w:val="20"/>
                <w:szCs w:val="20"/>
              </w:rPr>
            </w:pPr>
            <w:r w:rsidRPr="00797CAD">
              <w:rPr>
                <w:rFonts w:ascii="Arial" w:eastAsia="Times New Roman" w:hAnsi="Arial" w:cs="Arial"/>
                <w:color w:val="000000"/>
                <w:sz w:val="20"/>
                <w:szCs w:val="20"/>
              </w:rPr>
              <w:t>Diluted normalized EPS</w:t>
            </w:r>
          </w:p>
        </w:tc>
        <w:tc>
          <w:tcPr>
            <w:tcW w:w="577" w:type="pct"/>
            <w:tcBorders>
              <w:top w:val="single" w:sz="4" w:space="0" w:color="95B3D7"/>
              <w:left w:val="nil"/>
              <w:bottom w:val="single" w:sz="4" w:space="0" w:color="95B3D7"/>
              <w:right w:val="nil"/>
            </w:tcBorders>
            <w:shd w:val="clear" w:color="DCE6F1" w:fill="DCE6F1"/>
            <w:noWrap/>
            <w:vAlign w:val="bottom"/>
            <w:hideMark/>
          </w:tcPr>
          <w:p w14:paraId="432927CF"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0.66</w:t>
            </w:r>
          </w:p>
        </w:tc>
        <w:tc>
          <w:tcPr>
            <w:tcW w:w="485" w:type="pct"/>
            <w:tcBorders>
              <w:top w:val="single" w:sz="4" w:space="0" w:color="95B3D7"/>
              <w:left w:val="nil"/>
              <w:bottom w:val="single" w:sz="4" w:space="0" w:color="95B3D7"/>
              <w:right w:val="nil"/>
            </w:tcBorders>
            <w:shd w:val="clear" w:color="DCE6F1" w:fill="DCE6F1"/>
            <w:noWrap/>
            <w:vAlign w:val="bottom"/>
            <w:hideMark/>
          </w:tcPr>
          <w:p w14:paraId="1CE90805"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0.82</w:t>
            </w:r>
          </w:p>
        </w:tc>
        <w:tc>
          <w:tcPr>
            <w:tcW w:w="485" w:type="pct"/>
            <w:tcBorders>
              <w:top w:val="single" w:sz="4" w:space="0" w:color="95B3D7"/>
              <w:left w:val="nil"/>
              <w:bottom w:val="single" w:sz="4" w:space="0" w:color="95B3D7"/>
              <w:right w:val="nil"/>
            </w:tcBorders>
            <w:shd w:val="clear" w:color="DCE6F1" w:fill="DCE6F1"/>
            <w:noWrap/>
            <w:vAlign w:val="bottom"/>
            <w:hideMark/>
          </w:tcPr>
          <w:p w14:paraId="32E556CC"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0.68</w:t>
            </w:r>
          </w:p>
        </w:tc>
        <w:tc>
          <w:tcPr>
            <w:tcW w:w="485" w:type="pct"/>
            <w:tcBorders>
              <w:top w:val="single" w:sz="4" w:space="0" w:color="95B3D7"/>
              <w:left w:val="nil"/>
              <w:bottom w:val="single" w:sz="4" w:space="0" w:color="95B3D7"/>
              <w:right w:val="nil"/>
            </w:tcBorders>
            <w:shd w:val="clear" w:color="DCE6F1" w:fill="DCE6F1"/>
            <w:noWrap/>
            <w:vAlign w:val="bottom"/>
            <w:hideMark/>
          </w:tcPr>
          <w:p w14:paraId="233FA5AE"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0.48</w:t>
            </w:r>
          </w:p>
        </w:tc>
        <w:tc>
          <w:tcPr>
            <w:tcW w:w="484" w:type="pct"/>
            <w:tcBorders>
              <w:top w:val="single" w:sz="4" w:space="0" w:color="95B3D7"/>
              <w:left w:val="nil"/>
              <w:bottom w:val="single" w:sz="4" w:space="0" w:color="95B3D7"/>
              <w:right w:val="single" w:sz="4" w:space="0" w:color="95B3D7"/>
            </w:tcBorders>
            <w:shd w:val="clear" w:color="DCE6F1" w:fill="DCE6F1"/>
            <w:noWrap/>
            <w:vAlign w:val="bottom"/>
            <w:hideMark/>
          </w:tcPr>
          <w:p w14:paraId="5BC3C852" w14:textId="77777777" w:rsidR="009D7419" w:rsidRPr="00797CAD" w:rsidRDefault="009D7419" w:rsidP="00CD240D">
            <w:pPr>
              <w:spacing w:after="0" w:line="240" w:lineRule="auto"/>
              <w:jc w:val="right"/>
              <w:rPr>
                <w:rFonts w:ascii="Arial" w:eastAsia="Times New Roman" w:hAnsi="Arial" w:cs="Arial"/>
                <w:color w:val="000000"/>
                <w:sz w:val="20"/>
                <w:szCs w:val="20"/>
              </w:rPr>
            </w:pPr>
            <w:r w:rsidRPr="00797CAD">
              <w:rPr>
                <w:rFonts w:ascii="Arial" w:eastAsia="Times New Roman" w:hAnsi="Arial" w:cs="Arial"/>
                <w:color w:val="000000"/>
                <w:sz w:val="20"/>
                <w:szCs w:val="20"/>
              </w:rPr>
              <w:t>0.73</w:t>
            </w:r>
          </w:p>
        </w:tc>
      </w:tr>
    </w:tbl>
    <w:p w14:paraId="328F4B1C" w14:textId="77777777" w:rsidR="009D7419" w:rsidRDefault="009D7419" w:rsidP="009D7419">
      <w:pPr>
        <w:spacing w:after="0" w:line="360" w:lineRule="auto"/>
        <w:rPr>
          <w:rFonts w:ascii="Calibri" w:hAnsi="Calibri" w:cs="Calibri"/>
          <w:color w:val="000000" w:themeColor="text1"/>
        </w:rPr>
      </w:pPr>
    </w:p>
    <w:tbl>
      <w:tblPr>
        <w:tblW w:w="5000" w:type="pct"/>
        <w:tblLook w:val="04A0" w:firstRow="1" w:lastRow="0" w:firstColumn="1" w:lastColumn="0" w:noHBand="0" w:noVBand="1"/>
      </w:tblPr>
      <w:tblGrid>
        <w:gridCol w:w="4163"/>
        <w:gridCol w:w="1038"/>
        <w:gridCol w:w="1038"/>
        <w:gridCol w:w="1038"/>
        <w:gridCol w:w="1038"/>
        <w:gridCol w:w="1035"/>
      </w:tblGrid>
      <w:tr w:rsidR="009D7419" w:rsidRPr="00A47B28" w14:paraId="4C1AFDF5" w14:textId="77777777" w:rsidTr="00CD240D">
        <w:trPr>
          <w:trHeight w:val="255"/>
        </w:trPr>
        <w:tc>
          <w:tcPr>
            <w:tcW w:w="5000" w:type="pct"/>
            <w:gridSpan w:val="6"/>
            <w:tcBorders>
              <w:top w:val="single" w:sz="4" w:space="0" w:color="95B3D7"/>
              <w:left w:val="single" w:sz="4" w:space="0" w:color="95B3D7"/>
              <w:bottom w:val="single" w:sz="4" w:space="0" w:color="95B3D7"/>
              <w:right w:val="single" w:sz="4" w:space="0" w:color="95B3D7"/>
            </w:tcBorders>
            <w:shd w:val="clear" w:color="4F81BD" w:fill="4F81BD"/>
            <w:noWrap/>
            <w:vAlign w:val="bottom"/>
            <w:hideMark/>
          </w:tcPr>
          <w:p w14:paraId="35F2C397" w14:textId="77777777" w:rsidR="009D7419"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BARRATT DEVELOPMENT PLC</w:t>
            </w:r>
          </w:p>
          <w:p w14:paraId="3D4646E8" w14:textId="77777777" w:rsidR="009D7419" w:rsidRPr="00A47B28"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BALANCE SHEET</w:t>
            </w:r>
          </w:p>
        </w:tc>
      </w:tr>
      <w:tr w:rsidR="009D7419" w:rsidRPr="00A47B28" w14:paraId="695FE643"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428D8B60"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Fiscal data as of Jun 30 2023</w:t>
            </w:r>
          </w:p>
        </w:tc>
        <w:tc>
          <w:tcPr>
            <w:tcW w:w="564" w:type="pct"/>
            <w:tcBorders>
              <w:top w:val="single" w:sz="4" w:space="0" w:color="95B3D7"/>
              <w:left w:val="nil"/>
              <w:bottom w:val="single" w:sz="4" w:space="0" w:color="95B3D7"/>
              <w:right w:val="nil"/>
            </w:tcBorders>
            <w:shd w:val="clear" w:color="DCE6F1" w:fill="DCE6F1"/>
            <w:noWrap/>
            <w:vAlign w:val="bottom"/>
            <w:hideMark/>
          </w:tcPr>
          <w:p w14:paraId="4B28C6E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2023</w:t>
            </w:r>
          </w:p>
        </w:tc>
        <w:tc>
          <w:tcPr>
            <w:tcW w:w="564" w:type="pct"/>
            <w:tcBorders>
              <w:top w:val="single" w:sz="4" w:space="0" w:color="95B3D7"/>
              <w:left w:val="nil"/>
              <w:bottom w:val="single" w:sz="4" w:space="0" w:color="95B3D7"/>
              <w:right w:val="nil"/>
            </w:tcBorders>
            <w:shd w:val="clear" w:color="DCE6F1" w:fill="DCE6F1"/>
            <w:noWrap/>
            <w:vAlign w:val="bottom"/>
            <w:hideMark/>
          </w:tcPr>
          <w:p w14:paraId="766279E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2022</w:t>
            </w:r>
          </w:p>
        </w:tc>
        <w:tc>
          <w:tcPr>
            <w:tcW w:w="564" w:type="pct"/>
            <w:tcBorders>
              <w:top w:val="single" w:sz="4" w:space="0" w:color="95B3D7"/>
              <w:left w:val="nil"/>
              <w:bottom w:val="single" w:sz="4" w:space="0" w:color="95B3D7"/>
              <w:right w:val="nil"/>
            </w:tcBorders>
            <w:shd w:val="clear" w:color="DCE6F1" w:fill="DCE6F1"/>
            <w:noWrap/>
            <w:vAlign w:val="bottom"/>
            <w:hideMark/>
          </w:tcPr>
          <w:p w14:paraId="3AEAAC4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2021</w:t>
            </w:r>
          </w:p>
        </w:tc>
        <w:tc>
          <w:tcPr>
            <w:tcW w:w="564" w:type="pct"/>
            <w:tcBorders>
              <w:top w:val="single" w:sz="4" w:space="0" w:color="95B3D7"/>
              <w:left w:val="nil"/>
              <w:bottom w:val="single" w:sz="4" w:space="0" w:color="95B3D7"/>
              <w:right w:val="nil"/>
            </w:tcBorders>
            <w:shd w:val="clear" w:color="DCE6F1" w:fill="DCE6F1"/>
            <w:noWrap/>
            <w:vAlign w:val="bottom"/>
            <w:hideMark/>
          </w:tcPr>
          <w:p w14:paraId="57DF8C8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361F49D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2019</w:t>
            </w:r>
          </w:p>
        </w:tc>
      </w:tr>
      <w:tr w:rsidR="009D7419" w:rsidRPr="00A47B28" w14:paraId="2CACD4B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F11848A"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ASSETS</w:t>
            </w:r>
          </w:p>
        </w:tc>
        <w:tc>
          <w:tcPr>
            <w:tcW w:w="564" w:type="pct"/>
            <w:tcBorders>
              <w:top w:val="single" w:sz="4" w:space="0" w:color="95B3D7"/>
              <w:left w:val="nil"/>
              <w:bottom w:val="single" w:sz="4" w:space="0" w:color="95B3D7"/>
              <w:right w:val="nil"/>
            </w:tcBorders>
            <w:shd w:val="clear" w:color="auto" w:fill="auto"/>
            <w:noWrap/>
            <w:vAlign w:val="bottom"/>
            <w:hideMark/>
          </w:tcPr>
          <w:p w14:paraId="7E1660B2"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3B888034"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7EAB2853"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0736E567"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600B4D99"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4B156F81"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D69BDDB"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 xml:space="preserve">Cash And </w:t>
            </w:r>
            <w:proofErr w:type="gramStart"/>
            <w:r w:rsidRPr="00A47B28">
              <w:rPr>
                <w:rFonts w:ascii="Arial" w:eastAsia="Times New Roman" w:hAnsi="Arial" w:cs="Arial"/>
                <w:color w:val="000000"/>
                <w:sz w:val="20"/>
                <w:szCs w:val="20"/>
              </w:rPr>
              <w:t>Short Term</w:t>
            </w:r>
            <w:proofErr w:type="gramEnd"/>
            <w:r w:rsidRPr="00A47B28">
              <w:rPr>
                <w:rFonts w:ascii="Arial" w:eastAsia="Times New Roman" w:hAnsi="Arial" w:cs="Arial"/>
                <w:color w:val="000000"/>
                <w:sz w:val="20"/>
                <w:szCs w:val="20"/>
              </w:rPr>
              <w:t xml:space="preserve"> Investments</w:t>
            </w:r>
          </w:p>
        </w:tc>
        <w:tc>
          <w:tcPr>
            <w:tcW w:w="564" w:type="pct"/>
            <w:tcBorders>
              <w:top w:val="single" w:sz="4" w:space="0" w:color="95B3D7"/>
              <w:left w:val="nil"/>
              <w:bottom w:val="single" w:sz="4" w:space="0" w:color="95B3D7"/>
              <w:right w:val="nil"/>
            </w:tcBorders>
            <w:shd w:val="clear" w:color="DCE6F1" w:fill="DCE6F1"/>
            <w:noWrap/>
            <w:vAlign w:val="bottom"/>
            <w:hideMark/>
          </w:tcPr>
          <w:p w14:paraId="5CA5760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1,269</w:t>
            </w:r>
          </w:p>
        </w:tc>
        <w:tc>
          <w:tcPr>
            <w:tcW w:w="564" w:type="pct"/>
            <w:tcBorders>
              <w:top w:val="single" w:sz="4" w:space="0" w:color="95B3D7"/>
              <w:left w:val="nil"/>
              <w:bottom w:val="single" w:sz="4" w:space="0" w:color="95B3D7"/>
              <w:right w:val="nil"/>
            </w:tcBorders>
            <w:shd w:val="clear" w:color="DCE6F1" w:fill="DCE6F1"/>
            <w:noWrap/>
            <w:vAlign w:val="bottom"/>
            <w:hideMark/>
          </w:tcPr>
          <w:p w14:paraId="52AE44A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1,353</w:t>
            </w:r>
          </w:p>
        </w:tc>
        <w:tc>
          <w:tcPr>
            <w:tcW w:w="564" w:type="pct"/>
            <w:tcBorders>
              <w:top w:val="single" w:sz="4" w:space="0" w:color="95B3D7"/>
              <w:left w:val="nil"/>
              <w:bottom w:val="single" w:sz="4" w:space="0" w:color="95B3D7"/>
              <w:right w:val="nil"/>
            </w:tcBorders>
            <w:shd w:val="clear" w:color="DCE6F1" w:fill="DCE6F1"/>
            <w:noWrap/>
            <w:vAlign w:val="bottom"/>
            <w:hideMark/>
          </w:tcPr>
          <w:p w14:paraId="028CD7D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1,519</w:t>
            </w:r>
          </w:p>
        </w:tc>
        <w:tc>
          <w:tcPr>
            <w:tcW w:w="564" w:type="pct"/>
            <w:tcBorders>
              <w:top w:val="single" w:sz="4" w:space="0" w:color="95B3D7"/>
              <w:left w:val="nil"/>
              <w:bottom w:val="single" w:sz="4" w:space="0" w:color="95B3D7"/>
              <w:right w:val="nil"/>
            </w:tcBorders>
            <w:shd w:val="clear" w:color="DCE6F1" w:fill="DCE6F1"/>
            <w:noWrap/>
            <w:vAlign w:val="bottom"/>
            <w:hideMark/>
          </w:tcPr>
          <w:p w14:paraId="70423CA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620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381CFCA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1,136</w:t>
            </w:r>
          </w:p>
        </w:tc>
      </w:tr>
      <w:tr w:rsidR="009D7419" w:rsidRPr="00A47B28" w14:paraId="6CA136FE"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06383BB"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Receivables, Net</w:t>
            </w:r>
          </w:p>
        </w:tc>
        <w:tc>
          <w:tcPr>
            <w:tcW w:w="564" w:type="pct"/>
            <w:tcBorders>
              <w:top w:val="single" w:sz="4" w:space="0" w:color="95B3D7"/>
              <w:left w:val="nil"/>
              <w:bottom w:val="single" w:sz="4" w:space="0" w:color="95B3D7"/>
              <w:right w:val="nil"/>
            </w:tcBorders>
            <w:shd w:val="clear" w:color="auto" w:fill="auto"/>
            <w:noWrap/>
            <w:vAlign w:val="bottom"/>
            <w:hideMark/>
          </w:tcPr>
          <w:p w14:paraId="54C1449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197</w:t>
            </w:r>
          </w:p>
        </w:tc>
        <w:tc>
          <w:tcPr>
            <w:tcW w:w="564" w:type="pct"/>
            <w:tcBorders>
              <w:top w:val="single" w:sz="4" w:space="0" w:color="95B3D7"/>
              <w:left w:val="nil"/>
              <w:bottom w:val="single" w:sz="4" w:space="0" w:color="95B3D7"/>
              <w:right w:val="nil"/>
            </w:tcBorders>
            <w:shd w:val="clear" w:color="auto" w:fill="auto"/>
            <w:noWrap/>
            <w:vAlign w:val="bottom"/>
            <w:hideMark/>
          </w:tcPr>
          <w:p w14:paraId="1570724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227</w:t>
            </w:r>
          </w:p>
        </w:tc>
        <w:tc>
          <w:tcPr>
            <w:tcW w:w="564" w:type="pct"/>
            <w:tcBorders>
              <w:top w:val="single" w:sz="4" w:space="0" w:color="95B3D7"/>
              <w:left w:val="nil"/>
              <w:bottom w:val="single" w:sz="4" w:space="0" w:color="95B3D7"/>
              <w:right w:val="nil"/>
            </w:tcBorders>
            <w:shd w:val="clear" w:color="auto" w:fill="auto"/>
            <w:noWrap/>
            <w:vAlign w:val="bottom"/>
            <w:hideMark/>
          </w:tcPr>
          <w:p w14:paraId="15DBD99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165</w:t>
            </w:r>
          </w:p>
        </w:tc>
        <w:tc>
          <w:tcPr>
            <w:tcW w:w="564" w:type="pct"/>
            <w:tcBorders>
              <w:top w:val="single" w:sz="4" w:space="0" w:color="95B3D7"/>
              <w:left w:val="nil"/>
              <w:bottom w:val="single" w:sz="4" w:space="0" w:color="95B3D7"/>
              <w:right w:val="nil"/>
            </w:tcBorders>
            <w:shd w:val="clear" w:color="auto" w:fill="auto"/>
            <w:noWrap/>
            <w:vAlign w:val="bottom"/>
            <w:hideMark/>
          </w:tcPr>
          <w:p w14:paraId="2E37559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70</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1BDC471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209</w:t>
            </w:r>
          </w:p>
        </w:tc>
      </w:tr>
      <w:tr w:rsidR="009D7419" w:rsidRPr="00A47B28" w14:paraId="26FFF635"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FC79A17"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Inventory</w:t>
            </w:r>
          </w:p>
        </w:tc>
        <w:tc>
          <w:tcPr>
            <w:tcW w:w="564" w:type="pct"/>
            <w:tcBorders>
              <w:top w:val="single" w:sz="4" w:space="0" w:color="95B3D7"/>
              <w:left w:val="nil"/>
              <w:bottom w:val="single" w:sz="4" w:space="0" w:color="95B3D7"/>
              <w:right w:val="nil"/>
            </w:tcBorders>
            <w:shd w:val="clear" w:color="DCE6F1" w:fill="DCE6F1"/>
            <w:noWrap/>
            <w:vAlign w:val="bottom"/>
            <w:hideMark/>
          </w:tcPr>
          <w:p w14:paraId="276F733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5,238</w:t>
            </w:r>
          </w:p>
        </w:tc>
        <w:tc>
          <w:tcPr>
            <w:tcW w:w="564" w:type="pct"/>
            <w:tcBorders>
              <w:top w:val="single" w:sz="4" w:space="0" w:color="95B3D7"/>
              <w:left w:val="nil"/>
              <w:bottom w:val="single" w:sz="4" w:space="0" w:color="95B3D7"/>
              <w:right w:val="nil"/>
            </w:tcBorders>
            <w:shd w:val="clear" w:color="DCE6F1" w:fill="DCE6F1"/>
            <w:noWrap/>
            <w:vAlign w:val="bottom"/>
            <w:hideMark/>
          </w:tcPr>
          <w:p w14:paraId="79A4FA5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5,292</w:t>
            </w:r>
          </w:p>
        </w:tc>
        <w:tc>
          <w:tcPr>
            <w:tcW w:w="564" w:type="pct"/>
            <w:tcBorders>
              <w:top w:val="single" w:sz="4" w:space="0" w:color="95B3D7"/>
              <w:left w:val="nil"/>
              <w:bottom w:val="single" w:sz="4" w:space="0" w:color="95B3D7"/>
              <w:right w:val="nil"/>
            </w:tcBorders>
            <w:shd w:val="clear" w:color="DCE6F1" w:fill="DCE6F1"/>
            <w:noWrap/>
            <w:vAlign w:val="bottom"/>
            <w:hideMark/>
          </w:tcPr>
          <w:p w14:paraId="4925069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4,646</w:t>
            </w:r>
          </w:p>
        </w:tc>
        <w:tc>
          <w:tcPr>
            <w:tcW w:w="564" w:type="pct"/>
            <w:tcBorders>
              <w:top w:val="single" w:sz="4" w:space="0" w:color="95B3D7"/>
              <w:left w:val="nil"/>
              <w:bottom w:val="single" w:sz="4" w:space="0" w:color="95B3D7"/>
              <w:right w:val="nil"/>
            </w:tcBorders>
            <w:shd w:val="clear" w:color="DCE6F1" w:fill="DCE6F1"/>
            <w:noWrap/>
            <w:vAlign w:val="bottom"/>
            <w:hideMark/>
          </w:tcPr>
          <w:p w14:paraId="2C7ABC2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5,028</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B91E4B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4,824</w:t>
            </w:r>
          </w:p>
        </w:tc>
      </w:tr>
      <w:tr w:rsidR="009D7419" w:rsidRPr="00A47B28" w14:paraId="642FA348"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44950BDF"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Prepaid expenses</w:t>
            </w:r>
          </w:p>
        </w:tc>
        <w:tc>
          <w:tcPr>
            <w:tcW w:w="564" w:type="pct"/>
            <w:tcBorders>
              <w:top w:val="single" w:sz="4" w:space="0" w:color="95B3D7"/>
              <w:left w:val="nil"/>
              <w:bottom w:val="single" w:sz="4" w:space="0" w:color="95B3D7"/>
              <w:right w:val="nil"/>
            </w:tcBorders>
            <w:shd w:val="clear" w:color="auto" w:fill="auto"/>
            <w:noWrap/>
            <w:vAlign w:val="bottom"/>
            <w:hideMark/>
          </w:tcPr>
          <w:p w14:paraId="24F541D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w:t>
            </w:r>
          </w:p>
        </w:tc>
        <w:tc>
          <w:tcPr>
            <w:tcW w:w="564" w:type="pct"/>
            <w:tcBorders>
              <w:top w:val="single" w:sz="4" w:space="0" w:color="95B3D7"/>
              <w:left w:val="nil"/>
              <w:bottom w:val="single" w:sz="4" w:space="0" w:color="95B3D7"/>
              <w:right w:val="nil"/>
            </w:tcBorders>
            <w:shd w:val="clear" w:color="auto" w:fill="auto"/>
            <w:noWrap/>
            <w:vAlign w:val="bottom"/>
            <w:hideMark/>
          </w:tcPr>
          <w:p w14:paraId="6FEB375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w:t>
            </w:r>
          </w:p>
        </w:tc>
        <w:tc>
          <w:tcPr>
            <w:tcW w:w="564" w:type="pct"/>
            <w:tcBorders>
              <w:top w:val="single" w:sz="4" w:space="0" w:color="95B3D7"/>
              <w:left w:val="nil"/>
              <w:bottom w:val="single" w:sz="4" w:space="0" w:color="95B3D7"/>
              <w:right w:val="nil"/>
            </w:tcBorders>
            <w:shd w:val="clear" w:color="auto" w:fill="auto"/>
            <w:noWrap/>
            <w:vAlign w:val="bottom"/>
            <w:hideMark/>
          </w:tcPr>
          <w:p w14:paraId="2DB799F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14</w:t>
            </w:r>
          </w:p>
        </w:tc>
        <w:tc>
          <w:tcPr>
            <w:tcW w:w="564" w:type="pct"/>
            <w:tcBorders>
              <w:top w:val="single" w:sz="4" w:space="0" w:color="95B3D7"/>
              <w:left w:val="nil"/>
              <w:bottom w:val="single" w:sz="4" w:space="0" w:color="95B3D7"/>
              <w:right w:val="nil"/>
            </w:tcBorders>
            <w:shd w:val="clear" w:color="auto" w:fill="auto"/>
            <w:noWrap/>
            <w:vAlign w:val="bottom"/>
            <w:hideMark/>
          </w:tcPr>
          <w:p w14:paraId="779B698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16</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202C727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16</w:t>
            </w:r>
          </w:p>
        </w:tc>
      </w:tr>
      <w:tr w:rsidR="009D7419" w:rsidRPr="00A47B28" w14:paraId="6862AE94"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1297E484"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Other current assets, total</w:t>
            </w:r>
          </w:p>
        </w:tc>
        <w:tc>
          <w:tcPr>
            <w:tcW w:w="564" w:type="pct"/>
            <w:tcBorders>
              <w:top w:val="single" w:sz="4" w:space="0" w:color="95B3D7"/>
              <w:left w:val="nil"/>
              <w:bottom w:val="single" w:sz="4" w:space="0" w:color="95B3D7"/>
              <w:right w:val="nil"/>
            </w:tcBorders>
            <w:shd w:val="clear" w:color="DCE6F1" w:fill="DCE6F1"/>
            <w:noWrap/>
            <w:vAlign w:val="bottom"/>
            <w:hideMark/>
          </w:tcPr>
          <w:p w14:paraId="682649E2"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1FED4A35"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6D448454"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789589BE"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1BD22859"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7B0E2699"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2CD05236"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current assets</w:t>
            </w:r>
          </w:p>
        </w:tc>
        <w:tc>
          <w:tcPr>
            <w:tcW w:w="564" w:type="pct"/>
            <w:tcBorders>
              <w:top w:val="single" w:sz="4" w:space="0" w:color="95B3D7"/>
              <w:left w:val="nil"/>
              <w:bottom w:val="single" w:sz="4" w:space="0" w:color="95B3D7"/>
              <w:right w:val="nil"/>
            </w:tcBorders>
            <w:shd w:val="clear" w:color="auto" w:fill="auto"/>
            <w:noWrap/>
            <w:vAlign w:val="bottom"/>
            <w:hideMark/>
          </w:tcPr>
          <w:p w14:paraId="4EEEB16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6,720</w:t>
            </w:r>
          </w:p>
        </w:tc>
        <w:tc>
          <w:tcPr>
            <w:tcW w:w="564" w:type="pct"/>
            <w:tcBorders>
              <w:top w:val="single" w:sz="4" w:space="0" w:color="95B3D7"/>
              <w:left w:val="nil"/>
              <w:bottom w:val="single" w:sz="4" w:space="0" w:color="95B3D7"/>
              <w:right w:val="nil"/>
            </w:tcBorders>
            <w:shd w:val="clear" w:color="auto" w:fill="auto"/>
            <w:noWrap/>
            <w:vAlign w:val="bottom"/>
            <w:hideMark/>
          </w:tcPr>
          <w:p w14:paraId="36191A8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6,891</w:t>
            </w:r>
          </w:p>
        </w:tc>
        <w:tc>
          <w:tcPr>
            <w:tcW w:w="564" w:type="pct"/>
            <w:tcBorders>
              <w:top w:val="single" w:sz="4" w:space="0" w:color="95B3D7"/>
              <w:left w:val="nil"/>
              <w:bottom w:val="single" w:sz="4" w:space="0" w:color="95B3D7"/>
              <w:right w:val="nil"/>
            </w:tcBorders>
            <w:shd w:val="clear" w:color="auto" w:fill="auto"/>
            <w:noWrap/>
            <w:vAlign w:val="bottom"/>
            <w:hideMark/>
          </w:tcPr>
          <w:p w14:paraId="7C1AAF6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6,344</w:t>
            </w:r>
          </w:p>
        </w:tc>
        <w:tc>
          <w:tcPr>
            <w:tcW w:w="564" w:type="pct"/>
            <w:tcBorders>
              <w:top w:val="single" w:sz="4" w:space="0" w:color="95B3D7"/>
              <w:left w:val="nil"/>
              <w:bottom w:val="single" w:sz="4" w:space="0" w:color="95B3D7"/>
              <w:right w:val="nil"/>
            </w:tcBorders>
            <w:shd w:val="clear" w:color="auto" w:fill="auto"/>
            <w:noWrap/>
            <w:vAlign w:val="bottom"/>
            <w:hideMark/>
          </w:tcPr>
          <w:p w14:paraId="26C751B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5,734</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4796B0E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6,185</w:t>
            </w:r>
          </w:p>
        </w:tc>
      </w:tr>
      <w:tr w:rsidR="009D7419" w:rsidRPr="00A47B28" w14:paraId="1D6A445F"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68EBA5C1"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Property, plant &amp; equipment, net</w:t>
            </w:r>
          </w:p>
        </w:tc>
        <w:tc>
          <w:tcPr>
            <w:tcW w:w="564" w:type="pct"/>
            <w:tcBorders>
              <w:top w:val="single" w:sz="4" w:space="0" w:color="95B3D7"/>
              <w:left w:val="nil"/>
              <w:bottom w:val="single" w:sz="4" w:space="0" w:color="95B3D7"/>
              <w:right w:val="nil"/>
            </w:tcBorders>
            <w:shd w:val="clear" w:color="DCE6F1" w:fill="DCE6F1"/>
            <w:noWrap/>
            <w:vAlign w:val="bottom"/>
            <w:hideMark/>
          </w:tcPr>
          <w:p w14:paraId="3342C5C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103</w:t>
            </w:r>
          </w:p>
        </w:tc>
        <w:tc>
          <w:tcPr>
            <w:tcW w:w="564" w:type="pct"/>
            <w:tcBorders>
              <w:top w:val="single" w:sz="4" w:space="0" w:color="95B3D7"/>
              <w:left w:val="nil"/>
              <w:bottom w:val="single" w:sz="4" w:space="0" w:color="95B3D7"/>
              <w:right w:val="nil"/>
            </w:tcBorders>
            <w:shd w:val="clear" w:color="DCE6F1" w:fill="DCE6F1"/>
            <w:noWrap/>
            <w:vAlign w:val="bottom"/>
            <w:hideMark/>
          </w:tcPr>
          <w:p w14:paraId="23AAA6B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77</w:t>
            </w:r>
          </w:p>
        </w:tc>
        <w:tc>
          <w:tcPr>
            <w:tcW w:w="564" w:type="pct"/>
            <w:tcBorders>
              <w:top w:val="single" w:sz="4" w:space="0" w:color="95B3D7"/>
              <w:left w:val="nil"/>
              <w:bottom w:val="single" w:sz="4" w:space="0" w:color="95B3D7"/>
              <w:right w:val="nil"/>
            </w:tcBorders>
            <w:shd w:val="clear" w:color="DCE6F1" w:fill="DCE6F1"/>
            <w:noWrap/>
            <w:vAlign w:val="bottom"/>
            <w:hideMark/>
          </w:tcPr>
          <w:p w14:paraId="64CA3CC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60</w:t>
            </w:r>
          </w:p>
        </w:tc>
        <w:tc>
          <w:tcPr>
            <w:tcW w:w="564" w:type="pct"/>
            <w:tcBorders>
              <w:top w:val="single" w:sz="4" w:space="0" w:color="95B3D7"/>
              <w:left w:val="nil"/>
              <w:bottom w:val="single" w:sz="4" w:space="0" w:color="95B3D7"/>
              <w:right w:val="nil"/>
            </w:tcBorders>
            <w:shd w:val="clear" w:color="DCE6F1" w:fill="DCE6F1"/>
            <w:noWrap/>
            <w:vAlign w:val="bottom"/>
            <w:hideMark/>
          </w:tcPr>
          <w:p w14:paraId="3D8B768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66</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2A4E6AF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w:t>
            </w:r>
          </w:p>
        </w:tc>
      </w:tr>
      <w:tr w:rsidR="009D7419" w:rsidRPr="00A47B28" w14:paraId="52F0BF2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0CDC4A9"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Goodwill, net</w:t>
            </w:r>
          </w:p>
        </w:tc>
        <w:tc>
          <w:tcPr>
            <w:tcW w:w="564" w:type="pct"/>
            <w:tcBorders>
              <w:top w:val="single" w:sz="4" w:space="0" w:color="95B3D7"/>
              <w:left w:val="nil"/>
              <w:bottom w:val="single" w:sz="4" w:space="0" w:color="95B3D7"/>
              <w:right w:val="nil"/>
            </w:tcBorders>
            <w:shd w:val="clear" w:color="auto" w:fill="auto"/>
            <w:noWrap/>
            <w:vAlign w:val="bottom"/>
            <w:hideMark/>
          </w:tcPr>
          <w:p w14:paraId="40FE3A3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853</w:t>
            </w:r>
          </w:p>
        </w:tc>
        <w:tc>
          <w:tcPr>
            <w:tcW w:w="564" w:type="pct"/>
            <w:tcBorders>
              <w:top w:val="single" w:sz="4" w:space="0" w:color="95B3D7"/>
              <w:left w:val="nil"/>
              <w:bottom w:val="single" w:sz="4" w:space="0" w:color="95B3D7"/>
              <w:right w:val="nil"/>
            </w:tcBorders>
            <w:shd w:val="clear" w:color="auto" w:fill="auto"/>
            <w:noWrap/>
            <w:vAlign w:val="bottom"/>
            <w:hideMark/>
          </w:tcPr>
          <w:p w14:paraId="740B6FD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853</w:t>
            </w:r>
          </w:p>
        </w:tc>
        <w:tc>
          <w:tcPr>
            <w:tcW w:w="564" w:type="pct"/>
            <w:tcBorders>
              <w:top w:val="single" w:sz="4" w:space="0" w:color="95B3D7"/>
              <w:left w:val="nil"/>
              <w:bottom w:val="single" w:sz="4" w:space="0" w:color="95B3D7"/>
              <w:right w:val="nil"/>
            </w:tcBorders>
            <w:shd w:val="clear" w:color="auto" w:fill="auto"/>
            <w:noWrap/>
            <w:vAlign w:val="bottom"/>
            <w:hideMark/>
          </w:tcPr>
          <w:p w14:paraId="75CEAFF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806</w:t>
            </w:r>
          </w:p>
        </w:tc>
        <w:tc>
          <w:tcPr>
            <w:tcW w:w="564" w:type="pct"/>
            <w:tcBorders>
              <w:top w:val="single" w:sz="4" w:space="0" w:color="95B3D7"/>
              <w:left w:val="nil"/>
              <w:bottom w:val="single" w:sz="4" w:space="0" w:color="95B3D7"/>
              <w:right w:val="nil"/>
            </w:tcBorders>
            <w:shd w:val="clear" w:color="auto" w:fill="auto"/>
            <w:noWrap/>
            <w:vAlign w:val="bottom"/>
            <w:hideMark/>
          </w:tcPr>
          <w:p w14:paraId="1540C82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806</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714A858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806</w:t>
            </w:r>
          </w:p>
        </w:tc>
      </w:tr>
      <w:tr w:rsidR="009D7419" w:rsidRPr="00A47B28" w14:paraId="695B8416"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8E2A0AC"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Intangibles, net</w:t>
            </w:r>
          </w:p>
        </w:tc>
        <w:tc>
          <w:tcPr>
            <w:tcW w:w="564" w:type="pct"/>
            <w:tcBorders>
              <w:top w:val="single" w:sz="4" w:space="0" w:color="95B3D7"/>
              <w:left w:val="nil"/>
              <w:bottom w:val="single" w:sz="4" w:space="0" w:color="95B3D7"/>
              <w:right w:val="nil"/>
            </w:tcBorders>
            <w:shd w:val="clear" w:color="DCE6F1" w:fill="DCE6F1"/>
            <w:noWrap/>
            <w:vAlign w:val="bottom"/>
            <w:hideMark/>
          </w:tcPr>
          <w:p w14:paraId="293ACE5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195</w:t>
            </w:r>
          </w:p>
        </w:tc>
        <w:tc>
          <w:tcPr>
            <w:tcW w:w="564" w:type="pct"/>
            <w:tcBorders>
              <w:top w:val="single" w:sz="4" w:space="0" w:color="95B3D7"/>
              <w:left w:val="nil"/>
              <w:bottom w:val="single" w:sz="4" w:space="0" w:color="95B3D7"/>
              <w:right w:val="nil"/>
            </w:tcBorders>
            <w:shd w:val="clear" w:color="DCE6F1" w:fill="DCE6F1"/>
            <w:noWrap/>
            <w:vAlign w:val="bottom"/>
            <w:hideMark/>
          </w:tcPr>
          <w:p w14:paraId="500A89C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205</w:t>
            </w:r>
          </w:p>
        </w:tc>
        <w:tc>
          <w:tcPr>
            <w:tcW w:w="564" w:type="pct"/>
            <w:tcBorders>
              <w:top w:val="single" w:sz="4" w:space="0" w:color="95B3D7"/>
              <w:left w:val="nil"/>
              <w:bottom w:val="single" w:sz="4" w:space="0" w:color="95B3D7"/>
              <w:right w:val="nil"/>
            </w:tcBorders>
            <w:shd w:val="clear" w:color="DCE6F1" w:fill="DCE6F1"/>
            <w:noWrap/>
            <w:vAlign w:val="bottom"/>
            <w:hideMark/>
          </w:tcPr>
          <w:p w14:paraId="3F54EE5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100</w:t>
            </w:r>
          </w:p>
        </w:tc>
        <w:tc>
          <w:tcPr>
            <w:tcW w:w="564" w:type="pct"/>
            <w:tcBorders>
              <w:top w:val="single" w:sz="4" w:space="0" w:color="95B3D7"/>
              <w:left w:val="nil"/>
              <w:bottom w:val="single" w:sz="4" w:space="0" w:color="95B3D7"/>
              <w:right w:val="nil"/>
            </w:tcBorders>
            <w:shd w:val="clear" w:color="DCE6F1" w:fill="DCE6F1"/>
            <w:noWrap/>
            <w:vAlign w:val="bottom"/>
            <w:hideMark/>
          </w:tcPr>
          <w:p w14:paraId="38483EE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101</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46A2A9D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w:t>
            </w:r>
          </w:p>
        </w:tc>
      </w:tr>
      <w:tr w:rsidR="009D7419" w:rsidRPr="00A47B28" w14:paraId="5EA3C869"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76E7230B"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Long term investments</w:t>
            </w:r>
          </w:p>
        </w:tc>
        <w:tc>
          <w:tcPr>
            <w:tcW w:w="564" w:type="pct"/>
            <w:tcBorders>
              <w:top w:val="single" w:sz="4" w:space="0" w:color="95B3D7"/>
              <w:left w:val="nil"/>
              <w:bottom w:val="single" w:sz="4" w:space="0" w:color="95B3D7"/>
              <w:right w:val="nil"/>
            </w:tcBorders>
            <w:shd w:val="clear" w:color="auto" w:fill="auto"/>
            <w:noWrap/>
            <w:vAlign w:val="bottom"/>
            <w:hideMark/>
          </w:tcPr>
          <w:p w14:paraId="1C38622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130</w:t>
            </w:r>
          </w:p>
        </w:tc>
        <w:tc>
          <w:tcPr>
            <w:tcW w:w="564" w:type="pct"/>
            <w:tcBorders>
              <w:top w:val="single" w:sz="4" w:space="0" w:color="95B3D7"/>
              <w:left w:val="nil"/>
              <w:bottom w:val="single" w:sz="4" w:space="0" w:color="95B3D7"/>
              <w:right w:val="nil"/>
            </w:tcBorders>
            <w:shd w:val="clear" w:color="auto" w:fill="auto"/>
            <w:noWrap/>
            <w:vAlign w:val="bottom"/>
            <w:hideMark/>
          </w:tcPr>
          <w:p w14:paraId="3A19F6B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178</w:t>
            </w:r>
          </w:p>
        </w:tc>
        <w:tc>
          <w:tcPr>
            <w:tcW w:w="564" w:type="pct"/>
            <w:tcBorders>
              <w:top w:val="single" w:sz="4" w:space="0" w:color="95B3D7"/>
              <w:left w:val="nil"/>
              <w:bottom w:val="single" w:sz="4" w:space="0" w:color="95B3D7"/>
              <w:right w:val="nil"/>
            </w:tcBorders>
            <w:shd w:val="clear" w:color="auto" w:fill="auto"/>
            <w:noWrap/>
            <w:vAlign w:val="bottom"/>
            <w:hideMark/>
          </w:tcPr>
          <w:p w14:paraId="111B8D9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163</w:t>
            </w:r>
          </w:p>
        </w:tc>
        <w:tc>
          <w:tcPr>
            <w:tcW w:w="564" w:type="pct"/>
            <w:tcBorders>
              <w:top w:val="single" w:sz="4" w:space="0" w:color="95B3D7"/>
              <w:left w:val="nil"/>
              <w:bottom w:val="single" w:sz="4" w:space="0" w:color="95B3D7"/>
              <w:right w:val="nil"/>
            </w:tcBorders>
            <w:shd w:val="clear" w:color="auto" w:fill="auto"/>
            <w:noWrap/>
            <w:vAlign w:val="bottom"/>
            <w:hideMark/>
          </w:tcPr>
          <w:p w14:paraId="6912FCD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152</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187BC0E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189</w:t>
            </w:r>
          </w:p>
        </w:tc>
      </w:tr>
      <w:tr w:rsidR="009D7419" w:rsidRPr="00A47B28" w14:paraId="089FDAAB"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4C4C5F54"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Note receivable - long term</w:t>
            </w:r>
          </w:p>
        </w:tc>
        <w:tc>
          <w:tcPr>
            <w:tcW w:w="564" w:type="pct"/>
            <w:tcBorders>
              <w:top w:val="single" w:sz="4" w:space="0" w:color="95B3D7"/>
              <w:left w:val="nil"/>
              <w:bottom w:val="single" w:sz="4" w:space="0" w:color="95B3D7"/>
              <w:right w:val="nil"/>
            </w:tcBorders>
            <w:shd w:val="clear" w:color="DCE6F1" w:fill="DCE6F1"/>
            <w:noWrap/>
            <w:vAlign w:val="bottom"/>
            <w:hideMark/>
          </w:tcPr>
          <w:p w14:paraId="28F1E4A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w:t>
            </w:r>
          </w:p>
        </w:tc>
        <w:tc>
          <w:tcPr>
            <w:tcW w:w="564" w:type="pct"/>
            <w:tcBorders>
              <w:top w:val="single" w:sz="4" w:space="0" w:color="95B3D7"/>
              <w:left w:val="nil"/>
              <w:bottom w:val="single" w:sz="4" w:space="0" w:color="95B3D7"/>
              <w:right w:val="nil"/>
            </w:tcBorders>
            <w:shd w:val="clear" w:color="DCE6F1" w:fill="DCE6F1"/>
            <w:noWrap/>
            <w:vAlign w:val="bottom"/>
            <w:hideMark/>
          </w:tcPr>
          <w:p w14:paraId="62DE551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w:t>
            </w:r>
          </w:p>
        </w:tc>
        <w:tc>
          <w:tcPr>
            <w:tcW w:w="564" w:type="pct"/>
            <w:tcBorders>
              <w:top w:val="single" w:sz="4" w:space="0" w:color="95B3D7"/>
              <w:left w:val="nil"/>
              <w:bottom w:val="single" w:sz="4" w:space="0" w:color="95B3D7"/>
              <w:right w:val="nil"/>
            </w:tcBorders>
            <w:shd w:val="clear" w:color="DCE6F1" w:fill="DCE6F1"/>
            <w:noWrap/>
            <w:vAlign w:val="bottom"/>
            <w:hideMark/>
          </w:tcPr>
          <w:p w14:paraId="0672BBC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w:t>
            </w:r>
          </w:p>
        </w:tc>
        <w:tc>
          <w:tcPr>
            <w:tcW w:w="564" w:type="pct"/>
            <w:tcBorders>
              <w:top w:val="single" w:sz="4" w:space="0" w:color="95B3D7"/>
              <w:left w:val="nil"/>
              <w:bottom w:val="single" w:sz="4" w:space="0" w:color="95B3D7"/>
              <w:right w:val="nil"/>
            </w:tcBorders>
            <w:shd w:val="clear" w:color="DCE6F1" w:fill="DCE6F1"/>
            <w:noWrap/>
            <w:vAlign w:val="bottom"/>
            <w:hideMark/>
          </w:tcPr>
          <w:p w14:paraId="7A99ACA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480B4A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w:t>
            </w:r>
          </w:p>
        </w:tc>
      </w:tr>
      <w:tr w:rsidR="009D7419" w:rsidRPr="00A47B28" w14:paraId="673102DC"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77947DCD"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 xml:space="preserve">Other </w:t>
            </w:r>
            <w:proofErr w:type="gramStart"/>
            <w:r w:rsidRPr="00A47B28">
              <w:rPr>
                <w:rFonts w:ascii="Arial" w:eastAsia="Times New Roman" w:hAnsi="Arial" w:cs="Arial"/>
                <w:color w:val="000000"/>
                <w:sz w:val="20"/>
                <w:szCs w:val="20"/>
              </w:rPr>
              <w:t>long term</w:t>
            </w:r>
            <w:proofErr w:type="gramEnd"/>
            <w:r w:rsidRPr="00A47B28">
              <w:rPr>
                <w:rFonts w:ascii="Arial" w:eastAsia="Times New Roman" w:hAnsi="Arial" w:cs="Arial"/>
                <w:color w:val="000000"/>
                <w:sz w:val="20"/>
                <w:szCs w:val="20"/>
              </w:rPr>
              <w:t xml:space="preserve"> assets</w:t>
            </w:r>
          </w:p>
        </w:tc>
        <w:tc>
          <w:tcPr>
            <w:tcW w:w="564" w:type="pct"/>
            <w:tcBorders>
              <w:top w:val="single" w:sz="4" w:space="0" w:color="95B3D7"/>
              <w:left w:val="nil"/>
              <w:bottom w:val="single" w:sz="4" w:space="0" w:color="95B3D7"/>
              <w:right w:val="nil"/>
            </w:tcBorders>
            <w:shd w:val="clear" w:color="auto" w:fill="auto"/>
            <w:noWrap/>
            <w:vAlign w:val="bottom"/>
            <w:hideMark/>
          </w:tcPr>
          <w:p w14:paraId="16AB1DB5"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3D9F6286"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26938A3E"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052B4505"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680371C8"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6151879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5E479FC4"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assets</w:t>
            </w:r>
          </w:p>
        </w:tc>
        <w:tc>
          <w:tcPr>
            <w:tcW w:w="564" w:type="pct"/>
            <w:tcBorders>
              <w:top w:val="single" w:sz="4" w:space="0" w:color="95B3D7"/>
              <w:left w:val="nil"/>
              <w:bottom w:val="single" w:sz="4" w:space="0" w:color="95B3D7"/>
              <w:right w:val="nil"/>
            </w:tcBorders>
            <w:shd w:val="clear" w:color="DCE6F1" w:fill="DCE6F1"/>
            <w:noWrap/>
            <w:vAlign w:val="bottom"/>
            <w:hideMark/>
          </w:tcPr>
          <w:p w14:paraId="7CC906F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8,004</w:t>
            </w:r>
          </w:p>
        </w:tc>
        <w:tc>
          <w:tcPr>
            <w:tcW w:w="564" w:type="pct"/>
            <w:tcBorders>
              <w:top w:val="single" w:sz="4" w:space="0" w:color="95B3D7"/>
              <w:left w:val="nil"/>
              <w:bottom w:val="single" w:sz="4" w:space="0" w:color="95B3D7"/>
              <w:right w:val="nil"/>
            </w:tcBorders>
            <w:shd w:val="clear" w:color="DCE6F1" w:fill="DCE6F1"/>
            <w:noWrap/>
            <w:vAlign w:val="bottom"/>
            <w:hideMark/>
          </w:tcPr>
          <w:p w14:paraId="471DB0C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8,211</w:t>
            </w:r>
          </w:p>
        </w:tc>
        <w:tc>
          <w:tcPr>
            <w:tcW w:w="564" w:type="pct"/>
            <w:tcBorders>
              <w:top w:val="single" w:sz="4" w:space="0" w:color="95B3D7"/>
              <w:left w:val="nil"/>
              <w:bottom w:val="single" w:sz="4" w:space="0" w:color="95B3D7"/>
              <w:right w:val="nil"/>
            </w:tcBorders>
            <w:shd w:val="clear" w:color="DCE6F1" w:fill="DCE6F1"/>
            <w:noWrap/>
            <w:vAlign w:val="bottom"/>
            <w:hideMark/>
          </w:tcPr>
          <w:p w14:paraId="5913F48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7,474</w:t>
            </w:r>
          </w:p>
        </w:tc>
        <w:tc>
          <w:tcPr>
            <w:tcW w:w="564" w:type="pct"/>
            <w:tcBorders>
              <w:top w:val="single" w:sz="4" w:space="0" w:color="95B3D7"/>
              <w:left w:val="nil"/>
              <w:bottom w:val="single" w:sz="4" w:space="0" w:color="95B3D7"/>
              <w:right w:val="nil"/>
            </w:tcBorders>
            <w:shd w:val="clear" w:color="DCE6F1" w:fill="DCE6F1"/>
            <w:noWrap/>
            <w:vAlign w:val="bottom"/>
            <w:hideMark/>
          </w:tcPr>
          <w:p w14:paraId="6D997D6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6,864</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346D548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7,365</w:t>
            </w:r>
          </w:p>
        </w:tc>
      </w:tr>
      <w:tr w:rsidR="009D7419" w:rsidRPr="00A47B28" w14:paraId="00D08B08"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0FCC0BBF"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LIABILITIES</w:t>
            </w:r>
          </w:p>
        </w:tc>
        <w:tc>
          <w:tcPr>
            <w:tcW w:w="564" w:type="pct"/>
            <w:tcBorders>
              <w:top w:val="single" w:sz="4" w:space="0" w:color="95B3D7"/>
              <w:left w:val="nil"/>
              <w:bottom w:val="single" w:sz="4" w:space="0" w:color="95B3D7"/>
              <w:right w:val="nil"/>
            </w:tcBorders>
            <w:shd w:val="clear" w:color="auto" w:fill="auto"/>
            <w:noWrap/>
            <w:vAlign w:val="bottom"/>
            <w:hideMark/>
          </w:tcPr>
          <w:p w14:paraId="21EB47F9"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5A34EE07"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3B9C62D4"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79882226"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7693026A"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0B2B4019"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5B726262"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Accounts payable</w:t>
            </w:r>
          </w:p>
        </w:tc>
        <w:tc>
          <w:tcPr>
            <w:tcW w:w="564" w:type="pct"/>
            <w:tcBorders>
              <w:top w:val="single" w:sz="4" w:space="0" w:color="95B3D7"/>
              <w:left w:val="nil"/>
              <w:bottom w:val="single" w:sz="4" w:space="0" w:color="95B3D7"/>
              <w:right w:val="nil"/>
            </w:tcBorders>
            <w:shd w:val="clear" w:color="DCE6F1" w:fill="DCE6F1"/>
            <w:noWrap/>
            <w:vAlign w:val="bottom"/>
            <w:hideMark/>
          </w:tcPr>
          <w:p w14:paraId="4E35377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632</w:t>
            </w:r>
          </w:p>
        </w:tc>
        <w:tc>
          <w:tcPr>
            <w:tcW w:w="564" w:type="pct"/>
            <w:tcBorders>
              <w:top w:val="single" w:sz="4" w:space="0" w:color="95B3D7"/>
              <w:left w:val="nil"/>
              <w:bottom w:val="single" w:sz="4" w:space="0" w:color="95B3D7"/>
              <w:right w:val="nil"/>
            </w:tcBorders>
            <w:shd w:val="clear" w:color="DCE6F1" w:fill="DCE6F1"/>
            <w:noWrap/>
            <w:vAlign w:val="bottom"/>
            <w:hideMark/>
          </w:tcPr>
          <w:p w14:paraId="6A9D00A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822</w:t>
            </w:r>
          </w:p>
        </w:tc>
        <w:tc>
          <w:tcPr>
            <w:tcW w:w="564" w:type="pct"/>
            <w:tcBorders>
              <w:top w:val="single" w:sz="4" w:space="0" w:color="95B3D7"/>
              <w:left w:val="nil"/>
              <w:bottom w:val="single" w:sz="4" w:space="0" w:color="95B3D7"/>
              <w:right w:val="nil"/>
            </w:tcBorders>
            <w:shd w:val="clear" w:color="DCE6F1" w:fill="DCE6F1"/>
            <w:noWrap/>
            <w:vAlign w:val="bottom"/>
            <w:hideMark/>
          </w:tcPr>
          <w:p w14:paraId="242F0A9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653</w:t>
            </w:r>
          </w:p>
        </w:tc>
        <w:tc>
          <w:tcPr>
            <w:tcW w:w="564" w:type="pct"/>
            <w:tcBorders>
              <w:top w:val="single" w:sz="4" w:space="0" w:color="95B3D7"/>
              <w:left w:val="nil"/>
              <w:bottom w:val="single" w:sz="4" w:space="0" w:color="95B3D7"/>
              <w:right w:val="nil"/>
            </w:tcBorders>
            <w:shd w:val="clear" w:color="DCE6F1" w:fill="DCE6F1"/>
            <w:noWrap/>
            <w:vAlign w:val="bottom"/>
            <w:hideMark/>
          </w:tcPr>
          <w:p w14:paraId="3BB7243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680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BF5437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929</w:t>
            </w:r>
          </w:p>
        </w:tc>
      </w:tr>
      <w:tr w:rsidR="009D7419" w:rsidRPr="00A47B28" w14:paraId="730BABE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546B45C"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Accrued expenses</w:t>
            </w:r>
          </w:p>
        </w:tc>
        <w:tc>
          <w:tcPr>
            <w:tcW w:w="564" w:type="pct"/>
            <w:tcBorders>
              <w:top w:val="single" w:sz="4" w:space="0" w:color="95B3D7"/>
              <w:left w:val="nil"/>
              <w:bottom w:val="single" w:sz="4" w:space="0" w:color="95B3D7"/>
              <w:right w:val="nil"/>
            </w:tcBorders>
            <w:shd w:val="clear" w:color="auto" w:fill="auto"/>
            <w:noWrap/>
            <w:vAlign w:val="bottom"/>
            <w:hideMark/>
          </w:tcPr>
          <w:p w14:paraId="5481E68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398</w:t>
            </w:r>
          </w:p>
        </w:tc>
        <w:tc>
          <w:tcPr>
            <w:tcW w:w="564" w:type="pct"/>
            <w:tcBorders>
              <w:top w:val="single" w:sz="4" w:space="0" w:color="95B3D7"/>
              <w:left w:val="nil"/>
              <w:bottom w:val="single" w:sz="4" w:space="0" w:color="95B3D7"/>
              <w:right w:val="nil"/>
            </w:tcBorders>
            <w:shd w:val="clear" w:color="auto" w:fill="auto"/>
            <w:noWrap/>
            <w:vAlign w:val="bottom"/>
            <w:hideMark/>
          </w:tcPr>
          <w:p w14:paraId="16753F8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454</w:t>
            </w:r>
          </w:p>
        </w:tc>
        <w:tc>
          <w:tcPr>
            <w:tcW w:w="564" w:type="pct"/>
            <w:tcBorders>
              <w:top w:val="single" w:sz="4" w:space="0" w:color="95B3D7"/>
              <w:left w:val="nil"/>
              <w:bottom w:val="single" w:sz="4" w:space="0" w:color="95B3D7"/>
              <w:right w:val="nil"/>
            </w:tcBorders>
            <w:shd w:val="clear" w:color="auto" w:fill="auto"/>
            <w:noWrap/>
            <w:vAlign w:val="bottom"/>
            <w:hideMark/>
          </w:tcPr>
          <w:p w14:paraId="2B12F54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595</w:t>
            </w:r>
          </w:p>
        </w:tc>
        <w:tc>
          <w:tcPr>
            <w:tcW w:w="564" w:type="pct"/>
            <w:tcBorders>
              <w:top w:val="single" w:sz="4" w:space="0" w:color="95B3D7"/>
              <w:left w:val="nil"/>
              <w:bottom w:val="single" w:sz="4" w:space="0" w:color="95B3D7"/>
              <w:right w:val="nil"/>
            </w:tcBorders>
            <w:shd w:val="clear" w:color="auto" w:fill="auto"/>
            <w:noWrap/>
            <w:vAlign w:val="bottom"/>
            <w:hideMark/>
          </w:tcPr>
          <w:p w14:paraId="1157CF4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474</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70B88D2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547</w:t>
            </w:r>
          </w:p>
        </w:tc>
      </w:tr>
      <w:tr w:rsidR="009D7419" w:rsidRPr="00A47B28" w14:paraId="2C5C5461"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21CF2A5E"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Notes payable/short-term debt</w:t>
            </w:r>
          </w:p>
        </w:tc>
        <w:tc>
          <w:tcPr>
            <w:tcW w:w="564" w:type="pct"/>
            <w:tcBorders>
              <w:top w:val="single" w:sz="4" w:space="0" w:color="95B3D7"/>
              <w:left w:val="nil"/>
              <w:bottom w:val="single" w:sz="4" w:space="0" w:color="95B3D7"/>
              <w:right w:val="nil"/>
            </w:tcBorders>
            <w:shd w:val="clear" w:color="DCE6F1" w:fill="DCE6F1"/>
            <w:noWrap/>
            <w:vAlign w:val="bottom"/>
            <w:hideMark/>
          </w:tcPr>
          <w:p w14:paraId="2399237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44F1E1A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0E6B56B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46EB163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43BFB3A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r>
      <w:tr w:rsidR="009D7419" w:rsidRPr="00A47B28" w14:paraId="02257115"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6D1DDBFC"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Current portion long-term debt/capital leases</w:t>
            </w:r>
          </w:p>
        </w:tc>
        <w:tc>
          <w:tcPr>
            <w:tcW w:w="564" w:type="pct"/>
            <w:tcBorders>
              <w:top w:val="single" w:sz="4" w:space="0" w:color="95B3D7"/>
              <w:left w:val="nil"/>
              <w:bottom w:val="single" w:sz="4" w:space="0" w:color="95B3D7"/>
              <w:right w:val="nil"/>
            </w:tcBorders>
            <w:shd w:val="clear" w:color="auto" w:fill="auto"/>
            <w:noWrap/>
            <w:vAlign w:val="bottom"/>
            <w:hideMark/>
          </w:tcPr>
          <w:p w14:paraId="2D8D4F1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w:t>
            </w:r>
          </w:p>
        </w:tc>
        <w:tc>
          <w:tcPr>
            <w:tcW w:w="564" w:type="pct"/>
            <w:tcBorders>
              <w:top w:val="single" w:sz="4" w:space="0" w:color="95B3D7"/>
              <w:left w:val="nil"/>
              <w:bottom w:val="single" w:sz="4" w:space="0" w:color="95B3D7"/>
              <w:right w:val="nil"/>
            </w:tcBorders>
            <w:shd w:val="clear" w:color="auto" w:fill="auto"/>
            <w:noWrap/>
            <w:vAlign w:val="bottom"/>
            <w:hideMark/>
          </w:tcPr>
          <w:p w14:paraId="211F87E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28</w:t>
            </w:r>
          </w:p>
        </w:tc>
        <w:tc>
          <w:tcPr>
            <w:tcW w:w="564" w:type="pct"/>
            <w:tcBorders>
              <w:top w:val="single" w:sz="4" w:space="0" w:color="95B3D7"/>
              <w:left w:val="nil"/>
              <w:bottom w:val="single" w:sz="4" w:space="0" w:color="95B3D7"/>
              <w:right w:val="nil"/>
            </w:tcBorders>
            <w:shd w:val="clear" w:color="auto" w:fill="auto"/>
            <w:noWrap/>
            <w:vAlign w:val="bottom"/>
            <w:hideMark/>
          </w:tcPr>
          <w:p w14:paraId="51ADC0B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16</w:t>
            </w:r>
          </w:p>
        </w:tc>
        <w:tc>
          <w:tcPr>
            <w:tcW w:w="564" w:type="pct"/>
            <w:tcBorders>
              <w:top w:val="single" w:sz="4" w:space="0" w:color="95B3D7"/>
              <w:left w:val="nil"/>
              <w:bottom w:val="single" w:sz="4" w:space="0" w:color="95B3D7"/>
              <w:right w:val="nil"/>
            </w:tcBorders>
            <w:shd w:val="clear" w:color="auto" w:fill="auto"/>
            <w:noWrap/>
            <w:vAlign w:val="bottom"/>
            <w:hideMark/>
          </w:tcPr>
          <w:p w14:paraId="11C7533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129</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26CF84C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178</w:t>
            </w:r>
          </w:p>
        </w:tc>
      </w:tr>
      <w:tr w:rsidR="009D7419" w:rsidRPr="00A47B28" w14:paraId="7A2B30F8"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16FDB3D"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Other current liabilities, total</w:t>
            </w:r>
          </w:p>
        </w:tc>
        <w:tc>
          <w:tcPr>
            <w:tcW w:w="564" w:type="pct"/>
            <w:tcBorders>
              <w:top w:val="single" w:sz="4" w:space="0" w:color="95B3D7"/>
              <w:left w:val="nil"/>
              <w:bottom w:val="single" w:sz="4" w:space="0" w:color="95B3D7"/>
              <w:right w:val="nil"/>
            </w:tcBorders>
            <w:shd w:val="clear" w:color="DCE6F1" w:fill="DCE6F1"/>
            <w:noWrap/>
            <w:vAlign w:val="bottom"/>
            <w:hideMark/>
          </w:tcPr>
          <w:p w14:paraId="6B3A9E3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408</w:t>
            </w:r>
          </w:p>
        </w:tc>
        <w:tc>
          <w:tcPr>
            <w:tcW w:w="564" w:type="pct"/>
            <w:tcBorders>
              <w:top w:val="single" w:sz="4" w:space="0" w:color="95B3D7"/>
              <w:left w:val="nil"/>
              <w:bottom w:val="single" w:sz="4" w:space="0" w:color="95B3D7"/>
              <w:right w:val="nil"/>
            </w:tcBorders>
            <w:shd w:val="clear" w:color="DCE6F1" w:fill="DCE6F1"/>
            <w:noWrap/>
            <w:vAlign w:val="bottom"/>
            <w:hideMark/>
          </w:tcPr>
          <w:p w14:paraId="42D543E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404</w:t>
            </w:r>
          </w:p>
        </w:tc>
        <w:tc>
          <w:tcPr>
            <w:tcW w:w="564" w:type="pct"/>
            <w:tcBorders>
              <w:top w:val="single" w:sz="4" w:space="0" w:color="95B3D7"/>
              <w:left w:val="nil"/>
              <w:bottom w:val="single" w:sz="4" w:space="0" w:color="95B3D7"/>
              <w:right w:val="nil"/>
            </w:tcBorders>
            <w:shd w:val="clear" w:color="DCE6F1" w:fill="DCE6F1"/>
            <w:noWrap/>
            <w:vAlign w:val="bottom"/>
            <w:hideMark/>
          </w:tcPr>
          <w:p w14:paraId="0A9BDD1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222</w:t>
            </w:r>
          </w:p>
        </w:tc>
        <w:tc>
          <w:tcPr>
            <w:tcW w:w="564" w:type="pct"/>
            <w:tcBorders>
              <w:top w:val="single" w:sz="4" w:space="0" w:color="95B3D7"/>
              <w:left w:val="nil"/>
              <w:bottom w:val="single" w:sz="4" w:space="0" w:color="95B3D7"/>
              <w:right w:val="nil"/>
            </w:tcBorders>
            <w:shd w:val="clear" w:color="DCE6F1" w:fill="DCE6F1"/>
            <w:noWrap/>
            <w:vAlign w:val="bottom"/>
            <w:hideMark/>
          </w:tcPr>
          <w:p w14:paraId="187DE78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182</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312882B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211</w:t>
            </w:r>
          </w:p>
        </w:tc>
      </w:tr>
      <w:tr w:rsidR="009D7419" w:rsidRPr="00A47B28" w14:paraId="5DA8EF8C"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6602846A"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current liabilities</w:t>
            </w:r>
          </w:p>
        </w:tc>
        <w:tc>
          <w:tcPr>
            <w:tcW w:w="564" w:type="pct"/>
            <w:tcBorders>
              <w:top w:val="single" w:sz="4" w:space="0" w:color="95B3D7"/>
              <w:left w:val="nil"/>
              <w:bottom w:val="single" w:sz="4" w:space="0" w:color="95B3D7"/>
              <w:right w:val="nil"/>
            </w:tcBorders>
            <w:shd w:val="clear" w:color="auto" w:fill="auto"/>
            <w:noWrap/>
            <w:vAlign w:val="bottom"/>
            <w:hideMark/>
          </w:tcPr>
          <w:p w14:paraId="099ECD1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1,454</w:t>
            </w:r>
          </w:p>
        </w:tc>
        <w:tc>
          <w:tcPr>
            <w:tcW w:w="564" w:type="pct"/>
            <w:tcBorders>
              <w:top w:val="single" w:sz="4" w:space="0" w:color="95B3D7"/>
              <w:left w:val="nil"/>
              <w:bottom w:val="single" w:sz="4" w:space="0" w:color="95B3D7"/>
              <w:right w:val="nil"/>
            </w:tcBorders>
            <w:shd w:val="clear" w:color="auto" w:fill="auto"/>
            <w:noWrap/>
            <w:vAlign w:val="bottom"/>
            <w:hideMark/>
          </w:tcPr>
          <w:p w14:paraId="2C2FE65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1,708</w:t>
            </w:r>
          </w:p>
        </w:tc>
        <w:tc>
          <w:tcPr>
            <w:tcW w:w="564" w:type="pct"/>
            <w:tcBorders>
              <w:top w:val="single" w:sz="4" w:space="0" w:color="95B3D7"/>
              <w:left w:val="nil"/>
              <w:bottom w:val="single" w:sz="4" w:space="0" w:color="95B3D7"/>
              <w:right w:val="nil"/>
            </w:tcBorders>
            <w:shd w:val="clear" w:color="auto" w:fill="auto"/>
            <w:noWrap/>
            <w:vAlign w:val="bottom"/>
            <w:hideMark/>
          </w:tcPr>
          <w:p w14:paraId="44A48DC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1,486</w:t>
            </w:r>
          </w:p>
        </w:tc>
        <w:tc>
          <w:tcPr>
            <w:tcW w:w="564" w:type="pct"/>
            <w:tcBorders>
              <w:top w:val="single" w:sz="4" w:space="0" w:color="95B3D7"/>
              <w:left w:val="nil"/>
              <w:bottom w:val="single" w:sz="4" w:space="0" w:color="95B3D7"/>
              <w:right w:val="nil"/>
            </w:tcBorders>
            <w:shd w:val="clear" w:color="auto" w:fill="auto"/>
            <w:noWrap/>
            <w:vAlign w:val="bottom"/>
            <w:hideMark/>
          </w:tcPr>
          <w:p w14:paraId="77DF833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1,466</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54B9240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1,865</w:t>
            </w:r>
          </w:p>
        </w:tc>
      </w:tr>
      <w:tr w:rsidR="009D7419" w:rsidRPr="00A47B28" w14:paraId="225621D7"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34FAAC1F"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 xml:space="preserve">Total </w:t>
            </w:r>
            <w:proofErr w:type="gramStart"/>
            <w:r w:rsidRPr="00A47B28">
              <w:rPr>
                <w:rFonts w:ascii="Arial" w:eastAsia="Times New Roman" w:hAnsi="Arial" w:cs="Arial"/>
                <w:color w:val="000000"/>
                <w:sz w:val="20"/>
                <w:szCs w:val="20"/>
              </w:rPr>
              <w:t>long term</w:t>
            </w:r>
            <w:proofErr w:type="gramEnd"/>
            <w:r w:rsidRPr="00A47B28">
              <w:rPr>
                <w:rFonts w:ascii="Arial" w:eastAsia="Times New Roman" w:hAnsi="Arial" w:cs="Arial"/>
                <w:color w:val="000000"/>
                <w:sz w:val="20"/>
                <w:szCs w:val="20"/>
              </w:rPr>
              <w:t xml:space="preserve"> debt</w:t>
            </w:r>
          </w:p>
        </w:tc>
        <w:tc>
          <w:tcPr>
            <w:tcW w:w="564" w:type="pct"/>
            <w:tcBorders>
              <w:top w:val="single" w:sz="4" w:space="0" w:color="95B3D7"/>
              <w:left w:val="nil"/>
              <w:bottom w:val="single" w:sz="4" w:space="0" w:color="95B3D7"/>
              <w:right w:val="nil"/>
            </w:tcBorders>
            <w:shd w:val="clear" w:color="DCE6F1" w:fill="DCE6F1"/>
            <w:noWrap/>
            <w:vAlign w:val="bottom"/>
            <w:hideMark/>
          </w:tcPr>
          <w:p w14:paraId="0FA9E81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233</w:t>
            </w:r>
          </w:p>
        </w:tc>
        <w:tc>
          <w:tcPr>
            <w:tcW w:w="564" w:type="pct"/>
            <w:tcBorders>
              <w:top w:val="single" w:sz="4" w:space="0" w:color="95B3D7"/>
              <w:left w:val="nil"/>
              <w:bottom w:val="single" w:sz="4" w:space="0" w:color="95B3D7"/>
              <w:right w:val="nil"/>
            </w:tcBorders>
            <w:shd w:val="clear" w:color="DCE6F1" w:fill="DCE6F1"/>
            <w:noWrap/>
            <w:vAlign w:val="bottom"/>
            <w:hideMark/>
          </w:tcPr>
          <w:p w14:paraId="0438C6F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227</w:t>
            </w:r>
          </w:p>
        </w:tc>
        <w:tc>
          <w:tcPr>
            <w:tcW w:w="564" w:type="pct"/>
            <w:tcBorders>
              <w:top w:val="single" w:sz="4" w:space="0" w:color="95B3D7"/>
              <w:left w:val="nil"/>
              <w:bottom w:val="single" w:sz="4" w:space="0" w:color="95B3D7"/>
              <w:right w:val="nil"/>
            </w:tcBorders>
            <w:shd w:val="clear" w:color="DCE6F1" w:fill="DCE6F1"/>
            <w:noWrap/>
            <w:vAlign w:val="bottom"/>
            <w:hideMark/>
          </w:tcPr>
          <w:p w14:paraId="1135D61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230</w:t>
            </w:r>
          </w:p>
        </w:tc>
        <w:tc>
          <w:tcPr>
            <w:tcW w:w="564" w:type="pct"/>
            <w:tcBorders>
              <w:top w:val="single" w:sz="4" w:space="0" w:color="95B3D7"/>
              <w:left w:val="nil"/>
              <w:bottom w:val="single" w:sz="4" w:space="0" w:color="95B3D7"/>
              <w:right w:val="nil"/>
            </w:tcBorders>
            <w:shd w:val="clear" w:color="DCE6F1" w:fill="DCE6F1"/>
            <w:noWrap/>
            <w:vAlign w:val="bottom"/>
            <w:hideMark/>
          </w:tcPr>
          <w:p w14:paraId="5961DF9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236</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1ACC153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200</w:t>
            </w:r>
          </w:p>
        </w:tc>
      </w:tr>
      <w:tr w:rsidR="009D7419" w:rsidRPr="00A47B28" w14:paraId="28B40CBB"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5D5D068D"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debt</w:t>
            </w:r>
          </w:p>
        </w:tc>
        <w:tc>
          <w:tcPr>
            <w:tcW w:w="564" w:type="pct"/>
            <w:tcBorders>
              <w:top w:val="single" w:sz="4" w:space="0" w:color="95B3D7"/>
              <w:left w:val="nil"/>
              <w:bottom w:val="single" w:sz="4" w:space="0" w:color="95B3D7"/>
              <w:right w:val="nil"/>
            </w:tcBorders>
            <w:shd w:val="clear" w:color="auto" w:fill="auto"/>
            <w:noWrap/>
            <w:vAlign w:val="bottom"/>
            <w:hideMark/>
          </w:tcPr>
          <w:p w14:paraId="54D13A1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250</w:t>
            </w:r>
          </w:p>
        </w:tc>
        <w:tc>
          <w:tcPr>
            <w:tcW w:w="564" w:type="pct"/>
            <w:tcBorders>
              <w:top w:val="single" w:sz="4" w:space="0" w:color="95B3D7"/>
              <w:left w:val="nil"/>
              <w:bottom w:val="single" w:sz="4" w:space="0" w:color="95B3D7"/>
              <w:right w:val="nil"/>
            </w:tcBorders>
            <w:shd w:val="clear" w:color="auto" w:fill="auto"/>
            <w:noWrap/>
            <w:vAlign w:val="bottom"/>
            <w:hideMark/>
          </w:tcPr>
          <w:p w14:paraId="79AD9F2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254</w:t>
            </w:r>
          </w:p>
        </w:tc>
        <w:tc>
          <w:tcPr>
            <w:tcW w:w="564" w:type="pct"/>
            <w:tcBorders>
              <w:top w:val="single" w:sz="4" w:space="0" w:color="95B3D7"/>
              <w:left w:val="nil"/>
              <w:bottom w:val="single" w:sz="4" w:space="0" w:color="95B3D7"/>
              <w:right w:val="nil"/>
            </w:tcBorders>
            <w:shd w:val="clear" w:color="auto" w:fill="auto"/>
            <w:noWrap/>
            <w:vAlign w:val="bottom"/>
            <w:hideMark/>
          </w:tcPr>
          <w:p w14:paraId="14BE7F9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246</w:t>
            </w:r>
          </w:p>
        </w:tc>
        <w:tc>
          <w:tcPr>
            <w:tcW w:w="564" w:type="pct"/>
            <w:tcBorders>
              <w:top w:val="single" w:sz="4" w:space="0" w:color="95B3D7"/>
              <w:left w:val="nil"/>
              <w:bottom w:val="single" w:sz="4" w:space="0" w:color="95B3D7"/>
              <w:right w:val="nil"/>
            </w:tcBorders>
            <w:shd w:val="clear" w:color="auto" w:fill="auto"/>
            <w:noWrap/>
            <w:vAlign w:val="bottom"/>
            <w:hideMark/>
          </w:tcPr>
          <w:p w14:paraId="6B32A6F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366</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113B3D8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378</w:t>
            </w:r>
          </w:p>
        </w:tc>
      </w:tr>
      <w:tr w:rsidR="009D7419" w:rsidRPr="00A47B28" w14:paraId="1AA6E164"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1E592D9D"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Deferred income tax</w:t>
            </w:r>
          </w:p>
        </w:tc>
        <w:tc>
          <w:tcPr>
            <w:tcW w:w="564" w:type="pct"/>
            <w:tcBorders>
              <w:top w:val="single" w:sz="4" w:space="0" w:color="95B3D7"/>
              <w:left w:val="nil"/>
              <w:bottom w:val="single" w:sz="4" w:space="0" w:color="95B3D7"/>
              <w:right w:val="nil"/>
            </w:tcBorders>
            <w:shd w:val="clear" w:color="DCE6F1" w:fill="DCE6F1"/>
            <w:noWrap/>
            <w:vAlign w:val="bottom"/>
            <w:hideMark/>
          </w:tcPr>
          <w:p w14:paraId="5E37A50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54</w:t>
            </w:r>
          </w:p>
        </w:tc>
        <w:tc>
          <w:tcPr>
            <w:tcW w:w="564" w:type="pct"/>
            <w:tcBorders>
              <w:top w:val="single" w:sz="4" w:space="0" w:color="95B3D7"/>
              <w:left w:val="nil"/>
              <w:bottom w:val="single" w:sz="4" w:space="0" w:color="95B3D7"/>
              <w:right w:val="nil"/>
            </w:tcBorders>
            <w:shd w:val="clear" w:color="DCE6F1" w:fill="DCE6F1"/>
            <w:noWrap/>
            <w:vAlign w:val="bottom"/>
            <w:hideMark/>
          </w:tcPr>
          <w:p w14:paraId="17C37C0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45</w:t>
            </w:r>
          </w:p>
        </w:tc>
        <w:tc>
          <w:tcPr>
            <w:tcW w:w="564" w:type="pct"/>
            <w:tcBorders>
              <w:top w:val="single" w:sz="4" w:space="0" w:color="95B3D7"/>
              <w:left w:val="nil"/>
              <w:bottom w:val="single" w:sz="4" w:space="0" w:color="95B3D7"/>
              <w:right w:val="nil"/>
            </w:tcBorders>
            <w:shd w:val="clear" w:color="DCE6F1" w:fill="DCE6F1"/>
            <w:noWrap/>
            <w:vAlign w:val="bottom"/>
            <w:hideMark/>
          </w:tcPr>
          <w:p w14:paraId="4178E02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8.9</w:t>
            </w:r>
          </w:p>
        </w:tc>
        <w:tc>
          <w:tcPr>
            <w:tcW w:w="564" w:type="pct"/>
            <w:tcBorders>
              <w:top w:val="single" w:sz="4" w:space="0" w:color="95B3D7"/>
              <w:left w:val="nil"/>
              <w:bottom w:val="single" w:sz="4" w:space="0" w:color="95B3D7"/>
              <w:right w:val="nil"/>
            </w:tcBorders>
            <w:shd w:val="clear" w:color="DCE6F1" w:fill="DCE6F1"/>
            <w:noWrap/>
            <w:vAlign w:val="bottom"/>
            <w:hideMark/>
          </w:tcPr>
          <w:p w14:paraId="553BC49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2.4</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0F24DF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18</w:t>
            </w:r>
          </w:p>
        </w:tc>
      </w:tr>
      <w:tr w:rsidR="009D7419" w:rsidRPr="00A47B28" w14:paraId="7ECE388D"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0F21842F"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Minority interest</w:t>
            </w:r>
          </w:p>
        </w:tc>
        <w:tc>
          <w:tcPr>
            <w:tcW w:w="564" w:type="pct"/>
            <w:tcBorders>
              <w:top w:val="single" w:sz="4" w:space="0" w:color="95B3D7"/>
              <w:left w:val="nil"/>
              <w:bottom w:val="single" w:sz="4" w:space="0" w:color="95B3D7"/>
              <w:right w:val="nil"/>
            </w:tcBorders>
            <w:shd w:val="clear" w:color="auto" w:fill="auto"/>
            <w:noWrap/>
            <w:vAlign w:val="bottom"/>
            <w:hideMark/>
          </w:tcPr>
          <w:p w14:paraId="13D8C42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0.5</w:t>
            </w:r>
          </w:p>
        </w:tc>
        <w:tc>
          <w:tcPr>
            <w:tcW w:w="564" w:type="pct"/>
            <w:tcBorders>
              <w:top w:val="single" w:sz="4" w:space="0" w:color="95B3D7"/>
              <w:left w:val="nil"/>
              <w:bottom w:val="single" w:sz="4" w:space="0" w:color="95B3D7"/>
              <w:right w:val="nil"/>
            </w:tcBorders>
            <w:shd w:val="clear" w:color="auto" w:fill="auto"/>
            <w:noWrap/>
            <w:vAlign w:val="bottom"/>
            <w:hideMark/>
          </w:tcPr>
          <w:p w14:paraId="7DEA1E8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0.8</w:t>
            </w:r>
          </w:p>
        </w:tc>
        <w:tc>
          <w:tcPr>
            <w:tcW w:w="564" w:type="pct"/>
            <w:tcBorders>
              <w:top w:val="single" w:sz="4" w:space="0" w:color="95B3D7"/>
              <w:left w:val="nil"/>
              <w:bottom w:val="single" w:sz="4" w:space="0" w:color="95B3D7"/>
              <w:right w:val="nil"/>
            </w:tcBorders>
            <w:shd w:val="clear" w:color="auto" w:fill="auto"/>
            <w:noWrap/>
            <w:vAlign w:val="bottom"/>
            <w:hideMark/>
          </w:tcPr>
          <w:p w14:paraId="19A10AE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1.1</w:t>
            </w:r>
          </w:p>
        </w:tc>
        <w:tc>
          <w:tcPr>
            <w:tcW w:w="564" w:type="pct"/>
            <w:tcBorders>
              <w:top w:val="single" w:sz="4" w:space="0" w:color="95B3D7"/>
              <w:left w:val="nil"/>
              <w:bottom w:val="single" w:sz="4" w:space="0" w:color="95B3D7"/>
              <w:right w:val="nil"/>
            </w:tcBorders>
            <w:shd w:val="clear" w:color="auto" w:fill="auto"/>
            <w:noWrap/>
            <w:vAlign w:val="bottom"/>
            <w:hideMark/>
          </w:tcPr>
          <w:p w14:paraId="522B800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1.4</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69DA828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6.9</w:t>
            </w:r>
          </w:p>
        </w:tc>
      </w:tr>
      <w:tr w:rsidR="009D7419" w:rsidRPr="00A47B28" w14:paraId="2DF518F0"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485C6C50"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Other liabilities, total</w:t>
            </w:r>
          </w:p>
        </w:tc>
        <w:tc>
          <w:tcPr>
            <w:tcW w:w="564" w:type="pct"/>
            <w:tcBorders>
              <w:top w:val="single" w:sz="4" w:space="0" w:color="95B3D7"/>
              <w:left w:val="nil"/>
              <w:bottom w:val="single" w:sz="4" w:space="0" w:color="95B3D7"/>
              <w:right w:val="nil"/>
            </w:tcBorders>
            <w:shd w:val="clear" w:color="DCE6F1" w:fill="DCE6F1"/>
            <w:noWrap/>
            <w:vAlign w:val="bottom"/>
            <w:hideMark/>
          </w:tcPr>
          <w:p w14:paraId="1CB412E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667</w:t>
            </w:r>
          </w:p>
        </w:tc>
        <w:tc>
          <w:tcPr>
            <w:tcW w:w="564" w:type="pct"/>
            <w:tcBorders>
              <w:top w:val="single" w:sz="4" w:space="0" w:color="95B3D7"/>
              <w:left w:val="nil"/>
              <w:bottom w:val="single" w:sz="4" w:space="0" w:color="95B3D7"/>
              <w:right w:val="nil"/>
            </w:tcBorders>
            <w:shd w:val="clear" w:color="DCE6F1" w:fill="DCE6F1"/>
            <w:noWrap/>
            <w:vAlign w:val="bottom"/>
            <w:hideMark/>
          </w:tcPr>
          <w:p w14:paraId="4345F99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600</w:t>
            </w:r>
          </w:p>
        </w:tc>
        <w:tc>
          <w:tcPr>
            <w:tcW w:w="564" w:type="pct"/>
            <w:tcBorders>
              <w:top w:val="single" w:sz="4" w:space="0" w:color="95B3D7"/>
              <w:left w:val="nil"/>
              <w:bottom w:val="single" w:sz="4" w:space="0" w:color="95B3D7"/>
              <w:right w:val="nil"/>
            </w:tcBorders>
            <w:shd w:val="clear" w:color="DCE6F1" w:fill="DCE6F1"/>
            <w:noWrap/>
            <w:vAlign w:val="bottom"/>
            <w:hideMark/>
          </w:tcPr>
          <w:p w14:paraId="6E84EF3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297</w:t>
            </w:r>
          </w:p>
        </w:tc>
        <w:tc>
          <w:tcPr>
            <w:tcW w:w="564" w:type="pct"/>
            <w:tcBorders>
              <w:top w:val="single" w:sz="4" w:space="0" w:color="95B3D7"/>
              <w:left w:val="nil"/>
              <w:bottom w:val="single" w:sz="4" w:space="0" w:color="95B3D7"/>
              <w:right w:val="nil"/>
            </w:tcBorders>
            <w:shd w:val="clear" w:color="DCE6F1" w:fill="DCE6F1"/>
            <w:noWrap/>
            <w:vAlign w:val="bottom"/>
            <w:hideMark/>
          </w:tcPr>
          <w:p w14:paraId="7CDB121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320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B52AE49"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414</w:t>
            </w:r>
          </w:p>
        </w:tc>
      </w:tr>
      <w:tr w:rsidR="009D7419" w:rsidRPr="00A47B28" w14:paraId="4B4FE7E2"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2ECA70C0"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liabilities</w:t>
            </w:r>
          </w:p>
        </w:tc>
        <w:tc>
          <w:tcPr>
            <w:tcW w:w="564" w:type="pct"/>
            <w:tcBorders>
              <w:top w:val="single" w:sz="4" w:space="0" w:color="95B3D7"/>
              <w:left w:val="nil"/>
              <w:bottom w:val="single" w:sz="4" w:space="0" w:color="95B3D7"/>
              <w:right w:val="nil"/>
            </w:tcBorders>
            <w:shd w:val="clear" w:color="auto" w:fill="auto"/>
            <w:noWrap/>
            <w:vAlign w:val="bottom"/>
            <w:hideMark/>
          </w:tcPr>
          <w:p w14:paraId="27544D1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2,408</w:t>
            </w:r>
          </w:p>
        </w:tc>
        <w:tc>
          <w:tcPr>
            <w:tcW w:w="564" w:type="pct"/>
            <w:tcBorders>
              <w:top w:val="single" w:sz="4" w:space="0" w:color="95B3D7"/>
              <w:left w:val="nil"/>
              <w:bottom w:val="single" w:sz="4" w:space="0" w:color="95B3D7"/>
              <w:right w:val="nil"/>
            </w:tcBorders>
            <w:shd w:val="clear" w:color="auto" w:fill="auto"/>
            <w:noWrap/>
            <w:vAlign w:val="bottom"/>
            <w:hideMark/>
          </w:tcPr>
          <w:p w14:paraId="681F49C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2,580</w:t>
            </w:r>
          </w:p>
        </w:tc>
        <w:tc>
          <w:tcPr>
            <w:tcW w:w="564" w:type="pct"/>
            <w:tcBorders>
              <w:top w:val="single" w:sz="4" w:space="0" w:color="95B3D7"/>
              <w:left w:val="nil"/>
              <w:bottom w:val="single" w:sz="4" w:space="0" w:color="95B3D7"/>
              <w:right w:val="nil"/>
            </w:tcBorders>
            <w:shd w:val="clear" w:color="auto" w:fill="auto"/>
            <w:noWrap/>
            <w:vAlign w:val="bottom"/>
            <w:hideMark/>
          </w:tcPr>
          <w:p w14:paraId="135EDF0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2,023</w:t>
            </w:r>
          </w:p>
        </w:tc>
        <w:tc>
          <w:tcPr>
            <w:tcW w:w="564" w:type="pct"/>
            <w:tcBorders>
              <w:top w:val="single" w:sz="4" w:space="0" w:color="95B3D7"/>
              <w:left w:val="nil"/>
              <w:bottom w:val="single" w:sz="4" w:space="0" w:color="95B3D7"/>
              <w:right w:val="nil"/>
            </w:tcBorders>
            <w:shd w:val="clear" w:color="auto" w:fill="auto"/>
            <w:noWrap/>
            <w:vAlign w:val="bottom"/>
            <w:hideMark/>
          </w:tcPr>
          <w:p w14:paraId="399F6AD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2,025</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33D346C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2,503</w:t>
            </w:r>
          </w:p>
        </w:tc>
      </w:tr>
      <w:tr w:rsidR="009D7419" w:rsidRPr="00A47B28" w14:paraId="19A2AF0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537FB8E5"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SHAREHOLDERS EQUITY</w:t>
            </w:r>
          </w:p>
        </w:tc>
        <w:tc>
          <w:tcPr>
            <w:tcW w:w="564" w:type="pct"/>
            <w:tcBorders>
              <w:top w:val="single" w:sz="4" w:space="0" w:color="95B3D7"/>
              <w:left w:val="nil"/>
              <w:bottom w:val="single" w:sz="4" w:space="0" w:color="95B3D7"/>
              <w:right w:val="nil"/>
            </w:tcBorders>
            <w:shd w:val="clear" w:color="DCE6F1" w:fill="DCE6F1"/>
            <w:noWrap/>
            <w:vAlign w:val="bottom"/>
            <w:hideMark/>
          </w:tcPr>
          <w:p w14:paraId="65E50354"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1DBD9B10"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0DF27DB9"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2ACDCB92"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34075DB5"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4B5BBEF2"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121D4A6"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Common stock</w:t>
            </w:r>
          </w:p>
        </w:tc>
        <w:tc>
          <w:tcPr>
            <w:tcW w:w="564" w:type="pct"/>
            <w:tcBorders>
              <w:top w:val="single" w:sz="4" w:space="0" w:color="95B3D7"/>
              <w:left w:val="nil"/>
              <w:bottom w:val="single" w:sz="4" w:space="0" w:color="95B3D7"/>
              <w:right w:val="nil"/>
            </w:tcBorders>
            <w:shd w:val="clear" w:color="auto" w:fill="auto"/>
            <w:noWrap/>
            <w:vAlign w:val="bottom"/>
            <w:hideMark/>
          </w:tcPr>
          <w:p w14:paraId="59E798C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97</w:t>
            </w:r>
          </w:p>
        </w:tc>
        <w:tc>
          <w:tcPr>
            <w:tcW w:w="564" w:type="pct"/>
            <w:tcBorders>
              <w:top w:val="single" w:sz="4" w:space="0" w:color="95B3D7"/>
              <w:left w:val="nil"/>
              <w:bottom w:val="single" w:sz="4" w:space="0" w:color="95B3D7"/>
              <w:right w:val="nil"/>
            </w:tcBorders>
            <w:shd w:val="clear" w:color="auto" w:fill="auto"/>
            <w:noWrap/>
            <w:vAlign w:val="bottom"/>
            <w:hideMark/>
          </w:tcPr>
          <w:p w14:paraId="24DC03A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w:t>
            </w:r>
          </w:p>
        </w:tc>
        <w:tc>
          <w:tcPr>
            <w:tcW w:w="564" w:type="pct"/>
            <w:tcBorders>
              <w:top w:val="single" w:sz="4" w:space="0" w:color="95B3D7"/>
              <w:left w:val="nil"/>
              <w:bottom w:val="single" w:sz="4" w:space="0" w:color="95B3D7"/>
              <w:right w:val="nil"/>
            </w:tcBorders>
            <w:shd w:val="clear" w:color="auto" w:fill="auto"/>
            <w:noWrap/>
            <w:vAlign w:val="bottom"/>
            <w:hideMark/>
          </w:tcPr>
          <w:p w14:paraId="2784C17C"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w:t>
            </w:r>
          </w:p>
        </w:tc>
        <w:tc>
          <w:tcPr>
            <w:tcW w:w="564" w:type="pct"/>
            <w:tcBorders>
              <w:top w:val="single" w:sz="4" w:space="0" w:color="95B3D7"/>
              <w:left w:val="nil"/>
              <w:bottom w:val="single" w:sz="4" w:space="0" w:color="95B3D7"/>
              <w:right w:val="nil"/>
            </w:tcBorders>
            <w:shd w:val="clear" w:color="auto" w:fill="auto"/>
            <w:noWrap/>
            <w:vAlign w:val="bottom"/>
            <w:hideMark/>
          </w:tcPr>
          <w:p w14:paraId="2AFF852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27A3A0C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w:t>
            </w:r>
          </w:p>
        </w:tc>
      </w:tr>
      <w:tr w:rsidR="009D7419" w:rsidRPr="00A47B28" w14:paraId="44AF87BB"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19B91CCA"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Additional paid-in capital</w:t>
            </w:r>
          </w:p>
        </w:tc>
        <w:tc>
          <w:tcPr>
            <w:tcW w:w="564" w:type="pct"/>
            <w:tcBorders>
              <w:top w:val="single" w:sz="4" w:space="0" w:color="95B3D7"/>
              <w:left w:val="nil"/>
              <w:bottom w:val="single" w:sz="4" w:space="0" w:color="95B3D7"/>
              <w:right w:val="nil"/>
            </w:tcBorders>
            <w:shd w:val="clear" w:color="DCE6F1" w:fill="DCE6F1"/>
            <w:noWrap/>
            <w:vAlign w:val="bottom"/>
            <w:hideMark/>
          </w:tcPr>
          <w:p w14:paraId="6D9220C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254</w:t>
            </w:r>
          </w:p>
        </w:tc>
        <w:tc>
          <w:tcPr>
            <w:tcW w:w="564" w:type="pct"/>
            <w:tcBorders>
              <w:top w:val="single" w:sz="4" w:space="0" w:color="95B3D7"/>
              <w:left w:val="nil"/>
              <w:bottom w:val="single" w:sz="4" w:space="0" w:color="95B3D7"/>
              <w:right w:val="nil"/>
            </w:tcBorders>
            <w:shd w:val="clear" w:color="DCE6F1" w:fill="DCE6F1"/>
            <w:noWrap/>
            <w:vAlign w:val="bottom"/>
            <w:hideMark/>
          </w:tcPr>
          <w:p w14:paraId="1A01A49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253</w:t>
            </w:r>
          </w:p>
        </w:tc>
        <w:tc>
          <w:tcPr>
            <w:tcW w:w="564" w:type="pct"/>
            <w:tcBorders>
              <w:top w:val="single" w:sz="4" w:space="0" w:color="95B3D7"/>
              <w:left w:val="nil"/>
              <w:bottom w:val="single" w:sz="4" w:space="0" w:color="95B3D7"/>
              <w:right w:val="nil"/>
            </w:tcBorders>
            <w:shd w:val="clear" w:color="DCE6F1" w:fill="DCE6F1"/>
            <w:noWrap/>
            <w:vAlign w:val="bottom"/>
            <w:hideMark/>
          </w:tcPr>
          <w:p w14:paraId="4C13938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245</w:t>
            </w:r>
          </w:p>
        </w:tc>
        <w:tc>
          <w:tcPr>
            <w:tcW w:w="564" w:type="pct"/>
            <w:tcBorders>
              <w:top w:val="single" w:sz="4" w:space="0" w:color="95B3D7"/>
              <w:left w:val="nil"/>
              <w:bottom w:val="single" w:sz="4" w:space="0" w:color="95B3D7"/>
              <w:right w:val="nil"/>
            </w:tcBorders>
            <w:shd w:val="clear" w:color="DCE6F1" w:fill="DCE6F1"/>
            <w:noWrap/>
            <w:vAlign w:val="bottom"/>
            <w:hideMark/>
          </w:tcPr>
          <w:p w14:paraId="260EE8F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245</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250B7C62"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239</w:t>
            </w:r>
          </w:p>
        </w:tc>
      </w:tr>
      <w:tr w:rsidR="009D7419" w:rsidRPr="00A47B28" w14:paraId="54C0B1BF"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1CF6D964"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Retained earnings (accumulated deficit)</w:t>
            </w:r>
          </w:p>
        </w:tc>
        <w:tc>
          <w:tcPr>
            <w:tcW w:w="564" w:type="pct"/>
            <w:tcBorders>
              <w:top w:val="single" w:sz="4" w:space="0" w:color="95B3D7"/>
              <w:left w:val="nil"/>
              <w:bottom w:val="single" w:sz="4" w:space="0" w:color="95B3D7"/>
              <w:right w:val="nil"/>
            </w:tcBorders>
            <w:shd w:val="clear" w:color="auto" w:fill="auto"/>
            <w:noWrap/>
            <w:vAlign w:val="bottom"/>
            <w:hideMark/>
          </w:tcPr>
          <w:p w14:paraId="44FE9D9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5,268</w:t>
            </w:r>
          </w:p>
        </w:tc>
        <w:tc>
          <w:tcPr>
            <w:tcW w:w="564" w:type="pct"/>
            <w:tcBorders>
              <w:top w:val="single" w:sz="4" w:space="0" w:color="95B3D7"/>
              <w:left w:val="nil"/>
              <w:bottom w:val="single" w:sz="4" w:space="0" w:color="95B3D7"/>
              <w:right w:val="nil"/>
            </w:tcBorders>
            <w:shd w:val="clear" w:color="auto" w:fill="auto"/>
            <w:noWrap/>
            <w:vAlign w:val="bottom"/>
            <w:hideMark/>
          </w:tcPr>
          <w:p w14:paraId="76F119B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5,302</w:t>
            </w:r>
          </w:p>
        </w:tc>
        <w:tc>
          <w:tcPr>
            <w:tcW w:w="564" w:type="pct"/>
            <w:tcBorders>
              <w:top w:val="single" w:sz="4" w:space="0" w:color="95B3D7"/>
              <w:left w:val="nil"/>
              <w:bottom w:val="single" w:sz="4" w:space="0" w:color="95B3D7"/>
              <w:right w:val="nil"/>
            </w:tcBorders>
            <w:shd w:val="clear" w:color="auto" w:fill="auto"/>
            <w:noWrap/>
            <w:vAlign w:val="bottom"/>
            <w:hideMark/>
          </w:tcPr>
          <w:p w14:paraId="1A73D26E"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5,109</w:t>
            </w:r>
          </w:p>
        </w:tc>
        <w:tc>
          <w:tcPr>
            <w:tcW w:w="564" w:type="pct"/>
            <w:tcBorders>
              <w:top w:val="single" w:sz="4" w:space="0" w:color="95B3D7"/>
              <w:left w:val="nil"/>
              <w:bottom w:val="single" w:sz="4" w:space="0" w:color="95B3D7"/>
              <w:right w:val="nil"/>
            </w:tcBorders>
            <w:shd w:val="clear" w:color="auto" w:fill="auto"/>
            <w:noWrap/>
            <w:vAlign w:val="bottom"/>
            <w:hideMark/>
          </w:tcPr>
          <w:p w14:paraId="685C76B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4,512</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3E44140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4,536</w:t>
            </w:r>
          </w:p>
        </w:tc>
      </w:tr>
      <w:tr w:rsidR="009D7419" w:rsidRPr="00A47B28" w14:paraId="28F77EDF"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F6FD37C"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Treasury stock - common</w:t>
            </w:r>
          </w:p>
        </w:tc>
        <w:tc>
          <w:tcPr>
            <w:tcW w:w="564" w:type="pct"/>
            <w:tcBorders>
              <w:top w:val="single" w:sz="4" w:space="0" w:color="95B3D7"/>
              <w:left w:val="nil"/>
              <w:bottom w:val="single" w:sz="4" w:space="0" w:color="95B3D7"/>
              <w:right w:val="nil"/>
            </w:tcBorders>
            <w:shd w:val="clear" w:color="DCE6F1" w:fill="DCE6F1"/>
            <w:noWrap/>
            <w:vAlign w:val="bottom"/>
            <w:hideMark/>
          </w:tcPr>
          <w:p w14:paraId="001139D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-23</w:t>
            </w:r>
          </w:p>
        </w:tc>
        <w:tc>
          <w:tcPr>
            <w:tcW w:w="564" w:type="pct"/>
            <w:tcBorders>
              <w:top w:val="single" w:sz="4" w:space="0" w:color="95B3D7"/>
              <w:left w:val="nil"/>
              <w:bottom w:val="single" w:sz="4" w:space="0" w:color="95B3D7"/>
              <w:right w:val="nil"/>
            </w:tcBorders>
            <w:shd w:val="clear" w:color="DCE6F1" w:fill="DCE6F1"/>
            <w:noWrap/>
            <w:vAlign w:val="bottom"/>
            <w:hideMark/>
          </w:tcPr>
          <w:p w14:paraId="2FE5392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-27</w:t>
            </w:r>
          </w:p>
        </w:tc>
        <w:tc>
          <w:tcPr>
            <w:tcW w:w="564" w:type="pct"/>
            <w:tcBorders>
              <w:top w:val="single" w:sz="4" w:space="0" w:color="95B3D7"/>
              <w:left w:val="nil"/>
              <w:bottom w:val="single" w:sz="4" w:space="0" w:color="95B3D7"/>
              <w:right w:val="nil"/>
            </w:tcBorders>
            <w:shd w:val="clear" w:color="DCE6F1" w:fill="DCE6F1"/>
            <w:noWrap/>
            <w:vAlign w:val="bottom"/>
            <w:hideMark/>
          </w:tcPr>
          <w:p w14:paraId="07CDBE8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-4.7</w:t>
            </w:r>
          </w:p>
        </w:tc>
        <w:tc>
          <w:tcPr>
            <w:tcW w:w="564" w:type="pct"/>
            <w:tcBorders>
              <w:top w:val="single" w:sz="4" w:space="0" w:color="95B3D7"/>
              <w:left w:val="nil"/>
              <w:bottom w:val="single" w:sz="4" w:space="0" w:color="95B3D7"/>
              <w:right w:val="nil"/>
            </w:tcBorders>
            <w:shd w:val="clear" w:color="DCE6F1" w:fill="DCE6F1"/>
            <w:noWrap/>
            <w:vAlign w:val="bottom"/>
            <w:hideMark/>
          </w:tcPr>
          <w:p w14:paraId="7B11D9E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-20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6E0CBCD"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-15</w:t>
            </w:r>
          </w:p>
        </w:tc>
      </w:tr>
      <w:tr w:rsidR="009D7419" w:rsidRPr="00A47B28" w14:paraId="40A0FA85"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39CAED2E"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Unrealized gain (loss)</w:t>
            </w:r>
          </w:p>
        </w:tc>
        <w:tc>
          <w:tcPr>
            <w:tcW w:w="564" w:type="pct"/>
            <w:tcBorders>
              <w:top w:val="single" w:sz="4" w:space="0" w:color="95B3D7"/>
              <w:left w:val="nil"/>
              <w:bottom w:val="single" w:sz="4" w:space="0" w:color="95B3D7"/>
              <w:right w:val="nil"/>
            </w:tcBorders>
            <w:shd w:val="clear" w:color="auto" w:fill="auto"/>
            <w:noWrap/>
            <w:vAlign w:val="bottom"/>
            <w:hideMark/>
          </w:tcPr>
          <w:p w14:paraId="38F9D215"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62FD3755"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2740B190"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auto" w:fill="auto"/>
            <w:noWrap/>
            <w:vAlign w:val="bottom"/>
            <w:hideMark/>
          </w:tcPr>
          <w:p w14:paraId="77E8BA8D"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364999E0"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01FBFC6A"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7AB7997A"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Other equity, total</w:t>
            </w:r>
          </w:p>
        </w:tc>
        <w:tc>
          <w:tcPr>
            <w:tcW w:w="564" w:type="pct"/>
            <w:tcBorders>
              <w:top w:val="single" w:sz="4" w:space="0" w:color="95B3D7"/>
              <w:left w:val="nil"/>
              <w:bottom w:val="single" w:sz="4" w:space="0" w:color="95B3D7"/>
              <w:right w:val="nil"/>
            </w:tcBorders>
            <w:shd w:val="clear" w:color="DCE6F1" w:fill="DCE6F1"/>
            <w:noWrap/>
            <w:vAlign w:val="bottom"/>
            <w:hideMark/>
          </w:tcPr>
          <w:p w14:paraId="7087E35D" w14:textId="77777777" w:rsidR="009D7419" w:rsidRPr="00A47B28" w:rsidRDefault="009D7419" w:rsidP="00CD240D">
            <w:pPr>
              <w:spacing w:after="0" w:line="240" w:lineRule="auto"/>
              <w:rPr>
                <w:rFonts w:ascii="Arial" w:eastAsia="Times New Roman" w:hAnsi="Arial" w:cs="Arial"/>
                <w:color w:val="000000"/>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282A6557"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7D7E8C80"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nil"/>
            </w:tcBorders>
            <w:shd w:val="clear" w:color="DCE6F1" w:fill="DCE6F1"/>
            <w:noWrap/>
            <w:vAlign w:val="bottom"/>
            <w:hideMark/>
          </w:tcPr>
          <w:p w14:paraId="7AE0F8CB" w14:textId="77777777" w:rsidR="009D7419" w:rsidRPr="00A47B28" w:rsidRDefault="009D7419" w:rsidP="00CD240D">
            <w:pPr>
              <w:spacing w:after="0" w:line="240" w:lineRule="auto"/>
              <w:rPr>
                <w:rFonts w:ascii="Times New Roman" w:eastAsia="Times New Roman" w:hAnsi="Times New Roman" w:cs="Times New Roman"/>
                <w:sz w:val="20"/>
                <w:szCs w:val="20"/>
              </w:rPr>
            </w:pP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23B56BF9" w14:textId="77777777" w:rsidR="009D7419" w:rsidRPr="00A47B28" w:rsidRDefault="009D7419" w:rsidP="00CD240D">
            <w:pPr>
              <w:spacing w:after="0" w:line="240" w:lineRule="auto"/>
              <w:rPr>
                <w:rFonts w:ascii="Times New Roman" w:eastAsia="Times New Roman" w:hAnsi="Times New Roman" w:cs="Times New Roman"/>
                <w:sz w:val="20"/>
                <w:szCs w:val="20"/>
              </w:rPr>
            </w:pPr>
          </w:p>
        </w:tc>
      </w:tr>
      <w:tr w:rsidR="009D7419" w:rsidRPr="00A47B28" w14:paraId="20D57C27"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3B0F1087"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equity</w:t>
            </w:r>
          </w:p>
        </w:tc>
        <w:tc>
          <w:tcPr>
            <w:tcW w:w="564" w:type="pct"/>
            <w:tcBorders>
              <w:top w:val="single" w:sz="4" w:space="0" w:color="95B3D7"/>
              <w:left w:val="nil"/>
              <w:bottom w:val="single" w:sz="4" w:space="0" w:color="95B3D7"/>
              <w:right w:val="nil"/>
            </w:tcBorders>
            <w:shd w:val="clear" w:color="auto" w:fill="auto"/>
            <w:noWrap/>
            <w:vAlign w:val="bottom"/>
            <w:hideMark/>
          </w:tcPr>
          <w:p w14:paraId="4BF9D05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5,596</w:t>
            </w:r>
          </w:p>
        </w:tc>
        <w:tc>
          <w:tcPr>
            <w:tcW w:w="564" w:type="pct"/>
            <w:tcBorders>
              <w:top w:val="single" w:sz="4" w:space="0" w:color="95B3D7"/>
              <w:left w:val="nil"/>
              <w:bottom w:val="single" w:sz="4" w:space="0" w:color="95B3D7"/>
              <w:right w:val="nil"/>
            </w:tcBorders>
            <w:shd w:val="clear" w:color="auto" w:fill="auto"/>
            <w:noWrap/>
            <w:vAlign w:val="bottom"/>
            <w:hideMark/>
          </w:tcPr>
          <w:p w14:paraId="49BAFE3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5,631</w:t>
            </w:r>
          </w:p>
        </w:tc>
        <w:tc>
          <w:tcPr>
            <w:tcW w:w="564" w:type="pct"/>
            <w:tcBorders>
              <w:top w:val="single" w:sz="4" w:space="0" w:color="95B3D7"/>
              <w:left w:val="nil"/>
              <w:bottom w:val="single" w:sz="4" w:space="0" w:color="95B3D7"/>
              <w:right w:val="nil"/>
            </w:tcBorders>
            <w:shd w:val="clear" w:color="auto" w:fill="auto"/>
            <w:noWrap/>
            <w:vAlign w:val="bottom"/>
            <w:hideMark/>
          </w:tcPr>
          <w:p w14:paraId="25B73E9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5,451</w:t>
            </w:r>
          </w:p>
        </w:tc>
        <w:tc>
          <w:tcPr>
            <w:tcW w:w="564" w:type="pct"/>
            <w:tcBorders>
              <w:top w:val="single" w:sz="4" w:space="0" w:color="95B3D7"/>
              <w:left w:val="nil"/>
              <w:bottom w:val="single" w:sz="4" w:space="0" w:color="95B3D7"/>
              <w:right w:val="nil"/>
            </w:tcBorders>
            <w:shd w:val="clear" w:color="auto" w:fill="auto"/>
            <w:noWrap/>
            <w:vAlign w:val="bottom"/>
            <w:hideMark/>
          </w:tcPr>
          <w:p w14:paraId="01E868E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4,839</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4C0CC45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4,862</w:t>
            </w:r>
          </w:p>
        </w:tc>
      </w:tr>
      <w:tr w:rsidR="009D7419" w:rsidRPr="00A47B28" w14:paraId="74D58FD3"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3908AB47"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liabilities &amp; shareholders' equity</w:t>
            </w:r>
          </w:p>
        </w:tc>
        <w:tc>
          <w:tcPr>
            <w:tcW w:w="564" w:type="pct"/>
            <w:tcBorders>
              <w:top w:val="single" w:sz="4" w:space="0" w:color="95B3D7"/>
              <w:left w:val="nil"/>
              <w:bottom w:val="single" w:sz="4" w:space="0" w:color="95B3D7"/>
              <w:right w:val="nil"/>
            </w:tcBorders>
            <w:shd w:val="clear" w:color="DCE6F1" w:fill="DCE6F1"/>
            <w:noWrap/>
            <w:vAlign w:val="bottom"/>
            <w:hideMark/>
          </w:tcPr>
          <w:p w14:paraId="1C9F84B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8,004</w:t>
            </w:r>
          </w:p>
        </w:tc>
        <w:tc>
          <w:tcPr>
            <w:tcW w:w="564" w:type="pct"/>
            <w:tcBorders>
              <w:top w:val="single" w:sz="4" w:space="0" w:color="95B3D7"/>
              <w:left w:val="nil"/>
              <w:bottom w:val="single" w:sz="4" w:space="0" w:color="95B3D7"/>
              <w:right w:val="nil"/>
            </w:tcBorders>
            <w:shd w:val="clear" w:color="DCE6F1" w:fill="DCE6F1"/>
            <w:noWrap/>
            <w:vAlign w:val="bottom"/>
            <w:hideMark/>
          </w:tcPr>
          <w:p w14:paraId="2EB3CDC8"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8,211</w:t>
            </w:r>
          </w:p>
        </w:tc>
        <w:tc>
          <w:tcPr>
            <w:tcW w:w="564" w:type="pct"/>
            <w:tcBorders>
              <w:top w:val="single" w:sz="4" w:space="0" w:color="95B3D7"/>
              <w:left w:val="nil"/>
              <w:bottom w:val="single" w:sz="4" w:space="0" w:color="95B3D7"/>
              <w:right w:val="nil"/>
            </w:tcBorders>
            <w:shd w:val="clear" w:color="DCE6F1" w:fill="DCE6F1"/>
            <w:noWrap/>
            <w:vAlign w:val="bottom"/>
            <w:hideMark/>
          </w:tcPr>
          <w:p w14:paraId="42EA2EF3"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7,474</w:t>
            </w:r>
          </w:p>
        </w:tc>
        <w:tc>
          <w:tcPr>
            <w:tcW w:w="564" w:type="pct"/>
            <w:tcBorders>
              <w:top w:val="single" w:sz="4" w:space="0" w:color="95B3D7"/>
              <w:left w:val="nil"/>
              <w:bottom w:val="single" w:sz="4" w:space="0" w:color="95B3D7"/>
              <w:right w:val="nil"/>
            </w:tcBorders>
            <w:shd w:val="clear" w:color="DCE6F1" w:fill="DCE6F1"/>
            <w:noWrap/>
            <w:vAlign w:val="bottom"/>
            <w:hideMark/>
          </w:tcPr>
          <w:p w14:paraId="2D17EA15"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6,864</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097BFE4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7,365</w:t>
            </w:r>
          </w:p>
        </w:tc>
      </w:tr>
      <w:tr w:rsidR="009D7419" w:rsidRPr="00A47B28" w14:paraId="0A2EDD67"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auto" w:fill="auto"/>
            <w:noWrap/>
            <w:vAlign w:val="bottom"/>
            <w:hideMark/>
          </w:tcPr>
          <w:p w14:paraId="3FFB82CB"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Total common shares outstanding</w:t>
            </w:r>
          </w:p>
        </w:tc>
        <w:tc>
          <w:tcPr>
            <w:tcW w:w="564" w:type="pct"/>
            <w:tcBorders>
              <w:top w:val="single" w:sz="4" w:space="0" w:color="95B3D7"/>
              <w:left w:val="nil"/>
              <w:bottom w:val="single" w:sz="4" w:space="0" w:color="95B3D7"/>
              <w:right w:val="nil"/>
            </w:tcBorders>
            <w:shd w:val="clear" w:color="auto" w:fill="auto"/>
            <w:noWrap/>
            <w:vAlign w:val="bottom"/>
            <w:hideMark/>
          </w:tcPr>
          <w:p w14:paraId="2ED58A60"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975</w:t>
            </w:r>
          </w:p>
        </w:tc>
        <w:tc>
          <w:tcPr>
            <w:tcW w:w="564" w:type="pct"/>
            <w:tcBorders>
              <w:top w:val="single" w:sz="4" w:space="0" w:color="95B3D7"/>
              <w:left w:val="nil"/>
              <w:bottom w:val="single" w:sz="4" w:space="0" w:color="95B3D7"/>
              <w:right w:val="nil"/>
            </w:tcBorders>
            <w:shd w:val="clear" w:color="auto" w:fill="auto"/>
            <w:noWrap/>
            <w:vAlign w:val="bottom"/>
            <w:hideMark/>
          </w:tcPr>
          <w:p w14:paraId="512A5C8A"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1,023</w:t>
            </w:r>
          </w:p>
        </w:tc>
        <w:tc>
          <w:tcPr>
            <w:tcW w:w="564" w:type="pct"/>
            <w:tcBorders>
              <w:top w:val="single" w:sz="4" w:space="0" w:color="95B3D7"/>
              <w:left w:val="nil"/>
              <w:bottom w:val="single" w:sz="4" w:space="0" w:color="95B3D7"/>
              <w:right w:val="nil"/>
            </w:tcBorders>
            <w:shd w:val="clear" w:color="auto" w:fill="auto"/>
            <w:noWrap/>
            <w:vAlign w:val="bottom"/>
            <w:hideMark/>
          </w:tcPr>
          <w:p w14:paraId="612D07E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1,018</w:t>
            </w:r>
          </w:p>
        </w:tc>
        <w:tc>
          <w:tcPr>
            <w:tcW w:w="564" w:type="pct"/>
            <w:tcBorders>
              <w:top w:val="single" w:sz="4" w:space="0" w:color="95B3D7"/>
              <w:left w:val="nil"/>
              <w:bottom w:val="single" w:sz="4" w:space="0" w:color="95B3D7"/>
              <w:right w:val="nil"/>
            </w:tcBorders>
            <w:shd w:val="clear" w:color="auto" w:fill="auto"/>
            <w:noWrap/>
            <w:vAlign w:val="bottom"/>
            <w:hideMark/>
          </w:tcPr>
          <w:p w14:paraId="179506B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1,018</w:t>
            </w:r>
          </w:p>
        </w:tc>
        <w:tc>
          <w:tcPr>
            <w:tcW w:w="564" w:type="pct"/>
            <w:tcBorders>
              <w:top w:val="single" w:sz="4" w:space="0" w:color="95B3D7"/>
              <w:left w:val="nil"/>
              <w:bottom w:val="single" w:sz="4" w:space="0" w:color="95B3D7"/>
              <w:right w:val="single" w:sz="4" w:space="0" w:color="95B3D7"/>
            </w:tcBorders>
            <w:shd w:val="clear" w:color="auto" w:fill="auto"/>
            <w:noWrap/>
            <w:vAlign w:val="bottom"/>
            <w:hideMark/>
          </w:tcPr>
          <w:p w14:paraId="4B2FF74B"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1,017</w:t>
            </w:r>
          </w:p>
        </w:tc>
      </w:tr>
      <w:tr w:rsidR="009D7419" w:rsidRPr="00A47B28" w14:paraId="79DB3299" w14:textId="77777777" w:rsidTr="00CD240D">
        <w:trPr>
          <w:trHeight w:val="255"/>
        </w:trPr>
        <w:tc>
          <w:tcPr>
            <w:tcW w:w="2182" w:type="pct"/>
            <w:tcBorders>
              <w:top w:val="single" w:sz="4" w:space="0" w:color="95B3D7"/>
              <w:left w:val="single" w:sz="4" w:space="0" w:color="95B3D7"/>
              <w:bottom w:val="single" w:sz="4" w:space="0" w:color="95B3D7"/>
              <w:right w:val="nil"/>
            </w:tcBorders>
            <w:shd w:val="clear" w:color="DCE6F1" w:fill="DCE6F1"/>
            <w:noWrap/>
            <w:vAlign w:val="bottom"/>
            <w:hideMark/>
          </w:tcPr>
          <w:p w14:paraId="42F07423" w14:textId="77777777" w:rsidR="009D7419" w:rsidRPr="00A47B28" w:rsidRDefault="009D7419" w:rsidP="00CD240D">
            <w:pPr>
              <w:spacing w:after="0" w:line="240" w:lineRule="auto"/>
              <w:rPr>
                <w:rFonts w:ascii="Arial" w:eastAsia="Times New Roman" w:hAnsi="Arial" w:cs="Arial"/>
                <w:color w:val="000000"/>
                <w:sz w:val="20"/>
                <w:szCs w:val="20"/>
              </w:rPr>
            </w:pPr>
            <w:r w:rsidRPr="00A47B28">
              <w:rPr>
                <w:rFonts w:ascii="Arial" w:eastAsia="Times New Roman" w:hAnsi="Arial" w:cs="Arial"/>
                <w:color w:val="000000"/>
                <w:sz w:val="20"/>
                <w:szCs w:val="20"/>
              </w:rPr>
              <w:t>Treasury shares - common primary issue</w:t>
            </w:r>
          </w:p>
        </w:tc>
        <w:tc>
          <w:tcPr>
            <w:tcW w:w="564" w:type="pct"/>
            <w:tcBorders>
              <w:top w:val="single" w:sz="4" w:space="0" w:color="95B3D7"/>
              <w:left w:val="nil"/>
              <w:bottom w:val="single" w:sz="4" w:space="0" w:color="95B3D7"/>
              <w:right w:val="nil"/>
            </w:tcBorders>
            <w:shd w:val="clear" w:color="DCE6F1" w:fill="DCE6F1"/>
            <w:noWrap/>
            <w:vAlign w:val="bottom"/>
            <w:hideMark/>
          </w:tcPr>
          <w:p w14:paraId="1DA433A4"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3F5DD4A6"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0DB3B561"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nil"/>
            </w:tcBorders>
            <w:shd w:val="clear" w:color="DCE6F1" w:fill="DCE6F1"/>
            <w:noWrap/>
            <w:vAlign w:val="bottom"/>
            <w:hideMark/>
          </w:tcPr>
          <w:p w14:paraId="4242123F"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c>
          <w:tcPr>
            <w:tcW w:w="564" w:type="pct"/>
            <w:tcBorders>
              <w:top w:val="single" w:sz="4" w:space="0" w:color="95B3D7"/>
              <w:left w:val="nil"/>
              <w:bottom w:val="single" w:sz="4" w:space="0" w:color="95B3D7"/>
              <w:right w:val="single" w:sz="4" w:space="0" w:color="95B3D7"/>
            </w:tcBorders>
            <w:shd w:val="clear" w:color="DCE6F1" w:fill="DCE6F1"/>
            <w:noWrap/>
            <w:vAlign w:val="bottom"/>
            <w:hideMark/>
          </w:tcPr>
          <w:p w14:paraId="7BC2C3B7" w14:textId="77777777" w:rsidR="009D7419" w:rsidRPr="00A47B28" w:rsidRDefault="009D7419" w:rsidP="00CD240D">
            <w:pPr>
              <w:spacing w:after="0" w:line="240" w:lineRule="auto"/>
              <w:jc w:val="right"/>
              <w:rPr>
                <w:rFonts w:ascii="Arial" w:eastAsia="Times New Roman" w:hAnsi="Arial" w:cs="Arial"/>
                <w:color w:val="000000"/>
                <w:sz w:val="20"/>
                <w:szCs w:val="20"/>
              </w:rPr>
            </w:pPr>
            <w:r w:rsidRPr="00A47B28">
              <w:rPr>
                <w:rFonts w:ascii="Arial" w:eastAsia="Times New Roman" w:hAnsi="Arial" w:cs="Arial"/>
                <w:color w:val="000000"/>
                <w:sz w:val="20"/>
                <w:szCs w:val="20"/>
              </w:rPr>
              <w:t>0</w:t>
            </w:r>
          </w:p>
        </w:tc>
      </w:tr>
    </w:tbl>
    <w:p w14:paraId="699147A4" w14:textId="77777777" w:rsidR="009D7419" w:rsidRDefault="009D7419" w:rsidP="00923F6C">
      <w:pPr>
        <w:spacing w:after="0" w:line="360" w:lineRule="auto"/>
        <w:jc w:val="center"/>
        <w:rPr>
          <w:rFonts w:ascii="Calibri" w:hAnsi="Calibri" w:cs="Calibri"/>
          <w:color w:val="000000" w:themeColor="text1"/>
        </w:rPr>
      </w:pPr>
    </w:p>
    <w:p w14:paraId="536C0134" w14:textId="77777777" w:rsidR="009D7419" w:rsidRDefault="009D7419" w:rsidP="00923F6C">
      <w:pPr>
        <w:spacing w:after="0" w:line="360" w:lineRule="auto"/>
        <w:jc w:val="center"/>
        <w:rPr>
          <w:rFonts w:ascii="Calibri" w:hAnsi="Calibri" w:cs="Calibri"/>
          <w:color w:val="000000" w:themeColor="text1"/>
        </w:rPr>
      </w:pPr>
    </w:p>
    <w:p w14:paraId="36A26498" w14:textId="77777777" w:rsidR="009D7419" w:rsidRDefault="009D7419" w:rsidP="00923F6C">
      <w:pPr>
        <w:spacing w:after="0" w:line="360" w:lineRule="auto"/>
        <w:jc w:val="center"/>
        <w:rPr>
          <w:rFonts w:ascii="Calibri" w:hAnsi="Calibri" w:cs="Calibri"/>
          <w:color w:val="000000" w:themeColor="text1"/>
        </w:rPr>
      </w:pPr>
    </w:p>
    <w:p w14:paraId="22D13970" w14:textId="77777777" w:rsidR="009D7419" w:rsidRDefault="009D7419" w:rsidP="00923F6C">
      <w:pPr>
        <w:spacing w:after="0" w:line="360" w:lineRule="auto"/>
        <w:jc w:val="center"/>
        <w:rPr>
          <w:rFonts w:ascii="Calibri" w:hAnsi="Calibri" w:cs="Calibri"/>
          <w:color w:val="000000" w:themeColor="text1"/>
        </w:rPr>
      </w:pPr>
    </w:p>
    <w:tbl>
      <w:tblPr>
        <w:tblW w:w="5000" w:type="pct"/>
        <w:tblLook w:val="04A0" w:firstRow="1" w:lastRow="0" w:firstColumn="1" w:lastColumn="0" w:noHBand="0" w:noVBand="1"/>
      </w:tblPr>
      <w:tblGrid>
        <w:gridCol w:w="4386"/>
        <w:gridCol w:w="993"/>
        <w:gridCol w:w="993"/>
        <w:gridCol w:w="993"/>
        <w:gridCol w:w="993"/>
        <w:gridCol w:w="992"/>
      </w:tblGrid>
      <w:tr w:rsidR="009D7419" w:rsidRPr="007F103F" w14:paraId="4A2963ED" w14:textId="77777777" w:rsidTr="00CD240D">
        <w:trPr>
          <w:trHeight w:val="255"/>
        </w:trPr>
        <w:tc>
          <w:tcPr>
            <w:tcW w:w="5000" w:type="pct"/>
            <w:gridSpan w:val="6"/>
            <w:tcBorders>
              <w:top w:val="single" w:sz="4" w:space="0" w:color="95B3D7"/>
              <w:left w:val="single" w:sz="4" w:space="0" w:color="95B3D7"/>
              <w:bottom w:val="single" w:sz="4" w:space="0" w:color="95B3D7"/>
              <w:right w:val="single" w:sz="4" w:space="0" w:color="95B3D7"/>
            </w:tcBorders>
            <w:shd w:val="clear" w:color="4F81BD" w:fill="4F81BD"/>
            <w:noWrap/>
            <w:vAlign w:val="bottom"/>
            <w:hideMark/>
          </w:tcPr>
          <w:p w14:paraId="6AC6ED6B" w14:textId="77777777" w:rsidR="009D7419"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lastRenderedPageBreak/>
              <w:t>BARRATT DEVELOPMENT PLC</w:t>
            </w:r>
          </w:p>
          <w:p w14:paraId="6C8F2272" w14:textId="77777777" w:rsidR="009D7419" w:rsidRPr="007F103F" w:rsidRDefault="009D7419" w:rsidP="00CD240D">
            <w:pPr>
              <w:spacing w:after="0"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CASH FLOW STATEMENT</w:t>
            </w:r>
          </w:p>
        </w:tc>
      </w:tr>
      <w:tr w:rsidR="009D7419" w:rsidRPr="007F103F" w14:paraId="134F7785"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30EB6652"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Fiscal data as of Jun 30 2023</w:t>
            </w:r>
          </w:p>
        </w:tc>
        <w:tc>
          <w:tcPr>
            <w:tcW w:w="552" w:type="pct"/>
            <w:tcBorders>
              <w:top w:val="single" w:sz="4" w:space="0" w:color="95B3D7"/>
              <w:left w:val="nil"/>
              <w:bottom w:val="single" w:sz="4" w:space="0" w:color="95B3D7"/>
              <w:right w:val="nil"/>
            </w:tcBorders>
            <w:shd w:val="clear" w:color="DCE6F1" w:fill="DCE6F1"/>
            <w:noWrap/>
            <w:vAlign w:val="bottom"/>
            <w:hideMark/>
          </w:tcPr>
          <w:p w14:paraId="51C12EDB"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2023</w:t>
            </w:r>
          </w:p>
        </w:tc>
        <w:tc>
          <w:tcPr>
            <w:tcW w:w="552" w:type="pct"/>
            <w:tcBorders>
              <w:top w:val="single" w:sz="4" w:space="0" w:color="95B3D7"/>
              <w:left w:val="nil"/>
              <w:bottom w:val="single" w:sz="4" w:space="0" w:color="95B3D7"/>
              <w:right w:val="nil"/>
            </w:tcBorders>
            <w:shd w:val="clear" w:color="DCE6F1" w:fill="DCE6F1"/>
            <w:noWrap/>
            <w:vAlign w:val="bottom"/>
            <w:hideMark/>
          </w:tcPr>
          <w:p w14:paraId="7B2F63F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2022</w:t>
            </w:r>
          </w:p>
        </w:tc>
        <w:tc>
          <w:tcPr>
            <w:tcW w:w="552" w:type="pct"/>
            <w:tcBorders>
              <w:top w:val="single" w:sz="4" w:space="0" w:color="95B3D7"/>
              <w:left w:val="nil"/>
              <w:bottom w:val="single" w:sz="4" w:space="0" w:color="95B3D7"/>
              <w:right w:val="nil"/>
            </w:tcBorders>
            <w:shd w:val="clear" w:color="DCE6F1" w:fill="DCE6F1"/>
            <w:noWrap/>
            <w:vAlign w:val="bottom"/>
            <w:hideMark/>
          </w:tcPr>
          <w:p w14:paraId="641A135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2021</w:t>
            </w:r>
          </w:p>
        </w:tc>
        <w:tc>
          <w:tcPr>
            <w:tcW w:w="552" w:type="pct"/>
            <w:tcBorders>
              <w:top w:val="single" w:sz="4" w:space="0" w:color="95B3D7"/>
              <w:left w:val="nil"/>
              <w:bottom w:val="single" w:sz="4" w:space="0" w:color="95B3D7"/>
              <w:right w:val="nil"/>
            </w:tcBorders>
            <w:shd w:val="clear" w:color="DCE6F1" w:fill="DCE6F1"/>
            <w:noWrap/>
            <w:vAlign w:val="bottom"/>
            <w:hideMark/>
          </w:tcPr>
          <w:p w14:paraId="5764643E"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2020</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4166797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2019</w:t>
            </w:r>
          </w:p>
        </w:tc>
      </w:tr>
      <w:tr w:rsidR="009D7419" w:rsidRPr="007F103F" w14:paraId="146A064A"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6AA8EB40"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OPERATIONS</w:t>
            </w:r>
          </w:p>
        </w:tc>
        <w:tc>
          <w:tcPr>
            <w:tcW w:w="552" w:type="pct"/>
            <w:tcBorders>
              <w:top w:val="single" w:sz="4" w:space="0" w:color="95B3D7"/>
              <w:left w:val="nil"/>
              <w:bottom w:val="single" w:sz="4" w:space="0" w:color="95B3D7"/>
              <w:right w:val="nil"/>
            </w:tcBorders>
            <w:shd w:val="clear" w:color="auto" w:fill="auto"/>
            <w:noWrap/>
            <w:vAlign w:val="bottom"/>
            <w:hideMark/>
          </w:tcPr>
          <w:p w14:paraId="6D55F075"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14F69C29"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53D19AD9"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2B2E5B63"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2C74B5AA"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0FCD10CC"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427FFBF5"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Net income</w:t>
            </w:r>
          </w:p>
        </w:tc>
        <w:tc>
          <w:tcPr>
            <w:tcW w:w="552" w:type="pct"/>
            <w:tcBorders>
              <w:top w:val="single" w:sz="4" w:space="0" w:color="95B3D7"/>
              <w:left w:val="nil"/>
              <w:bottom w:val="single" w:sz="4" w:space="0" w:color="95B3D7"/>
              <w:right w:val="nil"/>
            </w:tcBorders>
            <w:shd w:val="clear" w:color="DCE6F1" w:fill="DCE6F1"/>
            <w:noWrap/>
            <w:vAlign w:val="bottom"/>
            <w:hideMark/>
          </w:tcPr>
          <w:p w14:paraId="42F1ACE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707</w:t>
            </w:r>
          </w:p>
        </w:tc>
        <w:tc>
          <w:tcPr>
            <w:tcW w:w="552" w:type="pct"/>
            <w:tcBorders>
              <w:top w:val="single" w:sz="4" w:space="0" w:color="95B3D7"/>
              <w:left w:val="nil"/>
              <w:bottom w:val="single" w:sz="4" w:space="0" w:color="95B3D7"/>
              <w:right w:val="nil"/>
            </w:tcBorders>
            <w:shd w:val="clear" w:color="DCE6F1" w:fill="DCE6F1"/>
            <w:noWrap/>
            <w:vAlign w:val="bottom"/>
            <w:hideMark/>
          </w:tcPr>
          <w:p w14:paraId="4C8253D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647</w:t>
            </w:r>
          </w:p>
        </w:tc>
        <w:tc>
          <w:tcPr>
            <w:tcW w:w="552" w:type="pct"/>
            <w:tcBorders>
              <w:top w:val="single" w:sz="4" w:space="0" w:color="95B3D7"/>
              <w:left w:val="nil"/>
              <w:bottom w:val="single" w:sz="4" w:space="0" w:color="95B3D7"/>
              <w:right w:val="nil"/>
            </w:tcBorders>
            <w:shd w:val="clear" w:color="DCE6F1" w:fill="DCE6F1"/>
            <w:noWrap/>
            <w:vAlign w:val="bottom"/>
            <w:hideMark/>
          </w:tcPr>
          <w:p w14:paraId="3ED7FF2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811</w:t>
            </w:r>
          </w:p>
        </w:tc>
        <w:tc>
          <w:tcPr>
            <w:tcW w:w="552" w:type="pct"/>
            <w:tcBorders>
              <w:top w:val="single" w:sz="4" w:space="0" w:color="95B3D7"/>
              <w:left w:val="nil"/>
              <w:bottom w:val="single" w:sz="4" w:space="0" w:color="95B3D7"/>
              <w:right w:val="nil"/>
            </w:tcBorders>
            <w:shd w:val="clear" w:color="DCE6F1" w:fill="DCE6F1"/>
            <w:noWrap/>
            <w:vAlign w:val="bottom"/>
            <w:hideMark/>
          </w:tcPr>
          <w:p w14:paraId="7F63778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493</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25ECFDB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901</w:t>
            </w:r>
          </w:p>
        </w:tc>
      </w:tr>
      <w:tr w:rsidR="009D7419" w:rsidRPr="007F103F" w14:paraId="574D5342"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490A1D01"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Depreciation/depletion</w:t>
            </w:r>
          </w:p>
        </w:tc>
        <w:tc>
          <w:tcPr>
            <w:tcW w:w="552" w:type="pct"/>
            <w:tcBorders>
              <w:top w:val="single" w:sz="4" w:space="0" w:color="95B3D7"/>
              <w:left w:val="nil"/>
              <w:bottom w:val="single" w:sz="4" w:space="0" w:color="95B3D7"/>
              <w:right w:val="nil"/>
            </w:tcBorders>
            <w:shd w:val="clear" w:color="auto" w:fill="auto"/>
            <w:noWrap/>
            <w:vAlign w:val="bottom"/>
            <w:hideMark/>
          </w:tcPr>
          <w:p w14:paraId="2407805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w:t>
            </w:r>
          </w:p>
        </w:tc>
        <w:tc>
          <w:tcPr>
            <w:tcW w:w="552" w:type="pct"/>
            <w:tcBorders>
              <w:top w:val="single" w:sz="4" w:space="0" w:color="95B3D7"/>
              <w:left w:val="nil"/>
              <w:bottom w:val="single" w:sz="4" w:space="0" w:color="95B3D7"/>
              <w:right w:val="nil"/>
            </w:tcBorders>
            <w:shd w:val="clear" w:color="auto" w:fill="auto"/>
            <w:noWrap/>
            <w:vAlign w:val="bottom"/>
            <w:hideMark/>
          </w:tcPr>
          <w:p w14:paraId="4ED430D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w:t>
            </w:r>
          </w:p>
        </w:tc>
        <w:tc>
          <w:tcPr>
            <w:tcW w:w="552" w:type="pct"/>
            <w:tcBorders>
              <w:top w:val="single" w:sz="4" w:space="0" w:color="95B3D7"/>
              <w:left w:val="nil"/>
              <w:bottom w:val="single" w:sz="4" w:space="0" w:color="95B3D7"/>
              <w:right w:val="nil"/>
            </w:tcBorders>
            <w:shd w:val="clear" w:color="auto" w:fill="auto"/>
            <w:noWrap/>
            <w:vAlign w:val="bottom"/>
            <w:hideMark/>
          </w:tcPr>
          <w:p w14:paraId="3D61DB9B"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w:t>
            </w:r>
          </w:p>
        </w:tc>
        <w:tc>
          <w:tcPr>
            <w:tcW w:w="552" w:type="pct"/>
            <w:tcBorders>
              <w:top w:val="single" w:sz="4" w:space="0" w:color="95B3D7"/>
              <w:left w:val="nil"/>
              <w:bottom w:val="single" w:sz="4" w:space="0" w:color="95B3D7"/>
              <w:right w:val="nil"/>
            </w:tcBorders>
            <w:shd w:val="clear" w:color="auto" w:fill="auto"/>
            <w:noWrap/>
            <w:vAlign w:val="bottom"/>
            <w:hideMark/>
          </w:tcPr>
          <w:p w14:paraId="6E3291B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250BF89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w:t>
            </w:r>
          </w:p>
        </w:tc>
      </w:tr>
      <w:tr w:rsidR="009D7419" w:rsidRPr="007F103F" w14:paraId="0ADB2063"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4C7FFBF8"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Non-Cash items</w:t>
            </w:r>
          </w:p>
        </w:tc>
        <w:tc>
          <w:tcPr>
            <w:tcW w:w="552" w:type="pct"/>
            <w:tcBorders>
              <w:top w:val="single" w:sz="4" w:space="0" w:color="95B3D7"/>
              <w:left w:val="nil"/>
              <w:bottom w:val="single" w:sz="4" w:space="0" w:color="95B3D7"/>
              <w:right w:val="nil"/>
            </w:tcBorders>
            <w:shd w:val="clear" w:color="DCE6F1" w:fill="DCE6F1"/>
            <w:noWrap/>
            <w:vAlign w:val="bottom"/>
            <w:hideMark/>
          </w:tcPr>
          <w:p w14:paraId="64F22FA2"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-10</w:t>
            </w:r>
          </w:p>
        </w:tc>
        <w:tc>
          <w:tcPr>
            <w:tcW w:w="552" w:type="pct"/>
            <w:tcBorders>
              <w:top w:val="single" w:sz="4" w:space="0" w:color="95B3D7"/>
              <w:left w:val="nil"/>
              <w:bottom w:val="single" w:sz="4" w:space="0" w:color="95B3D7"/>
              <w:right w:val="nil"/>
            </w:tcBorders>
            <w:shd w:val="clear" w:color="DCE6F1" w:fill="DCE6F1"/>
            <w:noWrap/>
            <w:vAlign w:val="bottom"/>
            <w:hideMark/>
          </w:tcPr>
          <w:p w14:paraId="3A1A523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5.9</w:t>
            </w:r>
          </w:p>
        </w:tc>
        <w:tc>
          <w:tcPr>
            <w:tcW w:w="552" w:type="pct"/>
            <w:tcBorders>
              <w:top w:val="single" w:sz="4" w:space="0" w:color="95B3D7"/>
              <w:left w:val="nil"/>
              <w:bottom w:val="single" w:sz="4" w:space="0" w:color="95B3D7"/>
              <w:right w:val="nil"/>
            </w:tcBorders>
            <w:shd w:val="clear" w:color="DCE6F1" w:fill="DCE6F1"/>
            <w:noWrap/>
            <w:vAlign w:val="bottom"/>
            <w:hideMark/>
          </w:tcPr>
          <w:p w14:paraId="1ECFCA5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w:t>
            </w:r>
          </w:p>
        </w:tc>
        <w:tc>
          <w:tcPr>
            <w:tcW w:w="552" w:type="pct"/>
            <w:tcBorders>
              <w:top w:val="single" w:sz="4" w:space="0" w:color="95B3D7"/>
              <w:left w:val="nil"/>
              <w:bottom w:val="single" w:sz="4" w:space="0" w:color="95B3D7"/>
              <w:right w:val="nil"/>
            </w:tcBorders>
            <w:shd w:val="clear" w:color="DCE6F1" w:fill="DCE6F1"/>
            <w:noWrap/>
            <w:vAlign w:val="bottom"/>
            <w:hideMark/>
          </w:tcPr>
          <w:p w14:paraId="2492295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-7.6</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16490896"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-25</w:t>
            </w:r>
          </w:p>
        </w:tc>
      </w:tr>
      <w:tr w:rsidR="009D7419" w:rsidRPr="007F103F" w14:paraId="4F33670F"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13762ACB"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Cash taxes paid, supplemental</w:t>
            </w:r>
          </w:p>
        </w:tc>
        <w:tc>
          <w:tcPr>
            <w:tcW w:w="552" w:type="pct"/>
            <w:tcBorders>
              <w:top w:val="single" w:sz="4" w:space="0" w:color="95B3D7"/>
              <w:left w:val="nil"/>
              <w:bottom w:val="single" w:sz="4" w:space="0" w:color="95B3D7"/>
              <w:right w:val="nil"/>
            </w:tcBorders>
            <w:shd w:val="clear" w:color="auto" w:fill="auto"/>
            <w:noWrap/>
            <w:vAlign w:val="bottom"/>
            <w:hideMark/>
          </w:tcPr>
          <w:p w14:paraId="3754636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186</w:t>
            </w:r>
          </w:p>
        </w:tc>
        <w:tc>
          <w:tcPr>
            <w:tcW w:w="552" w:type="pct"/>
            <w:tcBorders>
              <w:top w:val="single" w:sz="4" w:space="0" w:color="95B3D7"/>
              <w:left w:val="nil"/>
              <w:bottom w:val="single" w:sz="4" w:space="0" w:color="95B3D7"/>
              <w:right w:val="nil"/>
            </w:tcBorders>
            <w:shd w:val="clear" w:color="auto" w:fill="auto"/>
            <w:noWrap/>
            <w:vAlign w:val="bottom"/>
            <w:hideMark/>
          </w:tcPr>
          <w:p w14:paraId="3B75F5A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130</w:t>
            </w:r>
          </w:p>
        </w:tc>
        <w:tc>
          <w:tcPr>
            <w:tcW w:w="552" w:type="pct"/>
            <w:tcBorders>
              <w:top w:val="single" w:sz="4" w:space="0" w:color="95B3D7"/>
              <w:left w:val="nil"/>
              <w:bottom w:val="single" w:sz="4" w:space="0" w:color="95B3D7"/>
              <w:right w:val="nil"/>
            </w:tcBorders>
            <w:shd w:val="clear" w:color="auto" w:fill="auto"/>
            <w:noWrap/>
            <w:vAlign w:val="bottom"/>
            <w:hideMark/>
          </w:tcPr>
          <w:p w14:paraId="375CF67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144</w:t>
            </w:r>
          </w:p>
        </w:tc>
        <w:tc>
          <w:tcPr>
            <w:tcW w:w="552" w:type="pct"/>
            <w:tcBorders>
              <w:top w:val="single" w:sz="4" w:space="0" w:color="95B3D7"/>
              <w:left w:val="nil"/>
              <w:bottom w:val="single" w:sz="4" w:space="0" w:color="95B3D7"/>
              <w:right w:val="nil"/>
            </w:tcBorders>
            <w:shd w:val="clear" w:color="auto" w:fill="auto"/>
            <w:noWrap/>
            <w:vAlign w:val="bottom"/>
            <w:hideMark/>
          </w:tcPr>
          <w:p w14:paraId="0467BF9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187</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1B2E02F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160</w:t>
            </w:r>
          </w:p>
        </w:tc>
      </w:tr>
      <w:tr w:rsidR="009D7419" w:rsidRPr="007F103F" w14:paraId="1AB1B124"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02059B4C"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Cash interest paid, supplemental</w:t>
            </w:r>
          </w:p>
        </w:tc>
        <w:tc>
          <w:tcPr>
            <w:tcW w:w="552" w:type="pct"/>
            <w:tcBorders>
              <w:top w:val="single" w:sz="4" w:space="0" w:color="95B3D7"/>
              <w:left w:val="nil"/>
              <w:bottom w:val="single" w:sz="4" w:space="0" w:color="95B3D7"/>
              <w:right w:val="nil"/>
            </w:tcBorders>
            <w:shd w:val="clear" w:color="DCE6F1" w:fill="DCE6F1"/>
            <w:noWrap/>
            <w:vAlign w:val="bottom"/>
            <w:hideMark/>
          </w:tcPr>
          <w:p w14:paraId="2C2354DA"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10</w:t>
            </w:r>
          </w:p>
        </w:tc>
        <w:tc>
          <w:tcPr>
            <w:tcW w:w="552" w:type="pct"/>
            <w:tcBorders>
              <w:top w:val="single" w:sz="4" w:space="0" w:color="95B3D7"/>
              <w:left w:val="nil"/>
              <w:bottom w:val="single" w:sz="4" w:space="0" w:color="95B3D7"/>
              <w:right w:val="nil"/>
            </w:tcBorders>
            <w:shd w:val="clear" w:color="DCE6F1" w:fill="DCE6F1"/>
            <w:noWrap/>
            <w:vAlign w:val="bottom"/>
            <w:hideMark/>
          </w:tcPr>
          <w:p w14:paraId="627B096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w:t>
            </w:r>
          </w:p>
        </w:tc>
        <w:tc>
          <w:tcPr>
            <w:tcW w:w="552" w:type="pct"/>
            <w:tcBorders>
              <w:top w:val="single" w:sz="4" w:space="0" w:color="95B3D7"/>
              <w:left w:val="nil"/>
              <w:bottom w:val="single" w:sz="4" w:space="0" w:color="95B3D7"/>
              <w:right w:val="nil"/>
            </w:tcBorders>
            <w:shd w:val="clear" w:color="DCE6F1" w:fill="DCE6F1"/>
            <w:noWrap/>
            <w:vAlign w:val="bottom"/>
            <w:hideMark/>
          </w:tcPr>
          <w:p w14:paraId="2524E64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w:t>
            </w:r>
          </w:p>
        </w:tc>
        <w:tc>
          <w:tcPr>
            <w:tcW w:w="552" w:type="pct"/>
            <w:tcBorders>
              <w:top w:val="single" w:sz="4" w:space="0" w:color="95B3D7"/>
              <w:left w:val="nil"/>
              <w:bottom w:val="single" w:sz="4" w:space="0" w:color="95B3D7"/>
              <w:right w:val="nil"/>
            </w:tcBorders>
            <w:shd w:val="clear" w:color="DCE6F1" w:fill="DCE6F1"/>
            <w:noWrap/>
            <w:vAlign w:val="bottom"/>
            <w:hideMark/>
          </w:tcPr>
          <w:p w14:paraId="13A3D3B2"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0EFCFE3A"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w:t>
            </w:r>
          </w:p>
        </w:tc>
      </w:tr>
      <w:tr w:rsidR="009D7419" w:rsidRPr="007F103F" w14:paraId="4BCE3A03"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2DE58327"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Changes in working capital</w:t>
            </w:r>
          </w:p>
        </w:tc>
        <w:tc>
          <w:tcPr>
            <w:tcW w:w="552" w:type="pct"/>
            <w:tcBorders>
              <w:top w:val="single" w:sz="4" w:space="0" w:color="95B3D7"/>
              <w:left w:val="nil"/>
              <w:bottom w:val="single" w:sz="4" w:space="0" w:color="95B3D7"/>
              <w:right w:val="nil"/>
            </w:tcBorders>
            <w:shd w:val="clear" w:color="auto" w:fill="auto"/>
            <w:noWrap/>
            <w:vAlign w:val="bottom"/>
            <w:hideMark/>
          </w:tcPr>
          <w:p w14:paraId="58E5372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-261</w:t>
            </w:r>
          </w:p>
        </w:tc>
        <w:tc>
          <w:tcPr>
            <w:tcW w:w="552" w:type="pct"/>
            <w:tcBorders>
              <w:top w:val="single" w:sz="4" w:space="0" w:color="95B3D7"/>
              <w:left w:val="nil"/>
              <w:bottom w:val="single" w:sz="4" w:space="0" w:color="95B3D7"/>
              <w:right w:val="nil"/>
            </w:tcBorders>
            <w:shd w:val="clear" w:color="auto" w:fill="auto"/>
            <w:noWrap/>
            <w:vAlign w:val="bottom"/>
            <w:hideMark/>
          </w:tcPr>
          <w:p w14:paraId="6C82822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-258</w:t>
            </w:r>
          </w:p>
        </w:tc>
        <w:tc>
          <w:tcPr>
            <w:tcW w:w="552" w:type="pct"/>
            <w:tcBorders>
              <w:top w:val="single" w:sz="4" w:space="0" w:color="95B3D7"/>
              <w:left w:val="nil"/>
              <w:bottom w:val="single" w:sz="4" w:space="0" w:color="95B3D7"/>
              <w:right w:val="nil"/>
            </w:tcBorders>
            <w:shd w:val="clear" w:color="auto" w:fill="auto"/>
            <w:noWrap/>
            <w:vAlign w:val="bottom"/>
            <w:hideMark/>
          </w:tcPr>
          <w:p w14:paraId="65C8E77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253</w:t>
            </w:r>
          </w:p>
        </w:tc>
        <w:tc>
          <w:tcPr>
            <w:tcW w:w="552" w:type="pct"/>
            <w:tcBorders>
              <w:top w:val="single" w:sz="4" w:space="0" w:color="95B3D7"/>
              <w:left w:val="nil"/>
              <w:bottom w:val="single" w:sz="4" w:space="0" w:color="95B3D7"/>
              <w:right w:val="nil"/>
            </w:tcBorders>
            <w:shd w:val="clear" w:color="auto" w:fill="auto"/>
            <w:noWrap/>
            <w:vAlign w:val="bottom"/>
            <w:hideMark/>
          </w:tcPr>
          <w:p w14:paraId="6764A87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-627</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1B9F5D62"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-519</w:t>
            </w:r>
          </w:p>
        </w:tc>
      </w:tr>
      <w:tr w:rsidR="009D7419" w:rsidRPr="007F103F" w14:paraId="7F703B25"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419474E2"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Total cash from operations</w:t>
            </w:r>
          </w:p>
        </w:tc>
        <w:tc>
          <w:tcPr>
            <w:tcW w:w="552" w:type="pct"/>
            <w:tcBorders>
              <w:top w:val="single" w:sz="4" w:space="0" w:color="95B3D7"/>
              <w:left w:val="nil"/>
              <w:bottom w:val="single" w:sz="4" w:space="0" w:color="95B3D7"/>
              <w:right w:val="nil"/>
            </w:tcBorders>
            <w:shd w:val="clear" w:color="DCE6F1" w:fill="DCE6F1"/>
            <w:noWrap/>
            <w:vAlign w:val="bottom"/>
            <w:hideMark/>
          </w:tcPr>
          <w:p w14:paraId="7754DC3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466</w:t>
            </w:r>
          </w:p>
        </w:tc>
        <w:tc>
          <w:tcPr>
            <w:tcW w:w="552" w:type="pct"/>
            <w:tcBorders>
              <w:top w:val="single" w:sz="4" w:space="0" w:color="95B3D7"/>
              <w:left w:val="nil"/>
              <w:bottom w:val="single" w:sz="4" w:space="0" w:color="95B3D7"/>
              <w:right w:val="nil"/>
            </w:tcBorders>
            <w:shd w:val="clear" w:color="DCE6F1" w:fill="DCE6F1"/>
            <w:noWrap/>
            <w:vAlign w:val="bottom"/>
            <w:hideMark/>
          </w:tcPr>
          <w:p w14:paraId="0D91FDB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418</w:t>
            </w:r>
          </w:p>
        </w:tc>
        <w:tc>
          <w:tcPr>
            <w:tcW w:w="552" w:type="pct"/>
            <w:tcBorders>
              <w:top w:val="single" w:sz="4" w:space="0" w:color="95B3D7"/>
              <w:left w:val="nil"/>
              <w:bottom w:val="single" w:sz="4" w:space="0" w:color="95B3D7"/>
              <w:right w:val="nil"/>
            </w:tcBorders>
            <w:shd w:val="clear" w:color="DCE6F1" w:fill="DCE6F1"/>
            <w:noWrap/>
            <w:vAlign w:val="bottom"/>
            <w:hideMark/>
          </w:tcPr>
          <w:p w14:paraId="34BED1C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1,082</w:t>
            </w:r>
          </w:p>
        </w:tc>
        <w:tc>
          <w:tcPr>
            <w:tcW w:w="552" w:type="pct"/>
            <w:tcBorders>
              <w:top w:val="single" w:sz="4" w:space="0" w:color="95B3D7"/>
              <w:left w:val="nil"/>
              <w:bottom w:val="single" w:sz="4" w:space="0" w:color="95B3D7"/>
              <w:right w:val="nil"/>
            </w:tcBorders>
            <w:shd w:val="clear" w:color="DCE6F1" w:fill="DCE6F1"/>
            <w:noWrap/>
            <w:vAlign w:val="bottom"/>
            <w:hideMark/>
          </w:tcPr>
          <w:p w14:paraId="1783CFD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-121</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36CA06B6"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361</w:t>
            </w:r>
          </w:p>
        </w:tc>
      </w:tr>
      <w:tr w:rsidR="009D7419" w:rsidRPr="007F103F" w14:paraId="5DBCE4B6"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0F9A0224"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INVESTING</w:t>
            </w:r>
          </w:p>
        </w:tc>
        <w:tc>
          <w:tcPr>
            <w:tcW w:w="552" w:type="pct"/>
            <w:tcBorders>
              <w:top w:val="single" w:sz="4" w:space="0" w:color="95B3D7"/>
              <w:left w:val="nil"/>
              <w:bottom w:val="single" w:sz="4" w:space="0" w:color="95B3D7"/>
              <w:right w:val="nil"/>
            </w:tcBorders>
            <w:shd w:val="clear" w:color="auto" w:fill="auto"/>
            <w:noWrap/>
            <w:vAlign w:val="bottom"/>
            <w:hideMark/>
          </w:tcPr>
          <w:p w14:paraId="2250D0C2"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1165665D"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7A14C6FD"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0A22C383"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72B325C5"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167EEC69"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329EF48F"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Capital expenditures</w:t>
            </w:r>
          </w:p>
        </w:tc>
        <w:tc>
          <w:tcPr>
            <w:tcW w:w="552" w:type="pct"/>
            <w:tcBorders>
              <w:top w:val="single" w:sz="4" w:space="0" w:color="95B3D7"/>
              <w:left w:val="nil"/>
              <w:bottom w:val="single" w:sz="4" w:space="0" w:color="95B3D7"/>
              <w:right w:val="nil"/>
            </w:tcBorders>
            <w:shd w:val="clear" w:color="DCE6F1" w:fill="DCE6F1"/>
            <w:noWrap/>
            <w:vAlign w:val="bottom"/>
            <w:hideMark/>
          </w:tcPr>
          <w:p w14:paraId="1718CEA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-23</w:t>
            </w:r>
          </w:p>
        </w:tc>
        <w:tc>
          <w:tcPr>
            <w:tcW w:w="552" w:type="pct"/>
            <w:tcBorders>
              <w:top w:val="single" w:sz="4" w:space="0" w:color="95B3D7"/>
              <w:left w:val="nil"/>
              <w:bottom w:val="single" w:sz="4" w:space="0" w:color="95B3D7"/>
              <w:right w:val="nil"/>
            </w:tcBorders>
            <w:shd w:val="clear" w:color="DCE6F1" w:fill="DCE6F1"/>
            <w:noWrap/>
            <w:vAlign w:val="bottom"/>
            <w:hideMark/>
          </w:tcPr>
          <w:p w14:paraId="2DBC485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-30</w:t>
            </w:r>
          </w:p>
        </w:tc>
        <w:tc>
          <w:tcPr>
            <w:tcW w:w="552" w:type="pct"/>
            <w:tcBorders>
              <w:top w:val="single" w:sz="4" w:space="0" w:color="95B3D7"/>
              <w:left w:val="nil"/>
              <w:bottom w:val="single" w:sz="4" w:space="0" w:color="95B3D7"/>
              <w:right w:val="nil"/>
            </w:tcBorders>
            <w:shd w:val="clear" w:color="DCE6F1" w:fill="DCE6F1"/>
            <w:noWrap/>
            <w:vAlign w:val="bottom"/>
            <w:hideMark/>
          </w:tcPr>
          <w:p w14:paraId="2B30E902"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-7.2</w:t>
            </w:r>
          </w:p>
        </w:tc>
        <w:tc>
          <w:tcPr>
            <w:tcW w:w="552" w:type="pct"/>
            <w:tcBorders>
              <w:top w:val="single" w:sz="4" w:space="0" w:color="95B3D7"/>
              <w:left w:val="nil"/>
              <w:bottom w:val="single" w:sz="4" w:space="0" w:color="95B3D7"/>
              <w:right w:val="nil"/>
            </w:tcBorders>
            <w:shd w:val="clear" w:color="DCE6F1" w:fill="DCE6F1"/>
            <w:noWrap/>
            <w:vAlign w:val="bottom"/>
            <w:hideMark/>
          </w:tcPr>
          <w:p w14:paraId="0E67C7A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-7.5</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3E63D21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-7.2</w:t>
            </w:r>
          </w:p>
        </w:tc>
      </w:tr>
      <w:tr w:rsidR="009D7419" w:rsidRPr="007F103F" w14:paraId="440049C1"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1E4032E4"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Other investing and cash flow items, total</w:t>
            </w:r>
          </w:p>
        </w:tc>
        <w:tc>
          <w:tcPr>
            <w:tcW w:w="552" w:type="pct"/>
            <w:tcBorders>
              <w:top w:val="single" w:sz="4" w:space="0" w:color="95B3D7"/>
              <w:left w:val="nil"/>
              <w:bottom w:val="single" w:sz="4" w:space="0" w:color="95B3D7"/>
              <w:right w:val="nil"/>
            </w:tcBorders>
            <w:shd w:val="clear" w:color="auto" w:fill="auto"/>
            <w:noWrap/>
            <w:vAlign w:val="bottom"/>
            <w:hideMark/>
          </w:tcPr>
          <w:p w14:paraId="1FED17E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79</w:t>
            </w:r>
          </w:p>
        </w:tc>
        <w:tc>
          <w:tcPr>
            <w:tcW w:w="552" w:type="pct"/>
            <w:tcBorders>
              <w:top w:val="single" w:sz="4" w:space="0" w:color="95B3D7"/>
              <w:left w:val="nil"/>
              <w:bottom w:val="single" w:sz="4" w:space="0" w:color="95B3D7"/>
              <w:right w:val="nil"/>
            </w:tcBorders>
            <w:shd w:val="clear" w:color="auto" w:fill="auto"/>
            <w:noWrap/>
            <w:vAlign w:val="bottom"/>
            <w:hideMark/>
          </w:tcPr>
          <w:p w14:paraId="65BA4F1B"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-193</w:t>
            </w:r>
          </w:p>
        </w:tc>
        <w:tc>
          <w:tcPr>
            <w:tcW w:w="552" w:type="pct"/>
            <w:tcBorders>
              <w:top w:val="single" w:sz="4" w:space="0" w:color="95B3D7"/>
              <w:left w:val="nil"/>
              <w:bottom w:val="single" w:sz="4" w:space="0" w:color="95B3D7"/>
              <w:right w:val="nil"/>
            </w:tcBorders>
            <w:shd w:val="clear" w:color="auto" w:fill="auto"/>
            <w:noWrap/>
            <w:vAlign w:val="bottom"/>
            <w:hideMark/>
          </w:tcPr>
          <w:p w14:paraId="3779B16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21</w:t>
            </w:r>
          </w:p>
        </w:tc>
        <w:tc>
          <w:tcPr>
            <w:tcW w:w="552" w:type="pct"/>
            <w:tcBorders>
              <w:top w:val="single" w:sz="4" w:space="0" w:color="95B3D7"/>
              <w:left w:val="nil"/>
              <w:bottom w:val="single" w:sz="4" w:space="0" w:color="95B3D7"/>
              <w:right w:val="nil"/>
            </w:tcBorders>
            <w:shd w:val="clear" w:color="auto" w:fill="auto"/>
            <w:noWrap/>
            <w:vAlign w:val="bottom"/>
            <w:hideMark/>
          </w:tcPr>
          <w:p w14:paraId="52967F4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69</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729E752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89</w:t>
            </w:r>
          </w:p>
        </w:tc>
      </w:tr>
      <w:tr w:rsidR="009D7419" w:rsidRPr="007F103F" w14:paraId="5452B542"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5A1A5823"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Total cash from investing</w:t>
            </w:r>
          </w:p>
        </w:tc>
        <w:tc>
          <w:tcPr>
            <w:tcW w:w="552" w:type="pct"/>
            <w:tcBorders>
              <w:top w:val="single" w:sz="4" w:space="0" w:color="95B3D7"/>
              <w:left w:val="nil"/>
              <w:bottom w:val="single" w:sz="4" w:space="0" w:color="95B3D7"/>
              <w:right w:val="nil"/>
            </w:tcBorders>
            <w:shd w:val="clear" w:color="DCE6F1" w:fill="DCE6F1"/>
            <w:noWrap/>
            <w:vAlign w:val="bottom"/>
            <w:hideMark/>
          </w:tcPr>
          <w:p w14:paraId="3FB42D8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55</w:t>
            </w:r>
          </w:p>
        </w:tc>
        <w:tc>
          <w:tcPr>
            <w:tcW w:w="552" w:type="pct"/>
            <w:tcBorders>
              <w:top w:val="single" w:sz="4" w:space="0" w:color="95B3D7"/>
              <w:left w:val="nil"/>
              <w:bottom w:val="single" w:sz="4" w:space="0" w:color="95B3D7"/>
              <w:right w:val="nil"/>
            </w:tcBorders>
            <w:shd w:val="clear" w:color="DCE6F1" w:fill="DCE6F1"/>
            <w:noWrap/>
            <w:vAlign w:val="bottom"/>
            <w:hideMark/>
          </w:tcPr>
          <w:p w14:paraId="7E44573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-222</w:t>
            </w:r>
          </w:p>
        </w:tc>
        <w:tc>
          <w:tcPr>
            <w:tcW w:w="552" w:type="pct"/>
            <w:tcBorders>
              <w:top w:val="single" w:sz="4" w:space="0" w:color="95B3D7"/>
              <w:left w:val="nil"/>
              <w:bottom w:val="single" w:sz="4" w:space="0" w:color="95B3D7"/>
              <w:right w:val="nil"/>
            </w:tcBorders>
            <w:shd w:val="clear" w:color="DCE6F1" w:fill="DCE6F1"/>
            <w:noWrap/>
            <w:vAlign w:val="bottom"/>
            <w:hideMark/>
          </w:tcPr>
          <w:p w14:paraId="1ED2760E"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14</w:t>
            </w:r>
          </w:p>
        </w:tc>
        <w:tc>
          <w:tcPr>
            <w:tcW w:w="552" w:type="pct"/>
            <w:tcBorders>
              <w:top w:val="single" w:sz="4" w:space="0" w:color="95B3D7"/>
              <w:left w:val="nil"/>
              <w:bottom w:val="single" w:sz="4" w:space="0" w:color="95B3D7"/>
              <w:right w:val="nil"/>
            </w:tcBorders>
            <w:shd w:val="clear" w:color="DCE6F1" w:fill="DCE6F1"/>
            <w:noWrap/>
            <w:vAlign w:val="bottom"/>
            <w:hideMark/>
          </w:tcPr>
          <w:p w14:paraId="0B07BCD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61</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42E4886E"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82</w:t>
            </w:r>
          </w:p>
        </w:tc>
      </w:tr>
      <w:tr w:rsidR="009D7419" w:rsidRPr="007F103F" w14:paraId="1BD100FE"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040081E4"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FINANCING</w:t>
            </w:r>
          </w:p>
        </w:tc>
        <w:tc>
          <w:tcPr>
            <w:tcW w:w="552" w:type="pct"/>
            <w:tcBorders>
              <w:top w:val="single" w:sz="4" w:space="0" w:color="95B3D7"/>
              <w:left w:val="nil"/>
              <w:bottom w:val="single" w:sz="4" w:space="0" w:color="95B3D7"/>
              <w:right w:val="nil"/>
            </w:tcBorders>
            <w:shd w:val="clear" w:color="auto" w:fill="auto"/>
            <w:noWrap/>
            <w:vAlign w:val="bottom"/>
            <w:hideMark/>
          </w:tcPr>
          <w:p w14:paraId="2283C44C"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340E617D"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26BED5FF"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02246C76"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4A618FA8"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3DD6911C"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3C1FDC67"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Financing cash flow items</w:t>
            </w:r>
          </w:p>
        </w:tc>
        <w:tc>
          <w:tcPr>
            <w:tcW w:w="552" w:type="pct"/>
            <w:tcBorders>
              <w:top w:val="single" w:sz="4" w:space="0" w:color="95B3D7"/>
              <w:left w:val="nil"/>
              <w:bottom w:val="single" w:sz="4" w:space="0" w:color="95B3D7"/>
              <w:right w:val="nil"/>
            </w:tcBorders>
            <w:shd w:val="clear" w:color="DCE6F1" w:fill="DCE6F1"/>
            <w:noWrap/>
            <w:vAlign w:val="bottom"/>
            <w:hideMark/>
          </w:tcPr>
          <w:p w14:paraId="2D5723E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-0.3</w:t>
            </w:r>
          </w:p>
        </w:tc>
        <w:tc>
          <w:tcPr>
            <w:tcW w:w="552" w:type="pct"/>
            <w:tcBorders>
              <w:top w:val="single" w:sz="4" w:space="0" w:color="95B3D7"/>
              <w:left w:val="nil"/>
              <w:bottom w:val="single" w:sz="4" w:space="0" w:color="95B3D7"/>
              <w:right w:val="nil"/>
            </w:tcBorders>
            <w:shd w:val="clear" w:color="DCE6F1" w:fill="DCE6F1"/>
            <w:noWrap/>
            <w:vAlign w:val="bottom"/>
            <w:hideMark/>
          </w:tcPr>
          <w:p w14:paraId="030814A8"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-0.4</w:t>
            </w:r>
          </w:p>
        </w:tc>
        <w:tc>
          <w:tcPr>
            <w:tcW w:w="552" w:type="pct"/>
            <w:tcBorders>
              <w:top w:val="single" w:sz="4" w:space="0" w:color="95B3D7"/>
              <w:left w:val="nil"/>
              <w:bottom w:val="single" w:sz="4" w:space="0" w:color="95B3D7"/>
              <w:right w:val="nil"/>
            </w:tcBorders>
            <w:shd w:val="clear" w:color="DCE6F1" w:fill="DCE6F1"/>
            <w:noWrap/>
            <w:vAlign w:val="bottom"/>
            <w:hideMark/>
          </w:tcPr>
          <w:p w14:paraId="680D210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-0.6</w:t>
            </w:r>
          </w:p>
        </w:tc>
        <w:tc>
          <w:tcPr>
            <w:tcW w:w="552" w:type="pct"/>
            <w:tcBorders>
              <w:top w:val="single" w:sz="4" w:space="0" w:color="95B3D7"/>
              <w:left w:val="nil"/>
              <w:bottom w:val="single" w:sz="4" w:space="0" w:color="95B3D7"/>
              <w:right w:val="nil"/>
            </w:tcBorders>
            <w:shd w:val="clear" w:color="DCE6F1" w:fill="DCE6F1"/>
            <w:noWrap/>
            <w:vAlign w:val="bottom"/>
            <w:hideMark/>
          </w:tcPr>
          <w:p w14:paraId="5ABA26D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-8.5</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327140FA"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0</w:t>
            </w:r>
          </w:p>
        </w:tc>
      </w:tr>
      <w:tr w:rsidR="009D7419" w:rsidRPr="007F103F" w14:paraId="51AD172D"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6B89B44A"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Total cash dividends paid</w:t>
            </w:r>
          </w:p>
        </w:tc>
        <w:tc>
          <w:tcPr>
            <w:tcW w:w="552" w:type="pct"/>
            <w:tcBorders>
              <w:top w:val="single" w:sz="4" w:space="0" w:color="95B3D7"/>
              <w:left w:val="nil"/>
              <w:bottom w:val="single" w:sz="4" w:space="0" w:color="95B3D7"/>
              <w:right w:val="nil"/>
            </w:tcBorders>
            <w:shd w:val="clear" w:color="auto" w:fill="auto"/>
            <w:noWrap/>
            <w:vAlign w:val="bottom"/>
            <w:hideMark/>
          </w:tcPr>
          <w:p w14:paraId="1CD661E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-361</w:t>
            </w:r>
          </w:p>
        </w:tc>
        <w:tc>
          <w:tcPr>
            <w:tcW w:w="552" w:type="pct"/>
            <w:tcBorders>
              <w:top w:val="single" w:sz="4" w:space="0" w:color="95B3D7"/>
              <w:left w:val="nil"/>
              <w:bottom w:val="single" w:sz="4" w:space="0" w:color="95B3D7"/>
              <w:right w:val="nil"/>
            </w:tcBorders>
            <w:shd w:val="clear" w:color="auto" w:fill="auto"/>
            <w:noWrap/>
            <w:vAlign w:val="bottom"/>
            <w:hideMark/>
          </w:tcPr>
          <w:p w14:paraId="6776F83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-339</w:t>
            </w:r>
          </w:p>
        </w:tc>
        <w:tc>
          <w:tcPr>
            <w:tcW w:w="552" w:type="pct"/>
            <w:tcBorders>
              <w:top w:val="single" w:sz="4" w:space="0" w:color="95B3D7"/>
              <w:left w:val="nil"/>
              <w:bottom w:val="single" w:sz="4" w:space="0" w:color="95B3D7"/>
              <w:right w:val="nil"/>
            </w:tcBorders>
            <w:shd w:val="clear" w:color="auto" w:fill="auto"/>
            <w:noWrap/>
            <w:vAlign w:val="bottom"/>
            <w:hideMark/>
          </w:tcPr>
          <w:p w14:paraId="5A1C53C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-77</w:t>
            </w:r>
          </w:p>
        </w:tc>
        <w:tc>
          <w:tcPr>
            <w:tcW w:w="552" w:type="pct"/>
            <w:tcBorders>
              <w:top w:val="single" w:sz="4" w:space="0" w:color="95B3D7"/>
              <w:left w:val="nil"/>
              <w:bottom w:val="single" w:sz="4" w:space="0" w:color="95B3D7"/>
              <w:right w:val="nil"/>
            </w:tcBorders>
            <w:shd w:val="clear" w:color="auto" w:fill="auto"/>
            <w:noWrap/>
            <w:vAlign w:val="bottom"/>
            <w:hideMark/>
          </w:tcPr>
          <w:p w14:paraId="0BC5F8CB"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-374</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44E649E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-452</w:t>
            </w:r>
          </w:p>
        </w:tc>
      </w:tr>
      <w:tr w:rsidR="009D7419" w:rsidRPr="007F103F" w14:paraId="57854280"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785EFC66"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Issuance (retirement) of stock, net</w:t>
            </w:r>
          </w:p>
        </w:tc>
        <w:tc>
          <w:tcPr>
            <w:tcW w:w="552" w:type="pct"/>
            <w:tcBorders>
              <w:top w:val="single" w:sz="4" w:space="0" w:color="95B3D7"/>
              <w:left w:val="nil"/>
              <w:bottom w:val="single" w:sz="4" w:space="0" w:color="95B3D7"/>
              <w:right w:val="nil"/>
            </w:tcBorders>
            <w:shd w:val="clear" w:color="DCE6F1" w:fill="DCE6F1"/>
            <w:noWrap/>
            <w:vAlign w:val="bottom"/>
            <w:hideMark/>
          </w:tcPr>
          <w:p w14:paraId="6F05DA3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-215</w:t>
            </w:r>
          </w:p>
        </w:tc>
        <w:tc>
          <w:tcPr>
            <w:tcW w:w="552" w:type="pct"/>
            <w:tcBorders>
              <w:top w:val="single" w:sz="4" w:space="0" w:color="95B3D7"/>
              <w:left w:val="nil"/>
              <w:bottom w:val="single" w:sz="4" w:space="0" w:color="95B3D7"/>
              <w:right w:val="nil"/>
            </w:tcBorders>
            <w:shd w:val="clear" w:color="DCE6F1" w:fill="DCE6F1"/>
            <w:noWrap/>
            <w:vAlign w:val="bottom"/>
            <w:hideMark/>
          </w:tcPr>
          <w:p w14:paraId="4E90CE3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w:t>
            </w:r>
          </w:p>
        </w:tc>
        <w:tc>
          <w:tcPr>
            <w:tcW w:w="552" w:type="pct"/>
            <w:tcBorders>
              <w:top w:val="single" w:sz="4" w:space="0" w:color="95B3D7"/>
              <w:left w:val="nil"/>
              <w:bottom w:val="single" w:sz="4" w:space="0" w:color="95B3D7"/>
              <w:right w:val="nil"/>
            </w:tcBorders>
            <w:shd w:val="clear" w:color="DCE6F1" w:fill="DCE6F1"/>
            <w:noWrap/>
            <w:vAlign w:val="bottom"/>
            <w:hideMark/>
          </w:tcPr>
          <w:p w14:paraId="2442E46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8.1</w:t>
            </w:r>
          </w:p>
        </w:tc>
        <w:tc>
          <w:tcPr>
            <w:tcW w:w="552" w:type="pct"/>
            <w:tcBorders>
              <w:top w:val="single" w:sz="4" w:space="0" w:color="95B3D7"/>
              <w:left w:val="nil"/>
              <w:bottom w:val="single" w:sz="4" w:space="0" w:color="95B3D7"/>
              <w:right w:val="nil"/>
            </w:tcBorders>
            <w:shd w:val="clear" w:color="DCE6F1" w:fill="DCE6F1"/>
            <w:noWrap/>
            <w:vAlign w:val="bottom"/>
            <w:hideMark/>
          </w:tcPr>
          <w:p w14:paraId="3541ED09"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0.1</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3D2F380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-15</w:t>
            </w:r>
          </w:p>
        </w:tc>
      </w:tr>
      <w:tr w:rsidR="009D7419" w:rsidRPr="007F103F" w14:paraId="297CB038"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2E552029"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Issuance (retirement) of debt, net</w:t>
            </w:r>
          </w:p>
        </w:tc>
        <w:tc>
          <w:tcPr>
            <w:tcW w:w="552" w:type="pct"/>
            <w:tcBorders>
              <w:top w:val="single" w:sz="4" w:space="0" w:color="95B3D7"/>
              <w:left w:val="nil"/>
              <w:bottom w:val="single" w:sz="4" w:space="0" w:color="95B3D7"/>
              <w:right w:val="nil"/>
            </w:tcBorders>
            <w:shd w:val="clear" w:color="auto" w:fill="auto"/>
            <w:noWrap/>
            <w:vAlign w:val="bottom"/>
            <w:hideMark/>
          </w:tcPr>
          <w:p w14:paraId="12BFA1C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-14</w:t>
            </w:r>
          </w:p>
        </w:tc>
        <w:tc>
          <w:tcPr>
            <w:tcW w:w="552" w:type="pct"/>
            <w:tcBorders>
              <w:top w:val="single" w:sz="4" w:space="0" w:color="95B3D7"/>
              <w:left w:val="nil"/>
              <w:bottom w:val="single" w:sz="4" w:space="0" w:color="95B3D7"/>
              <w:right w:val="nil"/>
            </w:tcBorders>
            <w:shd w:val="clear" w:color="auto" w:fill="auto"/>
            <w:noWrap/>
            <w:vAlign w:val="bottom"/>
            <w:hideMark/>
          </w:tcPr>
          <w:p w14:paraId="5CAF3EAA"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w:t>
            </w:r>
          </w:p>
        </w:tc>
        <w:tc>
          <w:tcPr>
            <w:tcW w:w="552" w:type="pct"/>
            <w:tcBorders>
              <w:top w:val="single" w:sz="4" w:space="0" w:color="95B3D7"/>
              <w:left w:val="nil"/>
              <w:bottom w:val="single" w:sz="4" w:space="0" w:color="95B3D7"/>
              <w:right w:val="nil"/>
            </w:tcBorders>
            <w:shd w:val="clear" w:color="auto" w:fill="auto"/>
            <w:noWrap/>
            <w:vAlign w:val="bottom"/>
            <w:hideMark/>
          </w:tcPr>
          <w:p w14:paraId="4A03F00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-127</w:t>
            </w:r>
          </w:p>
        </w:tc>
        <w:tc>
          <w:tcPr>
            <w:tcW w:w="552" w:type="pct"/>
            <w:tcBorders>
              <w:top w:val="single" w:sz="4" w:space="0" w:color="95B3D7"/>
              <w:left w:val="nil"/>
              <w:bottom w:val="single" w:sz="4" w:space="0" w:color="95B3D7"/>
              <w:right w:val="nil"/>
            </w:tcBorders>
            <w:shd w:val="clear" w:color="auto" w:fill="auto"/>
            <w:noWrap/>
            <w:vAlign w:val="bottom"/>
            <w:hideMark/>
          </w:tcPr>
          <w:p w14:paraId="141B0D9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-74</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6CE5084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-16</w:t>
            </w:r>
          </w:p>
        </w:tc>
      </w:tr>
      <w:tr w:rsidR="009D7419" w:rsidRPr="007F103F" w14:paraId="35A97A95"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2F810F04"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Total cash from financing</w:t>
            </w:r>
          </w:p>
        </w:tc>
        <w:tc>
          <w:tcPr>
            <w:tcW w:w="552" w:type="pct"/>
            <w:tcBorders>
              <w:top w:val="single" w:sz="4" w:space="0" w:color="95B3D7"/>
              <w:left w:val="nil"/>
              <w:bottom w:val="single" w:sz="4" w:space="0" w:color="95B3D7"/>
              <w:right w:val="nil"/>
            </w:tcBorders>
            <w:shd w:val="clear" w:color="DCE6F1" w:fill="DCE6F1"/>
            <w:noWrap/>
            <w:vAlign w:val="bottom"/>
            <w:hideMark/>
          </w:tcPr>
          <w:p w14:paraId="0529C88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-591</w:t>
            </w:r>
          </w:p>
        </w:tc>
        <w:tc>
          <w:tcPr>
            <w:tcW w:w="552" w:type="pct"/>
            <w:tcBorders>
              <w:top w:val="single" w:sz="4" w:space="0" w:color="95B3D7"/>
              <w:left w:val="nil"/>
              <w:bottom w:val="single" w:sz="4" w:space="0" w:color="95B3D7"/>
              <w:right w:val="nil"/>
            </w:tcBorders>
            <w:shd w:val="clear" w:color="DCE6F1" w:fill="DCE6F1"/>
            <w:noWrap/>
            <w:vAlign w:val="bottom"/>
            <w:hideMark/>
          </w:tcPr>
          <w:p w14:paraId="2EFF704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-378</w:t>
            </w:r>
          </w:p>
        </w:tc>
        <w:tc>
          <w:tcPr>
            <w:tcW w:w="552" w:type="pct"/>
            <w:tcBorders>
              <w:top w:val="single" w:sz="4" w:space="0" w:color="95B3D7"/>
              <w:left w:val="nil"/>
              <w:bottom w:val="single" w:sz="4" w:space="0" w:color="95B3D7"/>
              <w:right w:val="nil"/>
            </w:tcBorders>
            <w:shd w:val="clear" w:color="DCE6F1" w:fill="DCE6F1"/>
            <w:noWrap/>
            <w:vAlign w:val="bottom"/>
            <w:hideMark/>
          </w:tcPr>
          <w:p w14:paraId="1882862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-197</w:t>
            </w:r>
          </w:p>
        </w:tc>
        <w:tc>
          <w:tcPr>
            <w:tcW w:w="552" w:type="pct"/>
            <w:tcBorders>
              <w:top w:val="single" w:sz="4" w:space="0" w:color="95B3D7"/>
              <w:left w:val="nil"/>
              <w:bottom w:val="single" w:sz="4" w:space="0" w:color="95B3D7"/>
              <w:right w:val="nil"/>
            </w:tcBorders>
            <w:shd w:val="clear" w:color="DCE6F1" w:fill="DCE6F1"/>
            <w:noWrap/>
            <w:vAlign w:val="bottom"/>
            <w:hideMark/>
          </w:tcPr>
          <w:p w14:paraId="6261F29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-456</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62A3816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-483</w:t>
            </w:r>
          </w:p>
        </w:tc>
      </w:tr>
      <w:tr w:rsidR="009D7419" w:rsidRPr="007F103F" w14:paraId="1E4057F7"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41D07840"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NET CHANGE IN CASH</w:t>
            </w:r>
          </w:p>
        </w:tc>
        <w:tc>
          <w:tcPr>
            <w:tcW w:w="552" w:type="pct"/>
            <w:tcBorders>
              <w:top w:val="single" w:sz="4" w:space="0" w:color="95B3D7"/>
              <w:left w:val="nil"/>
              <w:bottom w:val="single" w:sz="4" w:space="0" w:color="95B3D7"/>
              <w:right w:val="nil"/>
            </w:tcBorders>
            <w:shd w:val="clear" w:color="auto" w:fill="auto"/>
            <w:noWrap/>
            <w:vAlign w:val="bottom"/>
            <w:hideMark/>
          </w:tcPr>
          <w:p w14:paraId="75A20C15"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64B683DA"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48ED36B5"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auto" w:fill="auto"/>
            <w:noWrap/>
            <w:vAlign w:val="bottom"/>
            <w:hideMark/>
          </w:tcPr>
          <w:p w14:paraId="4F58A8E7"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17547605"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6F401BB6"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257B5069"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Foreign exchange effects</w:t>
            </w:r>
          </w:p>
        </w:tc>
        <w:tc>
          <w:tcPr>
            <w:tcW w:w="552" w:type="pct"/>
            <w:tcBorders>
              <w:top w:val="single" w:sz="4" w:space="0" w:color="95B3D7"/>
              <w:left w:val="nil"/>
              <w:bottom w:val="single" w:sz="4" w:space="0" w:color="95B3D7"/>
              <w:right w:val="nil"/>
            </w:tcBorders>
            <w:shd w:val="clear" w:color="DCE6F1" w:fill="DCE6F1"/>
            <w:noWrap/>
            <w:vAlign w:val="bottom"/>
            <w:hideMark/>
          </w:tcPr>
          <w:p w14:paraId="06C89009"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574A4C1C"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5856B9C5"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12218E1D"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2C55B651"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0AFA739A"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0974109A"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Net change in cash</w:t>
            </w:r>
          </w:p>
        </w:tc>
        <w:tc>
          <w:tcPr>
            <w:tcW w:w="552" w:type="pct"/>
            <w:tcBorders>
              <w:top w:val="single" w:sz="4" w:space="0" w:color="95B3D7"/>
              <w:left w:val="nil"/>
              <w:bottom w:val="single" w:sz="4" w:space="0" w:color="95B3D7"/>
              <w:right w:val="nil"/>
            </w:tcBorders>
            <w:shd w:val="clear" w:color="auto" w:fill="auto"/>
            <w:noWrap/>
            <w:vAlign w:val="bottom"/>
            <w:hideMark/>
          </w:tcPr>
          <w:p w14:paraId="44ADA49C"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-70</w:t>
            </w:r>
          </w:p>
        </w:tc>
        <w:tc>
          <w:tcPr>
            <w:tcW w:w="552" w:type="pct"/>
            <w:tcBorders>
              <w:top w:val="single" w:sz="4" w:space="0" w:color="95B3D7"/>
              <w:left w:val="nil"/>
              <w:bottom w:val="single" w:sz="4" w:space="0" w:color="95B3D7"/>
              <w:right w:val="nil"/>
            </w:tcBorders>
            <w:shd w:val="clear" w:color="auto" w:fill="auto"/>
            <w:noWrap/>
            <w:vAlign w:val="bottom"/>
            <w:hideMark/>
          </w:tcPr>
          <w:p w14:paraId="5490C52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-183</w:t>
            </w:r>
          </w:p>
        </w:tc>
        <w:tc>
          <w:tcPr>
            <w:tcW w:w="552" w:type="pct"/>
            <w:tcBorders>
              <w:top w:val="single" w:sz="4" w:space="0" w:color="95B3D7"/>
              <w:left w:val="nil"/>
              <w:bottom w:val="single" w:sz="4" w:space="0" w:color="95B3D7"/>
              <w:right w:val="nil"/>
            </w:tcBorders>
            <w:shd w:val="clear" w:color="auto" w:fill="auto"/>
            <w:noWrap/>
            <w:vAlign w:val="bottom"/>
            <w:hideMark/>
          </w:tcPr>
          <w:p w14:paraId="50E7F96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899</w:t>
            </w:r>
          </w:p>
        </w:tc>
        <w:tc>
          <w:tcPr>
            <w:tcW w:w="552" w:type="pct"/>
            <w:tcBorders>
              <w:top w:val="single" w:sz="4" w:space="0" w:color="95B3D7"/>
              <w:left w:val="nil"/>
              <w:bottom w:val="single" w:sz="4" w:space="0" w:color="95B3D7"/>
              <w:right w:val="nil"/>
            </w:tcBorders>
            <w:shd w:val="clear" w:color="auto" w:fill="auto"/>
            <w:noWrap/>
            <w:vAlign w:val="bottom"/>
            <w:hideMark/>
          </w:tcPr>
          <w:p w14:paraId="6E58B46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-516</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5C0D72D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-40</w:t>
            </w:r>
          </w:p>
        </w:tc>
      </w:tr>
      <w:tr w:rsidR="009D7419" w:rsidRPr="007F103F" w14:paraId="26C9ED8D"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45318CD9"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Net cash-begin balance/reserved for future use</w:t>
            </w:r>
          </w:p>
        </w:tc>
        <w:tc>
          <w:tcPr>
            <w:tcW w:w="552" w:type="pct"/>
            <w:tcBorders>
              <w:top w:val="single" w:sz="4" w:space="0" w:color="95B3D7"/>
              <w:left w:val="nil"/>
              <w:bottom w:val="single" w:sz="4" w:space="0" w:color="95B3D7"/>
              <w:right w:val="nil"/>
            </w:tcBorders>
            <w:shd w:val="clear" w:color="DCE6F1" w:fill="DCE6F1"/>
            <w:noWrap/>
            <w:vAlign w:val="bottom"/>
            <w:hideMark/>
          </w:tcPr>
          <w:p w14:paraId="18F539A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1,335</w:t>
            </w:r>
          </w:p>
        </w:tc>
        <w:tc>
          <w:tcPr>
            <w:tcW w:w="552" w:type="pct"/>
            <w:tcBorders>
              <w:top w:val="single" w:sz="4" w:space="0" w:color="95B3D7"/>
              <w:left w:val="nil"/>
              <w:bottom w:val="single" w:sz="4" w:space="0" w:color="95B3D7"/>
              <w:right w:val="nil"/>
            </w:tcBorders>
            <w:shd w:val="clear" w:color="DCE6F1" w:fill="DCE6F1"/>
            <w:noWrap/>
            <w:vAlign w:val="bottom"/>
            <w:hideMark/>
          </w:tcPr>
          <w:p w14:paraId="12B06BF8"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1,519</w:t>
            </w:r>
          </w:p>
        </w:tc>
        <w:tc>
          <w:tcPr>
            <w:tcW w:w="552" w:type="pct"/>
            <w:tcBorders>
              <w:top w:val="single" w:sz="4" w:space="0" w:color="95B3D7"/>
              <w:left w:val="nil"/>
              <w:bottom w:val="single" w:sz="4" w:space="0" w:color="95B3D7"/>
              <w:right w:val="nil"/>
            </w:tcBorders>
            <w:shd w:val="clear" w:color="DCE6F1" w:fill="DCE6F1"/>
            <w:noWrap/>
            <w:vAlign w:val="bottom"/>
            <w:hideMark/>
          </w:tcPr>
          <w:p w14:paraId="152ACF7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620</w:t>
            </w:r>
          </w:p>
        </w:tc>
        <w:tc>
          <w:tcPr>
            <w:tcW w:w="552" w:type="pct"/>
            <w:tcBorders>
              <w:top w:val="single" w:sz="4" w:space="0" w:color="95B3D7"/>
              <w:left w:val="nil"/>
              <w:bottom w:val="single" w:sz="4" w:space="0" w:color="95B3D7"/>
              <w:right w:val="nil"/>
            </w:tcBorders>
            <w:shd w:val="clear" w:color="DCE6F1" w:fill="DCE6F1"/>
            <w:noWrap/>
            <w:vAlign w:val="bottom"/>
            <w:hideMark/>
          </w:tcPr>
          <w:p w14:paraId="26655E1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1,136</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19D8A1F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1,176</w:t>
            </w:r>
          </w:p>
        </w:tc>
      </w:tr>
      <w:tr w:rsidR="009D7419" w:rsidRPr="007F103F" w14:paraId="0764D645"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2BAB00E2"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Net cash-end balance/reserved for future use</w:t>
            </w:r>
          </w:p>
        </w:tc>
        <w:tc>
          <w:tcPr>
            <w:tcW w:w="552" w:type="pct"/>
            <w:tcBorders>
              <w:top w:val="single" w:sz="4" w:space="0" w:color="95B3D7"/>
              <w:left w:val="nil"/>
              <w:bottom w:val="single" w:sz="4" w:space="0" w:color="95B3D7"/>
              <w:right w:val="nil"/>
            </w:tcBorders>
            <w:shd w:val="clear" w:color="auto" w:fill="auto"/>
            <w:noWrap/>
            <w:vAlign w:val="bottom"/>
            <w:hideMark/>
          </w:tcPr>
          <w:p w14:paraId="5A4D9C9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1,266</w:t>
            </w:r>
          </w:p>
        </w:tc>
        <w:tc>
          <w:tcPr>
            <w:tcW w:w="552" w:type="pct"/>
            <w:tcBorders>
              <w:top w:val="single" w:sz="4" w:space="0" w:color="95B3D7"/>
              <w:left w:val="nil"/>
              <w:bottom w:val="single" w:sz="4" w:space="0" w:color="95B3D7"/>
              <w:right w:val="nil"/>
            </w:tcBorders>
            <w:shd w:val="clear" w:color="auto" w:fill="auto"/>
            <w:noWrap/>
            <w:vAlign w:val="bottom"/>
            <w:hideMark/>
          </w:tcPr>
          <w:p w14:paraId="6E7D396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1,335</w:t>
            </w:r>
          </w:p>
        </w:tc>
        <w:tc>
          <w:tcPr>
            <w:tcW w:w="552" w:type="pct"/>
            <w:tcBorders>
              <w:top w:val="single" w:sz="4" w:space="0" w:color="95B3D7"/>
              <w:left w:val="nil"/>
              <w:bottom w:val="single" w:sz="4" w:space="0" w:color="95B3D7"/>
              <w:right w:val="nil"/>
            </w:tcBorders>
            <w:shd w:val="clear" w:color="auto" w:fill="auto"/>
            <w:noWrap/>
            <w:vAlign w:val="bottom"/>
            <w:hideMark/>
          </w:tcPr>
          <w:p w14:paraId="5510EC0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1,519</w:t>
            </w:r>
          </w:p>
        </w:tc>
        <w:tc>
          <w:tcPr>
            <w:tcW w:w="552" w:type="pct"/>
            <w:tcBorders>
              <w:top w:val="single" w:sz="4" w:space="0" w:color="95B3D7"/>
              <w:left w:val="nil"/>
              <w:bottom w:val="single" w:sz="4" w:space="0" w:color="95B3D7"/>
              <w:right w:val="nil"/>
            </w:tcBorders>
            <w:shd w:val="clear" w:color="auto" w:fill="auto"/>
            <w:noWrap/>
            <w:vAlign w:val="bottom"/>
            <w:hideMark/>
          </w:tcPr>
          <w:p w14:paraId="053AC14D"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620</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3A165FC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1,136</w:t>
            </w:r>
          </w:p>
        </w:tc>
      </w:tr>
      <w:tr w:rsidR="009D7419" w:rsidRPr="007F103F" w14:paraId="73296A64"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427CD667"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SUPPLEMENTAL INCOME</w:t>
            </w:r>
          </w:p>
        </w:tc>
        <w:tc>
          <w:tcPr>
            <w:tcW w:w="552" w:type="pct"/>
            <w:tcBorders>
              <w:top w:val="single" w:sz="4" w:space="0" w:color="95B3D7"/>
              <w:left w:val="nil"/>
              <w:bottom w:val="single" w:sz="4" w:space="0" w:color="95B3D7"/>
              <w:right w:val="nil"/>
            </w:tcBorders>
            <w:shd w:val="clear" w:color="DCE6F1" w:fill="DCE6F1"/>
            <w:noWrap/>
            <w:vAlign w:val="bottom"/>
            <w:hideMark/>
          </w:tcPr>
          <w:p w14:paraId="4A3A163E" w14:textId="77777777" w:rsidR="009D7419" w:rsidRPr="007F103F" w:rsidRDefault="009D7419" w:rsidP="00CD240D">
            <w:pPr>
              <w:spacing w:after="0" w:line="240" w:lineRule="auto"/>
              <w:rPr>
                <w:rFonts w:ascii="Arial" w:eastAsia="Times New Roman" w:hAnsi="Arial" w:cs="Arial"/>
                <w:color w:val="000000"/>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317426C9"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5000B3D3"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nil"/>
            </w:tcBorders>
            <w:shd w:val="clear" w:color="DCE6F1" w:fill="DCE6F1"/>
            <w:noWrap/>
            <w:vAlign w:val="bottom"/>
            <w:hideMark/>
          </w:tcPr>
          <w:p w14:paraId="45FF9871" w14:textId="77777777" w:rsidR="009D7419" w:rsidRPr="007F103F" w:rsidRDefault="009D7419" w:rsidP="00CD240D">
            <w:pPr>
              <w:spacing w:after="0" w:line="240" w:lineRule="auto"/>
              <w:rPr>
                <w:rFonts w:ascii="Times New Roman" w:eastAsia="Times New Roman" w:hAnsi="Times New Roman" w:cs="Times New Roman"/>
                <w:sz w:val="20"/>
                <w:szCs w:val="20"/>
              </w:rPr>
            </w:pP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79880B60" w14:textId="77777777" w:rsidR="009D7419" w:rsidRPr="007F103F" w:rsidRDefault="009D7419" w:rsidP="00CD240D">
            <w:pPr>
              <w:spacing w:after="0" w:line="240" w:lineRule="auto"/>
              <w:rPr>
                <w:rFonts w:ascii="Times New Roman" w:eastAsia="Times New Roman" w:hAnsi="Times New Roman" w:cs="Times New Roman"/>
                <w:sz w:val="20"/>
                <w:szCs w:val="20"/>
              </w:rPr>
            </w:pPr>
          </w:p>
        </w:tc>
      </w:tr>
      <w:tr w:rsidR="009D7419" w:rsidRPr="007F103F" w14:paraId="083B8C9F"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16E37CBC"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Depreciation, supplemental</w:t>
            </w:r>
          </w:p>
        </w:tc>
        <w:tc>
          <w:tcPr>
            <w:tcW w:w="552" w:type="pct"/>
            <w:tcBorders>
              <w:top w:val="single" w:sz="4" w:space="0" w:color="95B3D7"/>
              <w:left w:val="nil"/>
              <w:bottom w:val="single" w:sz="4" w:space="0" w:color="95B3D7"/>
              <w:right w:val="nil"/>
            </w:tcBorders>
            <w:shd w:val="clear" w:color="auto" w:fill="auto"/>
            <w:noWrap/>
            <w:vAlign w:val="bottom"/>
            <w:hideMark/>
          </w:tcPr>
          <w:p w14:paraId="3034FC42"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w:t>
            </w:r>
          </w:p>
        </w:tc>
        <w:tc>
          <w:tcPr>
            <w:tcW w:w="552" w:type="pct"/>
            <w:tcBorders>
              <w:top w:val="single" w:sz="4" w:space="0" w:color="95B3D7"/>
              <w:left w:val="nil"/>
              <w:bottom w:val="single" w:sz="4" w:space="0" w:color="95B3D7"/>
              <w:right w:val="nil"/>
            </w:tcBorders>
            <w:shd w:val="clear" w:color="auto" w:fill="auto"/>
            <w:noWrap/>
            <w:vAlign w:val="bottom"/>
            <w:hideMark/>
          </w:tcPr>
          <w:p w14:paraId="7BBE4026"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w:t>
            </w:r>
          </w:p>
        </w:tc>
        <w:tc>
          <w:tcPr>
            <w:tcW w:w="552" w:type="pct"/>
            <w:tcBorders>
              <w:top w:val="single" w:sz="4" w:space="0" w:color="95B3D7"/>
              <w:left w:val="nil"/>
              <w:bottom w:val="single" w:sz="4" w:space="0" w:color="95B3D7"/>
              <w:right w:val="nil"/>
            </w:tcBorders>
            <w:shd w:val="clear" w:color="auto" w:fill="auto"/>
            <w:noWrap/>
            <w:vAlign w:val="bottom"/>
            <w:hideMark/>
          </w:tcPr>
          <w:p w14:paraId="4CAFD948"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20</w:t>
            </w:r>
          </w:p>
        </w:tc>
        <w:tc>
          <w:tcPr>
            <w:tcW w:w="552" w:type="pct"/>
            <w:tcBorders>
              <w:top w:val="single" w:sz="4" w:space="0" w:color="95B3D7"/>
              <w:left w:val="nil"/>
              <w:bottom w:val="single" w:sz="4" w:space="0" w:color="95B3D7"/>
              <w:right w:val="nil"/>
            </w:tcBorders>
            <w:shd w:val="clear" w:color="auto" w:fill="auto"/>
            <w:noWrap/>
            <w:vAlign w:val="bottom"/>
            <w:hideMark/>
          </w:tcPr>
          <w:p w14:paraId="112F732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19</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64616A65"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4</w:t>
            </w:r>
          </w:p>
        </w:tc>
      </w:tr>
      <w:tr w:rsidR="009D7419" w:rsidRPr="007F103F" w14:paraId="15043B59"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DCE6F1" w:fill="DCE6F1"/>
            <w:noWrap/>
            <w:vAlign w:val="bottom"/>
            <w:hideMark/>
          </w:tcPr>
          <w:p w14:paraId="6F8E60C3"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Cash interest paid, supplemental</w:t>
            </w:r>
          </w:p>
        </w:tc>
        <w:tc>
          <w:tcPr>
            <w:tcW w:w="552" w:type="pct"/>
            <w:tcBorders>
              <w:top w:val="single" w:sz="4" w:space="0" w:color="95B3D7"/>
              <w:left w:val="nil"/>
              <w:bottom w:val="single" w:sz="4" w:space="0" w:color="95B3D7"/>
              <w:right w:val="nil"/>
            </w:tcBorders>
            <w:shd w:val="clear" w:color="DCE6F1" w:fill="DCE6F1"/>
            <w:noWrap/>
            <w:vAlign w:val="bottom"/>
            <w:hideMark/>
          </w:tcPr>
          <w:p w14:paraId="4423111A"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10</w:t>
            </w:r>
          </w:p>
        </w:tc>
        <w:tc>
          <w:tcPr>
            <w:tcW w:w="552" w:type="pct"/>
            <w:tcBorders>
              <w:top w:val="single" w:sz="4" w:space="0" w:color="95B3D7"/>
              <w:left w:val="nil"/>
              <w:bottom w:val="single" w:sz="4" w:space="0" w:color="95B3D7"/>
              <w:right w:val="nil"/>
            </w:tcBorders>
            <w:shd w:val="clear" w:color="DCE6F1" w:fill="DCE6F1"/>
            <w:noWrap/>
            <w:vAlign w:val="bottom"/>
            <w:hideMark/>
          </w:tcPr>
          <w:p w14:paraId="1053DA74"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w:t>
            </w:r>
          </w:p>
        </w:tc>
        <w:tc>
          <w:tcPr>
            <w:tcW w:w="552" w:type="pct"/>
            <w:tcBorders>
              <w:top w:val="single" w:sz="4" w:space="0" w:color="95B3D7"/>
              <w:left w:val="nil"/>
              <w:bottom w:val="single" w:sz="4" w:space="0" w:color="95B3D7"/>
              <w:right w:val="nil"/>
            </w:tcBorders>
            <w:shd w:val="clear" w:color="DCE6F1" w:fill="DCE6F1"/>
            <w:noWrap/>
            <w:vAlign w:val="bottom"/>
            <w:hideMark/>
          </w:tcPr>
          <w:p w14:paraId="7BF05CF8"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11</w:t>
            </w:r>
          </w:p>
        </w:tc>
        <w:tc>
          <w:tcPr>
            <w:tcW w:w="552" w:type="pct"/>
            <w:tcBorders>
              <w:top w:val="single" w:sz="4" w:space="0" w:color="95B3D7"/>
              <w:left w:val="nil"/>
              <w:bottom w:val="single" w:sz="4" w:space="0" w:color="95B3D7"/>
              <w:right w:val="nil"/>
            </w:tcBorders>
            <w:shd w:val="clear" w:color="DCE6F1" w:fill="DCE6F1"/>
            <w:noWrap/>
            <w:vAlign w:val="bottom"/>
            <w:hideMark/>
          </w:tcPr>
          <w:p w14:paraId="4F2B8536"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w:t>
            </w:r>
          </w:p>
        </w:tc>
        <w:tc>
          <w:tcPr>
            <w:tcW w:w="552" w:type="pct"/>
            <w:tcBorders>
              <w:top w:val="single" w:sz="4" w:space="0" w:color="95B3D7"/>
              <w:left w:val="nil"/>
              <w:bottom w:val="single" w:sz="4" w:space="0" w:color="95B3D7"/>
              <w:right w:val="single" w:sz="4" w:space="0" w:color="95B3D7"/>
            </w:tcBorders>
            <w:shd w:val="clear" w:color="DCE6F1" w:fill="DCE6F1"/>
            <w:noWrap/>
            <w:vAlign w:val="bottom"/>
            <w:hideMark/>
          </w:tcPr>
          <w:p w14:paraId="53A250D7"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12</w:t>
            </w:r>
          </w:p>
        </w:tc>
      </w:tr>
      <w:tr w:rsidR="009D7419" w:rsidRPr="007F103F" w14:paraId="7DCEF164" w14:textId="77777777" w:rsidTr="00CD240D">
        <w:trPr>
          <w:trHeight w:val="255"/>
        </w:trPr>
        <w:tc>
          <w:tcPr>
            <w:tcW w:w="2241" w:type="pct"/>
            <w:tcBorders>
              <w:top w:val="single" w:sz="4" w:space="0" w:color="95B3D7"/>
              <w:left w:val="single" w:sz="4" w:space="0" w:color="95B3D7"/>
              <w:bottom w:val="single" w:sz="4" w:space="0" w:color="95B3D7"/>
              <w:right w:val="nil"/>
            </w:tcBorders>
            <w:shd w:val="clear" w:color="auto" w:fill="auto"/>
            <w:noWrap/>
            <w:vAlign w:val="bottom"/>
            <w:hideMark/>
          </w:tcPr>
          <w:p w14:paraId="5E6586BE" w14:textId="77777777" w:rsidR="009D7419" w:rsidRPr="007F103F" w:rsidRDefault="009D7419" w:rsidP="00CD240D">
            <w:pPr>
              <w:spacing w:after="0" w:line="240" w:lineRule="auto"/>
              <w:rPr>
                <w:rFonts w:ascii="Arial" w:eastAsia="Times New Roman" w:hAnsi="Arial" w:cs="Arial"/>
                <w:color w:val="000000"/>
                <w:sz w:val="20"/>
                <w:szCs w:val="20"/>
              </w:rPr>
            </w:pPr>
            <w:r w:rsidRPr="007F103F">
              <w:rPr>
                <w:rFonts w:ascii="Arial" w:eastAsia="Times New Roman" w:hAnsi="Arial" w:cs="Arial"/>
                <w:color w:val="000000"/>
                <w:sz w:val="20"/>
                <w:szCs w:val="20"/>
              </w:rPr>
              <w:t>Cash taxes paid, supplemental</w:t>
            </w:r>
          </w:p>
        </w:tc>
        <w:tc>
          <w:tcPr>
            <w:tcW w:w="552" w:type="pct"/>
            <w:tcBorders>
              <w:top w:val="single" w:sz="4" w:space="0" w:color="95B3D7"/>
              <w:left w:val="nil"/>
              <w:bottom w:val="single" w:sz="4" w:space="0" w:color="95B3D7"/>
              <w:right w:val="nil"/>
            </w:tcBorders>
            <w:shd w:val="clear" w:color="auto" w:fill="auto"/>
            <w:noWrap/>
            <w:vAlign w:val="bottom"/>
            <w:hideMark/>
          </w:tcPr>
          <w:p w14:paraId="77EF16D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186</w:t>
            </w:r>
          </w:p>
        </w:tc>
        <w:tc>
          <w:tcPr>
            <w:tcW w:w="552" w:type="pct"/>
            <w:tcBorders>
              <w:top w:val="single" w:sz="4" w:space="0" w:color="95B3D7"/>
              <w:left w:val="nil"/>
              <w:bottom w:val="single" w:sz="4" w:space="0" w:color="95B3D7"/>
              <w:right w:val="nil"/>
            </w:tcBorders>
            <w:shd w:val="clear" w:color="auto" w:fill="auto"/>
            <w:noWrap/>
            <w:vAlign w:val="bottom"/>
            <w:hideMark/>
          </w:tcPr>
          <w:p w14:paraId="2A4B2A11"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130</w:t>
            </w:r>
          </w:p>
        </w:tc>
        <w:tc>
          <w:tcPr>
            <w:tcW w:w="552" w:type="pct"/>
            <w:tcBorders>
              <w:top w:val="single" w:sz="4" w:space="0" w:color="95B3D7"/>
              <w:left w:val="nil"/>
              <w:bottom w:val="single" w:sz="4" w:space="0" w:color="95B3D7"/>
              <w:right w:val="nil"/>
            </w:tcBorders>
            <w:shd w:val="clear" w:color="auto" w:fill="auto"/>
            <w:noWrap/>
            <w:vAlign w:val="bottom"/>
            <w:hideMark/>
          </w:tcPr>
          <w:p w14:paraId="2099956F"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144</w:t>
            </w:r>
          </w:p>
        </w:tc>
        <w:tc>
          <w:tcPr>
            <w:tcW w:w="552" w:type="pct"/>
            <w:tcBorders>
              <w:top w:val="single" w:sz="4" w:space="0" w:color="95B3D7"/>
              <w:left w:val="nil"/>
              <w:bottom w:val="single" w:sz="4" w:space="0" w:color="95B3D7"/>
              <w:right w:val="nil"/>
            </w:tcBorders>
            <w:shd w:val="clear" w:color="auto" w:fill="auto"/>
            <w:noWrap/>
            <w:vAlign w:val="bottom"/>
            <w:hideMark/>
          </w:tcPr>
          <w:p w14:paraId="3F069333"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187</w:t>
            </w:r>
          </w:p>
        </w:tc>
        <w:tc>
          <w:tcPr>
            <w:tcW w:w="552" w:type="pct"/>
            <w:tcBorders>
              <w:top w:val="single" w:sz="4" w:space="0" w:color="95B3D7"/>
              <w:left w:val="nil"/>
              <w:bottom w:val="single" w:sz="4" w:space="0" w:color="95B3D7"/>
              <w:right w:val="single" w:sz="4" w:space="0" w:color="95B3D7"/>
            </w:tcBorders>
            <w:shd w:val="clear" w:color="auto" w:fill="auto"/>
            <w:noWrap/>
            <w:vAlign w:val="bottom"/>
            <w:hideMark/>
          </w:tcPr>
          <w:p w14:paraId="7A49D720" w14:textId="77777777" w:rsidR="009D7419" w:rsidRPr="007F103F" w:rsidRDefault="009D7419" w:rsidP="00CD240D">
            <w:pPr>
              <w:spacing w:after="0" w:line="240" w:lineRule="auto"/>
              <w:jc w:val="right"/>
              <w:rPr>
                <w:rFonts w:ascii="Arial" w:eastAsia="Times New Roman" w:hAnsi="Arial" w:cs="Arial"/>
                <w:color w:val="000000"/>
                <w:sz w:val="20"/>
                <w:szCs w:val="20"/>
              </w:rPr>
            </w:pPr>
            <w:r w:rsidRPr="007F103F">
              <w:rPr>
                <w:rFonts w:ascii="Arial" w:eastAsia="Times New Roman" w:hAnsi="Arial" w:cs="Arial"/>
                <w:color w:val="000000"/>
                <w:sz w:val="20"/>
                <w:szCs w:val="20"/>
              </w:rPr>
              <w:t>160</w:t>
            </w:r>
          </w:p>
        </w:tc>
      </w:tr>
    </w:tbl>
    <w:p w14:paraId="7D8A349A" w14:textId="77777777" w:rsidR="009D7419" w:rsidRDefault="009D7419" w:rsidP="00923F6C">
      <w:pPr>
        <w:spacing w:after="0" w:line="360" w:lineRule="auto"/>
        <w:jc w:val="center"/>
        <w:rPr>
          <w:rFonts w:ascii="Calibri" w:hAnsi="Calibri" w:cs="Calibri"/>
          <w:color w:val="000000" w:themeColor="text1"/>
        </w:rPr>
      </w:pPr>
    </w:p>
    <w:p w14:paraId="277DA34A" w14:textId="77777777" w:rsidR="009D7419" w:rsidRDefault="009D7419" w:rsidP="00923F6C">
      <w:pPr>
        <w:spacing w:after="0" w:line="360" w:lineRule="auto"/>
        <w:jc w:val="center"/>
        <w:rPr>
          <w:rFonts w:ascii="Calibri" w:hAnsi="Calibri" w:cs="Calibri"/>
          <w:color w:val="000000" w:themeColor="text1"/>
        </w:rPr>
      </w:pPr>
    </w:p>
    <w:p w14:paraId="2D407F41" w14:textId="77777777" w:rsidR="009D7419" w:rsidRDefault="009D7419" w:rsidP="00923F6C">
      <w:pPr>
        <w:spacing w:after="0" w:line="360" w:lineRule="auto"/>
        <w:jc w:val="center"/>
        <w:rPr>
          <w:rFonts w:ascii="Calibri" w:hAnsi="Calibri" w:cs="Calibri"/>
          <w:color w:val="000000" w:themeColor="text1"/>
        </w:rPr>
      </w:pPr>
    </w:p>
    <w:p w14:paraId="307D6456" w14:textId="77777777" w:rsidR="009D7419" w:rsidRDefault="009D7419" w:rsidP="00923F6C">
      <w:pPr>
        <w:spacing w:after="0" w:line="360" w:lineRule="auto"/>
        <w:jc w:val="center"/>
        <w:rPr>
          <w:rFonts w:ascii="Calibri" w:hAnsi="Calibri" w:cs="Calibri"/>
          <w:color w:val="000000" w:themeColor="text1"/>
        </w:rPr>
      </w:pPr>
    </w:p>
    <w:p w14:paraId="02F39004" w14:textId="77777777" w:rsidR="009D7419" w:rsidRDefault="009D7419" w:rsidP="00923F6C">
      <w:pPr>
        <w:spacing w:after="0" w:line="360" w:lineRule="auto"/>
        <w:jc w:val="center"/>
        <w:rPr>
          <w:rFonts w:ascii="Calibri" w:hAnsi="Calibri" w:cs="Calibri"/>
          <w:color w:val="000000" w:themeColor="text1"/>
        </w:rPr>
      </w:pPr>
    </w:p>
    <w:p w14:paraId="7C8E1479" w14:textId="77777777" w:rsidR="009D7419" w:rsidRDefault="009D7419" w:rsidP="00923F6C">
      <w:pPr>
        <w:spacing w:after="0" w:line="360" w:lineRule="auto"/>
        <w:jc w:val="center"/>
        <w:rPr>
          <w:rFonts w:ascii="Calibri" w:hAnsi="Calibri" w:cs="Calibri"/>
          <w:color w:val="000000" w:themeColor="text1"/>
        </w:rPr>
      </w:pPr>
    </w:p>
    <w:p w14:paraId="323E535E" w14:textId="77777777" w:rsidR="009D7419" w:rsidRDefault="009D7419" w:rsidP="00923F6C">
      <w:pPr>
        <w:spacing w:after="0" w:line="360" w:lineRule="auto"/>
        <w:jc w:val="center"/>
        <w:rPr>
          <w:rFonts w:ascii="Calibri" w:hAnsi="Calibri" w:cs="Calibri"/>
          <w:color w:val="000000" w:themeColor="text1"/>
        </w:rPr>
      </w:pPr>
    </w:p>
    <w:p w14:paraId="54F6CD3D" w14:textId="77777777" w:rsidR="009D7419" w:rsidRDefault="009D7419" w:rsidP="00923F6C">
      <w:pPr>
        <w:spacing w:after="0" w:line="360" w:lineRule="auto"/>
        <w:jc w:val="center"/>
        <w:rPr>
          <w:rFonts w:ascii="Calibri" w:hAnsi="Calibri" w:cs="Calibri"/>
          <w:color w:val="000000" w:themeColor="text1"/>
        </w:rPr>
      </w:pPr>
    </w:p>
    <w:p w14:paraId="15AFB7B9" w14:textId="77777777" w:rsidR="009D7419" w:rsidRDefault="009D7419" w:rsidP="00923F6C">
      <w:pPr>
        <w:spacing w:after="0" w:line="360" w:lineRule="auto"/>
        <w:jc w:val="center"/>
        <w:rPr>
          <w:rFonts w:ascii="Calibri" w:hAnsi="Calibri" w:cs="Calibri"/>
          <w:color w:val="000000" w:themeColor="text1"/>
        </w:rPr>
      </w:pPr>
    </w:p>
    <w:p w14:paraId="464E4F73" w14:textId="77777777" w:rsidR="009D7419" w:rsidRDefault="009D7419" w:rsidP="00923F6C">
      <w:pPr>
        <w:spacing w:after="0" w:line="360" w:lineRule="auto"/>
        <w:jc w:val="center"/>
        <w:rPr>
          <w:rFonts w:ascii="Calibri" w:hAnsi="Calibri" w:cs="Calibri"/>
          <w:color w:val="000000" w:themeColor="text1"/>
        </w:rPr>
      </w:pPr>
    </w:p>
    <w:p w14:paraId="5FA076D9" w14:textId="77777777" w:rsidR="009D7419" w:rsidRDefault="009D7419" w:rsidP="00923F6C">
      <w:pPr>
        <w:spacing w:after="0" w:line="360" w:lineRule="auto"/>
        <w:jc w:val="center"/>
        <w:rPr>
          <w:rFonts w:ascii="Calibri" w:hAnsi="Calibri" w:cs="Calibri"/>
          <w:color w:val="000000" w:themeColor="text1"/>
        </w:rPr>
      </w:pPr>
    </w:p>
    <w:p w14:paraId="4D3A5DF3" w14:textId="77777777" w:rsidR="009D7419" w:rsidRDefault="009D7419" w:rsidP="00923F6C">
      <w:pPr>
        <w:spacing w:after="0" w:line="360" w:lineRule="auto"/>
        <w:jc w:val="center"/>
        <w:rPr>
          <w:rFonts w:ascii="Calibri" w:hAnsi="Calibri" w:cs="Calibri"/>
          <w:color w:val="000000" w:themeColor="text1"/>
        </w:rPr>
      </w:pPr>
    </w:p>
    <w:tbl>
      <w:tblPr>
        <w:tblStyle w:val="GridTable4-Accent2"/>
        <w:tblW w:w="5000" w:type="pct"/>
        <w:tblLook w:val="04A0" w:firstRow="1" w:lastRow="0" w:firstColumn="1" w:lastColumn="0" w:noHBand="0" w:noVBand="1"/>
      </w:tblPr>
      <w:tblGrid>
        <w:gridCol w:w="4649"/>
        <w:gridCol w:w="1079"/>
        <w:gridCol w:w="904"/>
        <w:gridCol w:w="904"/>
        <w:gridCol w:w="905"/>
        <w:gridCol w:w="909"/>
      </w:tblGrid>
      <w:tr w:rsidR="009D7419" w:rsidRPr="00FB34C2" w14:paraId="70D63766" w14:textId="77777777" w:rsidTr="00CD240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noWrap/>
            <w:hideMark/>
          </w:tcPr>
          <w:p w14:paraId="26C2C5AE" w14:textId="77777777" w:rsidR="009D7419" w:rsidRPr="00227016" w:rsidRDefault="009D7419" w:rsidP="00CD240D">
            <w:pPr>
              <w:jc w:val="center"/>
              <w:rPr>
                <w:rFonts w:ascii="Arial" w:eastAsia="Times New Roman" w:hAnsi="Arial" w:cs="Arial"/>
                <w:color w:val="FFFFFF"/>
                <w:sz w:val="20"/>
                <w:szCs w:val="20"/>
              </w:rPr>
            </w:pPr>
            <w:r w:rsidRPr="00227016">
              <w:rPr>
                <w:rFonts w:ascii="Arial" w:eastAsia="Times New Roman" w:hAnsi="Arial" w:cs="Arial"/>
                <w:color w:val="FFFFFF"/>
                <w:sz w:val="20"/>
                <w:szCs w:val="20"/>
              </w:rPr>
              <w:lastRenderedPageBreak/>
              <w:t>THE BERKELEY GROUP HOLDINGS PLC</w:t>
            </w:r>
          </w:p>
          <w:p w14:paraId="192663FA" w14:textId="77777777" w:rsidR="009D7419" w:rsidRPr="00FB34C2" w:rsidRDefault="009D7419" w:rsidP="00CD240D">
            <w:pPr>
              <w:jc w:val="center"/>
              <w:rPr>
                <w:rFonts w:ascii="Arial" w:eastAsia="Times New Roman" w:hAnsi="Arial" w:cs="Arial"/>
                <w:color w:val="FFFFFF"/>
                <w:sz w:val="20"/>
                <w:szCs w:val="20"/>
              </w:rPr>
            </w:pPr>
            <w:r w:rsidRPr="00227016">
              <w:rPr>
                <w:rFonts w:ascii="Arial" w:eastAsia="Times New Roman" w:hAnsi="Arial" w:cs="Arial"/>
                <w:sz w:val="20"/>
                <w:szCs w:val="20"/>
              </w:rPr>
              <w:t>INCOME STATEMENT</w:t>
            </w:r>
          </w:p>
        </w:tc>
      </w:tr>
      <w:tr w:rsidR="009D7419" w:rsidRPr="00FB34C2" w14:paraId="493DE3F0"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5182C21"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Fiscal data as of Apr 30 2023</w:t>
            </w:r>
          </w:p>
        </w:tc>
        <w:tc>
          <w:tcPr>
            <w:tcW w:w="537" w:type="pct"/>
            <w:noWrap/>
            <w:hideMark/>
          </w:tcPr>
          <w:p w14:paraId="6B61D35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2023</w:t>
            </w:r>
          </w:p>
        </w:tc>
        <w:tc>
          <w:tcPr>
            <w:tcW w:w="537" w:type="pct"/>
            <w:noWrap/>
            <w:hideMark/>
          </w:tcPr>
          <w:p w14:paraId="22F68DC6"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2022</w:t>
            </w:r>
          </w:p>
        </w:tc>
        <w:tc>
          <w:tcPr>
            <w:tcW w:w="537" w:type="pct"/>
            <w:noWrap/>
            <w:hideMark/>
          </w:tcPr>
          <w:p w14:paraId="67A9A97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2021</w:t>
            </w:r>
          </w:p>
        </w:tc>
        <w:tc>
          <w:tcPr>
            <w:tcW w:w="537" w:type="pct"/>
            <w:noWrap/>
            <w:hideMark/>
          </w:tcPr>
          <w:p w14:paraId="72D801F7"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2020</w:t>
            </w:r>
          </w:p>
        </w:tc>
        <w:tc>
          <w:tcPr>
            <w:tcW w:w="537" w:type="pct"/>
            <w:noWrap/>
            <w:hideMark/>
          </w:tcPr>
          <w:p w14:paraId="63D04D9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2019</w:t>
            </w:r>
          </w:p>
        </w:tc>
      </w:tr>
      <w:tr w:rsidR="009D7419" w:rsidRPr="00FB34C2" w14:paraId="676877D0"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65E439B"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REVENUE AND GROSS PROFIT</w:t>
            </w:r>
          </w:p>
        </w:tc>
        <w:tc>
          <w:tcPr>
            <w:tcW w:w="537" w:type="pct"/>
            <w:noWrap/>
            <w:hideMark/>
          </w:tcPr>
          <w:p w14:paraId="49546DD8"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4706DDD2"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D789FC5"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7964AA4"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BBA5C01"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658C4D36"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2DC964AB"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Total revenue</w:t>
            </w:r>
          </w:p>
        </w:tc>
        <w:tc>
          <w:tcPr>
            <w:tcW w:w="537" w:type="pct"/>
            <w:noWrap/>
            <w:hideMark/>
          </w:tcPr>
          <w:p w14:paraId="2227C280"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2,550</w:t>
            </w:r>
          </w:p>
        </w:tc>
        <w:tc>
          <w:tcPr>
            <w:tcW w:w="537" w:type="pct"/>
            <w:noWrap/>
            <w:hideMark/>
          </w:tcPr>
          <w:p w14:paraId="6A5D5BD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2,348</w:t>
            </w:r>
          </w:p>
        </w:tc>
        <w:tc>
          <w:tcPr>
            <w:tcW w:w="537" w:type="pct"/>
            <w:noWrap/>
            <w:hideMark/>
          </w:tcPr>
          <w:p w14:paraId="1A9897C1"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2,202</w:t>
            </w:r>
          </w:p>
        </w:tc>
        <w:tc>
          <w:tcPr>
            <w:tcW w:w="537" w:type="pct"/>
            <w:noWrap/>
            <w:hideMark/>
          </w:tcPr>
          <w:p w14:paraId="6B028261"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1,920</w:t>
            </w:r>
          </w:p>
        </w:tc>
        <w:tc>
          <w:tcPr>
            <w:tcW w:w="537" w:type="pct"/>
            <w:noWrap/>
            <w:hideMark/>
          </w:tcPr>
          <w:p w14:paraId="5A50B71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2,957</w:t>
            </w:r>
          </w:p>
        </w:tc>
      </w:tr>
      <w:tr w:rsidR="009D7419" w:rsidRPr="00FB34C2" w14:paraId="634543C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27AED6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OPERATING EXPENSES</w:t>
            </w:r>
          </w:p>
        </w:tc>
        <w:tc>
          <w:tcPr>
            <w:tcW w:w="537" w:type="pct"/>
            <w:noWrap/>
            <w:hideMark/>
          </w:tcPr>
          <w:p w14:paraId="50F17722"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5A742579"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34CE6FCB"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EA39A9B"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56F20AD"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5569FB0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345BBDF"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Cost of revenue total</w:t>
            </w:r>
          </w:p>
        </w:tc>
        <w:tc>
          <w:tcPr>
            <w:tcW w:w="537" w:type="pct"/>
            <w:noWrap/>
            <w:hideMark/>
          </w:tcPr>
          <w:p w14:paraId="55455C0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1,853</w:t>
            </w:r>
          </w:p>
        </w:tc>
        <w:tc>
          <w:tcPr>
            <w:tcW w:w="537" w:type="pct"/>
            <w:noWrap/>
            <w:hideMark/>
          </w:tcPr>
          <w:p w14:paraId="60E7BE9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1,683</w:t>
            </w:r>
          </w:p>
        </w:tc>
        <w:tc>
          <w:tcPr>
            <w:tcW w:w="537" w:type="pct"/>
            <w:noWrap/>
            <w:hideMark/>
          </w:tcPr>
          <w:p w14:paraId="3588CA4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1,567</w:t>
            </w:r>
          </w:p>
        </w:tc>
        <w:tc>
          <w:tcPr>
            <w:tcW w:w="537" w:type="pct"/>
            <w:noWrap/>
            <w:hideMark/>
          </w:tcPr>
          <w:p w14:paraId="5BC5E56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1,283</w:t>
            </w:r>
          </w:p>
        </w:tc>
        <w:tc>
          <w:tcPr>
            <w:tcW w:w="537" w:type="pct"/>
            <w:noWrap/>
            <w:hideMark/>
          </w:tcPr>
          <w:p w14:paraId="51FF97A8"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2,031</w:t>
            </w:r>
          </w:p>
        </w:tc>
      </w:tr>
      <w:tr w:rsidR="009D7419" w:rsidRPr="00FB34C2" w14:paraId="33667BDD"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DD0CE3B"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Selling, general and admin. expenses, total</w:t>
            </w:r>
          </w:p>
        </w:tc>
        <w:tc>
          <w:tcPr>
            <w:tcW w:w="537" w:type="pct"/>
            <w:noWrap/>
            <w:hideMark/>
          </w:tcPr>
          <w:p w14:paraId="2E84833A"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2CAB2116"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3C211ABD"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D0BA504"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22C67AEC"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6F5AE546"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DAA95BD"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Depreciation/amortization</w:t>
            </w:r>
          </w:p>
        </w:tc>
        <w:tc>
          <w:tcPr>
            <w:tcW w:w="537" w:type="pct"/>
            <w:noWrap/>
            <w:hideMark/>
          </w:tcPr>
          <w:p w14:paraId="143F664E"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5F446E83"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F508FEC"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30AE4600"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28C02BBE"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2F0C424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0D1A92B0"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Unusual expense(income)</w:t>
            </w:r>
          </w:p>
        </w:tc>
        <w:tc>
          <w:tcPr>
            <w:tcW w:w="537" w:type="pct"/>
            <w:noWrap/>
            <w:hideMark/>
          </w:tcPr>
          <w:p w14:paraId="4F7A1EE9"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1B00BA99"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06032CEB"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2DEE2BA"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7BACCB9D"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4F0976CB"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04570AD7"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Other operating expenses, total</w:t>
            </w:r>
          </w:p>
        </w:tc>
        <w:tc>
          <w:tcPr>
            <w:tcW w:w="537" w:type="pct"/>
            <w:noWrap/>
            <w:hideMark/>
          </w:tcPr>
          <w:p w14:paraId="1A478F4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179</w:t>
            </w:r>
          </w:p>
        </w:tc>
        <w:tc>
          <w:tcPr>
            <w:tcW w:w="537" w:type="pct"/>
            <w:noWrap/>
            <w:hideMark/>
          </w:tcPr>
          <w:p w14:paraId="46517BD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157</w:t>
            </w:r>
          </w:p>
        </w:tc>
        <w:tc>
          <w:tcPr>
            <w:tcW w:w="537" w:type="pct"/>
            <w:noWrap/>
            <w:hideMark/>
          </w:tcPr>
          <w:p w14:paraId="3F083B5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133</w:t>
            </w:r>
          </w:p>
        </w:tc>
        <w:tc>
          <w:tcPr>
            <w:tcW w:w="537" w:type="pct"/>
            <w:noWrap/>
            <w:hideMark/>
          </w:tcPr>
          <w:p w14:paraId="39D99C2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168</w:t>
            </w:r>
          </w:p>
        </w:tc>
        <w:tc>
          <w:tcPr>
            <w:tcW w:w="537" w:type="pct"/>
            <w:noWrap/>
            <w:hideMark/>
          </w:tcPr>
          <w:p w14:paraId="6C4931D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158</w:t>
            </w:r>
          </w:p>
        </w:tc>
      </w:tr>
      <w:tr w:rsidR="009D7419" w:rsidRPr="00FB34C2" w14:paraId="0BD04A81"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91F2F6D"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Total operating expense</w:t>
            </w:r>
          </w:p>
        </w:tc>
        <w:tc>
          <w:tcPr>
            <w:tcW w:w="537" w:type="pct"/>
            <w:noWrap/>
            <w:hideMark/>
          </w:tcPr>
          <w:p w14:paraId="7C6B2EB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2,032</w:t>
            </w:r>
          </w:p>
        </w:tc>
        <w:tc>
          <w:tcPr>
            <w:tcW w:w="537" w:type="pct"/>
            <w:noWrap/>
            <w:hideMark/>
          </w:tcPr>
          <w:p w14:paraId="36EC965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1,840</w:t>
            </w:r>
          </w:p>
        </w:tc>
        <w:tc>
          <w:tcPr>
            <w:tcW w:w="537" w:type="pct"/>
            <w:noWrap/>
            <w:hideMark/>
          </w:tcPr>
          <w:p w14:paraId="2D519DA5"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1,700</w:t>
            </w:r>
          </w:p>
        </w:tc>
        <w:tc>
          <w:tcPr>
            <w:tcW w:w="537" w:type="pct"/>
            <w:noWrap/>
            <w:hideMark/>
          </w:tcPr>
          <w:p w14:paraId="2F198255"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1,451</w:t>
            </w:r>
          </w:p>
        </w:tc>
        <w:tc>
          <w:tcPr>
            <w:tcW w:w="537" w:type="pct"/>
            <w:noWrap/>
            <w:hideMark/>
          </w:tcPr>
          <w:p w14:paraId="00A9C3F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2,189</w:t>
            </w:r>
          </w:p>
        </w:tc>
      </w:tr>
      <w:tr w:rsidR="009D7419" w:rsidRPr="00FB34C2" w14:paraId="313A60F8"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0C6F3EE"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Operating income</w:t>
            </w:r>
          </w:p>
        </w:tc>
        <w:tc>
          <w:tcPr>
            <w:tcW w:w="537" w:type="pct"/>
            <w:noWrap/>
            <w:hideMark/>
          </w:tcPr>
          <w:p w14:paraId="7B88D83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518</w:t>
            </w:r>
          </w:p>
        </w:tc>
        <w:tc>
          <w:tcPr>
            <w:tcW w:w="537" w:type="pct"/>
            <w:noWrap/>
            <w:hideMark/>
          </w:tcPr>
          <w:p w14:paraId="4BDBF44C"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508</w:t>
            </w:r>
          </w:p>
        </w:tc>
        <w:tc>
          <w:tcPr>
            <w:tcW w:w="537" w:type="pct"/>
            <w:noWrap/>
            <w:hideMark/>
          </w:tcPr>
          <w:p w14:paraId="5037EF8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502</w:t>
            </w:r>
          </w:p>
        </w:tc>
        <w:tc>
          <w:tcPr>
            <w:tcW w:w="537" w:type="pct"/>
            <w:noWrap/>
            <w:hideMark/>
          </w:tcPr>
          <w:p w14:paraId="0CED322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470</w:t>
            </w:r>
          </w:p>
        </w:tc>
        <w:tc>
          <w:tcPr>
            <w:tcW w:w="537" w:type="pct"/>
            <w:noWrap/>
            <w:hideMark/>
          </w:tcPr>
          <w:p w14:paraId="02A93A9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768</w:t>
            </w:r>
          </w:p>
        </w:tc>
      </w:tr>
      <w:tr w:rsidR="009D7419" w:rsidRPr="00FB34C2" w14:paraId="7C2E856F"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27A6CBF6"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Other, net</w:t>
            </w:r>
          </w:p>
        </w:tc>
        <w:tc>
          <w:tcPr>
            <w:tcW w:w="537" w:type="pct"/>
            <w:noWrap/>
            <w:hideMark/>
          </w:tcPr>
          <w:p w14:paraId="44EB59E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-10</w:t>
            </w:r>
          </w:p>
        </w:tc>
        <w:tc>
          <w:tcPr>
            <w:tcW w:w="537" w:type="pct"/>
            <w:noWrap/>
            <w:hideMark/>
          </w:tcPr>
          <w:p w14:paraId="13E411D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w:t>
            </w:r>
          </w:p>
        </w:tc>
        <w:tc>
          <w:tcPr>
            <w:tcW w:w="537" w:type="pct"/>
            <w:noWrap/>
            <w:hideMark/>
          </w:tcPr>
          <w:p w14:paraId="2F8C22D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w:t>
            </w:r>
          </w:p>
        </w:tc>
        <w:tc>
          <w:tcPr>
            <w:tcW w:w="537" w:type="pct"/>
            <w:noWrap/>
            <w:hideMark/>
          </w:tcPr>
          <w:p w14:paraId="2E2085FE"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-0.8</w:t>
            </w:r>
          </w:p>
        </w:tc>
        <w:tc>
          <w:tcPr>
            <w:tcW w:w="537" w:type="pct"/>
            <w:noWrap/>
            <w:hideMark/>
          </w:tcPr>
          <w:p w14:paraId="30C1217D"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-2.3</w:t>
            </w:r>
          </w:p>
        </w:tc>
      </w:tr>
      <w:tr w:rsidR="009D7419" w:rsidRPr="00FB34C2" w14:paraId="4AC7811B"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850" w:type="pct"/>
            <w:gridSpan w:val="2"/>
            <w:noWrap/>
            <w:hideMark/>
          </w:tcPr>
          <w:p w14:paraId="1FC1E90A"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INCOME TAXES, MINORITY INTEREST AND EXTRA ITEMS</w:t>
            </w:r>
          </w:p>
        </w:tc>
        <w:tc>
          <w:tcPr>
            <w:tcW w:w="537" w:type="pct"/>
            <w:noWrap/>
            <w:hideMark/>
          </w:tcPr>
          <w:p w14:paraId="6D15E5E5"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7C21640B"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280802E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663B945"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0FF85487"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2B0B802"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Net income before taxes</w:t>
            </w:r>
          </w:p>
        </w:tc>
        <w:tc>
          <w:tcPr>
            <w:tcW w:w="537" w:type="pct"/>
            <w:noWrap/>
            <w:hideMark/>
          </w:tcPr>
          <w:p w14:paraId="308FFE58"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604</w:t>
            </w:r>
          </w:p>
        </w:tc>
        <w:tc>
          <w:tcPr>
            <w:tcW w:w="537" w:type="pct"/>
            <w:noWrap/>
            <w:hideMark/>
          </w:tcPr>
          <w:p w14:paraId="1F1D32BD"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552</w:t>
            </w:r>
          </w:p>
        </w:tc>
        <w:tc>
          <w:tcPr>
            <w:tcW w:w="537" w:type="pct"/>
            <w:noWrap/>
            <w:hideMark/>
          </w:tcPr>
          <w:p w14:paraId="3E303C0D"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518</w:t>
            </w:r>
          </w:p>
        </w:tc>
        <w:tc>
          <w:tcPr>
            <w:tcW w:w="537" w:type="pct"/>
            <w:noWrap/>
            <w:hideMark/>
          </w:tcPr>
          <w:p w14:paraId="5B7C8BD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504</w:t>
            </w:r>
          </w:p>
        </w:tc>
        <w:tc>
          <w:tcPr>
            <w:tcW w:w="537" w:type="pct"/>
            <w:noWrap/>
            <w:hideMark/>
          </w:tcPr>
          <w:p w14:paraId="540CF3F8"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775</w:t>
            </w:r>
          </w:p>
        </w:tc>
      </w:tr>
      <w:tr w:rsidR="009D7419" w:rsidRPr="00FB34C2" w14:paraId="0EC48A2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44CF73F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Provision for income taxes</w:t>
            </w:r>
          </w:p>
        </w:tc>
        <w:tc>
          <w:tcPr>
            <w:tcW w:w="537" w:type="pct"/>
            <w:noWrap/>
            <w:hideMark/>
          </w:tcPr>
          <w:p w14:paraId="659FC787"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138</w:t>
            </w:r>
          </w:p>
        </w:tc>
        <w:tc>
          <w:tcPr>
            <w:tcW w:w="537" w:type="pct"/>
            <w:noWrap/>
            <w:hideMark/>
          </w:tcPr>
          <w:p w14:paraId="3DB6843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69</w:t>
            </w:r>
          </w:p>
        </w:tc>
        <w:tc>
          <w:tcPr>
            <w:tcW w:w="537" w:type="pct"/>
            <w:noWrap/>
            <w:hideMark/>
          </w:tcPr>
          <w:p w14:paraId="1DFB540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95</w:t>
            </w:r>
          </w:p>
        </w:tc>
        <w:tc>
          <w:tcPr>
            <w:tcW w:w="537" w:type="pct"/>
            <w:noWrap/>
            <w:hideMark/>
          </w:tcPr>
          <w:p w14:paraId="4DD44C4A"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94</w:t>
            </w:r>
          </w:p>
        </w:tc>
        <w:tc>
          <w:tcPr>
            <w:tcW w:w="537" w:type="pct"/>
            <w:noWrap/>
            <w:hideMark/>
          </w:tcPr>
          <w:p w14:paraId="647F9D5B"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148</w:t>
            </w:r>
          </w:p>
        </w:tc>
      </w:tr>
      <w:tr w:rsidR="009D7419" w:rsidRPr="00FB34C2" w14:paraId="382AF418"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24F572DB"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Net income after taxes</w:t>
            </w:r>
          </w:p>
        </w:tc>
        <w:tc>
          <w:tcPr>
            <w:tcW w:w="537" w:type="pct"/>
            <w:noWrap/>
            <w:hideMark/>
          </w:tcPr>
          <w:p w14:paraId="77441039"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466</w:t>
            </w:r>
          </w:p>
        </w:tc>
        <w:tc>
          <w:tcPr>
            <w:tcW w:w="537" w:type="pct"/>
            <w:noWrap/>
            <w:hideMark/>
          </w:tcPr>
          <w:p w14:paraId="092F64A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7A351D9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62BC9878"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78322E66"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627</w:t>
            </w:r>
          </w:p>
        </w:tc>
      </w:tr>
      <w:tr w:rsidR="009D7419" w:rsidRPr="00FB34C2" w14:paraId="33465696"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2E30C1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Minority interest</w:t>
            </w:r>
          </w:p>
        </w:tc>
        <w:tc>
          <w:tcPr>
            <w:tcW w:w="537" w:type="pct"/>
            <w:noWrap/>
            <w:hideMark/>
          </w:tcPr>
          <w:p w14:paraId="3B52CFBA"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72F7ED75"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2C5D8802"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B377AC9"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3A6E447E"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50352BF8"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2C7496E7"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Net income before extra. Items</w:t>
            </w:r>
          </w:p>
        </w:tc>
        <w:tc>
          <w:tcPr>
            <w:tcW w:w="537" w:type="pct"/>
            <w:noWrap/>
            <w:hideMark/>
          </w:tcPr>
          <w:p w14:paraId="0FCDF0A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466</w:t>
            </w:r>
          </w:p>
        </w:tc>
        <w:tc>
          <w:tcPr>
            <w:tcW w:w="537" w:type="pct"/>
            <w:noWrap/>
            <w:hideMark/>
          </w:tcPr>
          <w:p w14:paraId="6A966DF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28049BA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53D34A9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6BE1CAFD"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627</w:t>
            </w:r>
          </w:p>
        </w:tc>
      </w:tr>
      <w:tr w:rsidR="009D7419" w:rsidRPr="00FB34C2" w14:paraId="41311715"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22E49DD7"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Total extraordinary items</w:t>
            </w:r>
          </w:p>
        </w:tc>
        <w:tc>
          <w:tcPr>
            <w:tcW w:w="537" w:type="pct"/>
            <w:noWrap/>
            <w:hideMark/>
          </w:tcPr>
          <w:p w14:paraId="3788054B"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783FCCF5"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2A6D47B"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53247BB"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4F68AA1"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726C23AD"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34F5D3E"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Net income</w:t>
            </w:r>
          </w:p>
        </w:tc>
        <w:tc>
          <w:tcPr>
            <w:tcW w:w="537" w:type="pct"/>
            <w:noWrap/>
            <w:hideMark/>
          </w:tcPr>
          <w:p w14:paraId="66B8DA7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466</w:t>
            </w:r>
          </w:p>
        </w:tc>
        <w:tc>
          <w:tcPr>
            <w:tcW w:w="537" w:type="pct"/>
            <w:noWrap/>
            <w:hideMark/>
          </w:tcPr>
          <w:p w14:paraId="5CA27B0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6057577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11C2935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709A81A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627</w:t>
            </w:r>
          </w:p>
        </w:tc>
      </w:tr>
      <w:tr w:rsidR="009D7419" w:rsidRPr="00FB34C2" w14:paraId="2830D73B"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9A19F8E" w14:textId="77777777" w:rsidR="009D7419" w:rsidRPr="00FB34C2" w:rsidRDefault="009D7419" w:rsidP="00CD240D">
            <w:pPr>
              <w:rPr>
                <w:rFonts w:ascii="Arial" w:eastAsia="Times New Roman" w:hAnsi="Arial" w:cs="Arial"/>
                <w:b w:val="0"/>
                <w:bCs w:val="0"/>
                <w:color w:val="000000"/>
                <w:sz w:val="20"/>
                <w:szCs w:val="20"/>
              </w:rPr>
            </w:pPr>
            <w:proofErr w:type="spellStart"/>
            <w:r w:rsidRPr="00FB34C2">
              <w:rPr>
                <w:rFonts w:ascii="Arial" w:eastAsia="Times New Roman" w:hAnsi="Arial" w:cs="Arial"/>
                <w:b w:val="0"/>
                <w:bCs w:val="0"/>
                <w:color w:val="000000"/>
                <w:sz w:val="20"/>
                <w:szCs w:val="20"/>
              </w:rPr>
              <w:t>Inc.avail</w:t>
            </w:r>
            <w:proofErr w:type="spellEnd"/>
            <w:r w:rsidRPr="00FB34C2">
              <w:rPr>
                <w:rFonts w:ascii="Arial" w:eastAsia="Times New Roman" w:hAnsi="Arial" w:cs="Arial"/>
                <w:b w:val="0"/>
                <w:bCs w:val="0"/>
                <w:color w:val="000000"/>
                <w:sz w:val="20"/>
                <w:szCs w:val="20"/>
              </w:rPr>
              <w:t>. to common excl. extra. Items</w:t>
            </w:r>
          </w:p>
        </w:tc>
        <w:tc>
          <w:tcPr>
            <w:tcW w:w="537" w:type="pct"/>
            <w:noWrap/>
            <w:hideMark/>
          </w:tcPr>
          <w:p w14:paraId="0872E03C"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466</w:t>
            </w:r>
          </w:p>
        </w:tc>
        <w:tc>
          <w:tcPr>
            <w:tcW w:w="537" w:type="pct"/>
            <w:noWrap/>
            <w:hideMark/>
          </w:tcPr>
          <w:p w14:paraId="3A11028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399A359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6C064E5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48F98A06"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627</w:t>
            </w:r>
          </w:p>
        </w:tc>
      </w:tr>
      <w:tr w:rsidR="009D7419" w:rsidRPr="00FB34C2" w14:paraId="5901D542"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4BDBE1C" w14:textId="77777777" w:rsidR="009D7419" w:rsidRPr="00FB34C2" w:rsidRDefault="009D7419" w:rsidP="00CD240D">
            <w:pPr>
              <w:rPr>
                <w:rFonts w:ascii="Arial" w:eastAsia="Times New Roman" w:hAnsi="Arial" w:cs="Arial"/>
                <w:b w:val="0"/>
                <w:bCs w:val="0"/>
                <w:color w:val="000000"/>
                <w:sz w:val="20"/>
                <w:szCs w:val="20"/>
              </w:rPr>
            </w:pPr>
            <w:proofErr w:type="spellStart"/>
            <w:r w:rsidRPr="00FB34C2">
              <w:rPr>
                <w:rFonts w:ascii="Arial" w:eastAsia="Times New Roman" w:hAnsi="Arial" w:cs="Arial"/>
                <w:b w:val="0"/>
                <w:bCs w:val="0"/>
                <w:color w:val="000000"/>
                <w:sz w:val="20"/>
                <w:szCs w:val="20"/>
              </w:rPr>
              <w:t>Inc.avail</w:t>
            </w:r>
            <w:proofErr w:type="spellEnd"/>
            <w:r w:rsidRPr="00FB34C2">
              <w:rPr>
                <w:rFonts w:ascii="Arial" w:eastAsia="Times New Roman" w:hAnsi="Arial" w:cs="Arial"/>
                <w:b w:val="0"/>
                <w:bCs w:val="0"/>
                <w:color w:val="000000"/>
                <w:sz w:val="20"/>
                <w:szCs w:val="20"/>
              </w:rPr>
              <w:t>. to common incl. extra. Items</w:t>
            </w:r>
          </w:p>
        </w:tc>
        <w:tc>
          <w:tcPr>
            <w:tcW w:w="537" w:type="pct"/>
            <w:noWrap/>
            <w:hideMark/>
          </w:tcPr>
          <w:p w14:paraId="2E33238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466</w:t>
            </w:r>
          </w:p>
        </w:tc>
        <w:tc>
          <w:tcPr>
            <w:tcW w:w="537" w:type="pct"/>
            <w:noWrap/>
            <w:hideMark/>
          </w:tcPr>
          <w:p w14:paraId="7AE7709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1BD69285"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11BFA70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007664B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627</w:t>
            </w:r>
          </w:p>
        </w:tc>
      </w:tr>
      <w:tr w:rsidR="009D7419" w:rsidRPr="00FB34C2" w14:paraId="6525ED42"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65F2197"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EPS RECONCILIATION</w:t>
            </w:r>
          </w:p>
        </w:tc>
        <w:tc>
          <w:tcPr>
            <w:tcW w:w="537" w:type="pct"/>
            <w:noWrap/>
            <w:hideMark/>
          </w:tcPr>
          <w:p w14:paraId="7A987046"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4518262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A7BFE88"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1E07DE0"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C49C560"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790E95C7"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B0BE0B4"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Basic/primary weighted average shares</w:t>
            </w:r>
          </w:p>
        </w:tc>
        <w:tc>
          <w:tcPr>
            <w:tcW w:w="537" w:type="pct"/>
            <w:noWrap/>
            <w:hideMark/>
          </w:tcPr>
          <w:p w14:paraId="11B85088"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109</w:t>
            </w:r>
          </w:p>
        </w:tc>
        <w:tc>
          <w:tcPr>
            <w:tcW w:w="537" w:type="pct"/>
            <w:noWrap/>
            <w:hideMark/>
          </w:tcPr>
          <w:p w14:paraId="66F61DB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116</w:t>
            </w:r>
          </w:p>
        </w:tc>
        <w:tc>
          <w:tcPr>
            <w:tcW w:w="537" w:type="pct"/>
            <w:noWrap/>
            <w:hideMark/>
          </w:tcPr>
          <w:p w14:paraId="0ADDD03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115</w:t>
            </w:r>
          </w:p>
        </w:tc>
        <w:tc>
          <w:tcPr>
            <w:tcW w:w="537" w:type="pct"/>
            <w:noWrap/>
            <w:hideMark/>
          </w:tcPr>
          <w:p w14:paraId="7A88A6D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117</w:t>
            </w:r>
          </w:p>
        </w:tc>
        <w:tc>
          <w:tcPr>
            <w:tcW w:w="537" w:type="pct"/>
            <w:noWrap/>
            <w:hideMark/>
          </w:tcPr>
          <w:p w14:paraId="6774708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120</w:t>
            </w:r>
          </w:p>
        </w:tc>
      </w:tr>
      <w:tr w:rsidR="009D7419" w:rsidRPr="00FB34C2" w14:paraId="3256D55F"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F94FB37"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Basic/primary eps excl. extra items</w:t>
            </w:r>
          </w:p>
        </w:tc>
        <w:tc>
          <w:tcPr>
            <w:tcW w:w="537" w:type="pct"/>
            <w:noWrap/>
            <w:hideMark/>
          </w:tcPr>
          <w:p w14:paraId="517633A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4.27</w:t>
            </w:r>
          </w:p>
        </w:tc>
        <w:tc>
          <w:tcPr>
            <w:tcW w:w="537" w:type="pct"/>
            <w:noWrap/>
            <w:hideMark/>
          </w:tcPr>
          <w:p w14:paraId="3EA7D91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4.18</w:t>
            </w:r>
          </w:p>
        </w:tc>
        <w:tc>
          <w:tcPr>
            <w:tcW w:w="537" w:type="pct"/>
            <w:noWrap/>
            <w:hideMark/>
          </w:tcPr>
          <w:p w14:paraId="483F4DB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3.67</w:t>
            </w:r>
          </w:p>
        </w:tc>
        <w:tc>
          <w:tcPr>
            <w:tcW w:w="537" w:type="pct"/>
            <w:noWrap/>
            <w:hideMark/>
          </w:tcPr>
          <w:p w14:paraId="3F9679CB"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3.52</w:t>
            </w:r>
          </w:p>
        </w:tc>
        <w:tc>
          <w:tcPr>
            <w:tcW w:w="537" w:type="pct"/>
            <w:noWrap/>
            <w:hideMark/>
          </w:tcPr>
          <w:p w14:paraId="0ACB3FA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5.21</w:t>
            </w:r>
          </w:p>
        </w:tc>
      </w:tr>
      <w:tr w:rsidR="009D7419" w:rsidRPr="00FB34C2" w14:paraId="321C3704"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48446B36"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Basic/primary eps incl. extra items</w:t>
            </w:r>
          </w:p>
        </w:tc>
        <w:tc>
          <w:tcPr>
            <w:tcW w:w="537" w:type="pct"/>
            <w:noWrap/>
            <w:hideMark/>
          </w:tcPr>
          <w:p w14:paraId="03D1DE5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4.27</w:t>
            </w:r>
          </w:p>
        </w:tc>
        <w:tc>
          <w:tcPr>
            <w:tcW w:w="537" w:type="pct"/>
            <w:noWrap/>
            <w:hideMark/>
          </w:tcPr>
          <w:p w14:paraId="254AB24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4.18</w:t>
            </w:r>
          </w:p>
        </w:tc>
        <w:tc>
          <w:tcPr>
            <w:tcW w:w="537" w:type="pct"/>
            <w:noWrap/>
            <w:hideMark/>
          </w:tcPr>
          <w:p w14:paraId="3DA51F8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3.67</w:t>
            </w:r>
          </w:p>
        </w:tc>
        <w:tc>
          <w:tcPr>
            <w:tcW w:w="537" w:type="pct"/>
            <w:noWrap/>
            <w:hideMark/>
          </w:tcPr>
          <w:p w14:paraId="02B6AB6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3.52</w:t>
            </w:r>
          </w:p>
        </w:tc>
        <w:tc>
          <w:tcPr>
            <w:tcW w:w="537" w:type="pct"/>
            <w:noWrap/>
            <w:hideMark/>
          </w:tcPr>
          <w:p w14:paraId="34DA347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5.21</w:t>
            </w:r>
          </w:p>
        </w:tc>
      </w:tr>
      <w:tr w:rsidR="009D7419" w:rsidRPr="00FB34C2" w14:paraId="07722F0E"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F77673F"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Dilution adjustment</w:t>
            </w:r>
          </w:p>
        </w:tc>
        <w:tc>
          <w:tcPr>
            <w:tcW w:w="537" w:type="pct"/>
            <w:noWrap/>
            <w:hideMark/>
          </w:tcPr>
          <w:p w14:paraId="22C0D11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5A21A309"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7788801"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606723E"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0059933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w:t>
            </w:r>
          </w:p>
        </w:tc>
      </w:tr>
      <w:tr w:rsidR="009D7419" w:rsidRPr="00FB34C2" w14:paraId="289032AF"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4283DFCA"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Diluted weighted average shares</w:t>
            </w:r>
          </w:p>
        </w:tc>
        <w:tc>
          <w:tcPr>
            <w:tcW w:w="537" w:type="pct"/>
            <w:noWrap/>
            <w:hideMark/>
          </w:tcPr>
          <w:p w14:paraId="582D16F9"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110</w:t>
            </w:r>
          </w:p>
        </w:tc>
        <w:tc>
          <w:tcPr>
            <w:tcW w:w="537" w:type="pct"/>
            <w:noWrap/>
            <w:hideMark/>
          </w:tcPr>
          <w:p w14:paraId="54D72DC4"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117</w:t>
            </w:r>
          </w:p>
        </w:tc>
        <w:tc>
          <w:tcPr>
            <w:tcW w:w="537" w:type="pct"/>
            <w:noWrap/>
            <w:hideMark/>
          </w:tcPr>
          <w:p w14:paraId="5E0393D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117</w:t>
            </w:r>
          </w:p>
        </w:tc>
        <w:tc>
          <w:tcPr>
            <w:tcW w:w="537" w:type="pct"/>
            <w:noWrap/>
            <w:hideMark/>
          </w:tcPr>
          <w:p w14:paraId="4A4B7E9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121</w:t>
            </w:r>
          </w:p>
        </w:tc>
        <w:tc>
          <w:tcPr>
            <w:tcW w:w="537" w:type="pct"/>
            <w:noWrap/>
            <w:hideMark/>
          </w:tcPr>
          <w:p w14:paraId="4D4343E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123</w:t>
            </w:r>
          </w:p>
        </w:tc>
      </w:tr>
      <w:tr w:rsidR="009D7419" w:rsidRPr="00FB34C2" w14:paraId="1015DA72"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EF52789"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Diluted eps excl. extra items</w:t>
            </w:r>
          </w:p>
        </w:tc>
        <w:tc>
          <w:tcPr>
            <w:tcW w:w="537" w:type="pct"/>
            <w:noWrap/>
            <w:hideMark/>
          </w:tcPr>
          <w:p w14:paraId="5DFA82F1"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6E7E3F06"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4.11</w:t>
            </w:r>
          </w:p>
        </w:tc>
        <w:tc>
          <w:tcPr>
            <w:tcW w:w="537" w:type="pct"/>
            <w:noWrap/>
            <w:hideMark/>
          </w:tcPr>
          <w:p w14:paraId="7C44C376"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w:t>
            </w:r>
          </w:p>
        </w:tc>
        <w:tc>
          <w:tcPr>
            <w:tcW w:w="537" w:type="pct"/>
            <w:noWrap/>
            <w:hideMark/>
          </w:tcPr>
          <w:p w14:paraId="750B707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3.4</w:t>
            </w:r>
          </w:p>
        </w:tc>
        <w:tc>
          <w:tcPr>
            <w:tcW w:w="537" w:type="pct"/>
            <w:noWrap/>
            <w:hideMark/>
          </w:tcPr>
          <w:p w14:paraId="52E75788"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5.09</w:t>
            </w:r>
          </w:p>
        </w:tc>
      </w:tr>
      <w:tr w:rsidR="009D7419" w:rsidRPr="00FB34C2" w14:paraId="790C6F28"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169F95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Diluted eps incl. extra items</w:t>
            </w:r>
          </w:p>
        </w:tc>
        <w:tc>
          <w:tcPr>
            <w:tcW w:w="537" w:type="pct"/>
            <w:noWrap/>
            <w:hideMark/>
          </w:tcPr>
          <w:p w14:paraId="498E713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789A2E2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4.11</w:t>
            </w:r>
          </w:p>
        </w:tc>
        <w:tc>
          <w:tcPr>
            <w:tcW w:w="537" w:type="pct"/>
            <w:noWrap/>
            <w:hideMark/>
          </w:tcPr>
          <w:p w14:paraId="4DEAADCB"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w:t>
            </w:r>
          </w:p>
        </w:tc>
        <w:tc>
          <w:tcPr>
            <w:tcW w:w="537" w:type="pct"/>
            <w:noWrap/>
            <w:hideMark/>
          </w:tcPr>
          <w:p w14:paraId="3F1A342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3.4</w:t>
            </w:r>
          </w:p>
        </w:tc>
        <w:tc>
          <w:tcPr>
            <w:tcW w:w="537" w:type="pct"/>
            <w:noWrap/>
            <w:hideMark/>
          </w:tcPr>
          <w:p w14:paraId="6B500CE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5.09</w:t>
            </w:r>
          </w:p>
        </w:tc>
      </w:tr>
      <w:tr w:rsidR="009D7419" w:rsidRPr="00FB34C2" w14:paraId="485C3744"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D113F00"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COMMON STOCK DIVIDENDS</w:t>
            </w:r>
          </w:p>
        </w:tc>
        <w:tc>
          <w:tcPr>
            <w:tcW w:w="537" w:type="pct"/>
            <w:noWrap/>
            <w:hideMark/>
          </w:tcPr>
          <w:p w14:paraId="49AACB60"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3848FCC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315AB57"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15B1507"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2E42810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00564C3F"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4C10A1E"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DPS - common stock primary issue</w:t>
            </w:r>
          </w:p>
        </w:tc>
        <w:tc>
          <w:tcPr>
            <w:tcW w:w="537" w:type="pct"/>
            <w:noWrap/>
            <w:hideMark/>
          </w:tcPr>
          <w:p w14:paraId="4CADCF4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0.91</w:t>
            </w:r>
          </w:p>
        </w:tc>
        <w:tc>
          <w:tcPr>
            <w:tcW w:w="537" w:type="pct"/>
            <w:noWrap/>
            <w:hideMark/>
          </w:tcPr>
          <w:p w14:paraId="42F5C15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w:t>
            </w:r>
          </w:p>
        </w:tc>
        <w:tc>
          <w:tcPr>
            <w:tcW w:w="537" w:type="pct"/>
            <w:noWrap/>
            <w:hideMark/>
          </w:tcPr>
          <w:p w14:paraId="69070BAE"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1.26</w:t>
            </w:r>
          </w:p>
        </w:tc>
        <w:tc>
          <w:tcPr>
            <w:tcW w:w="537" w:type="pct"/>
            <w:noWrap/>
            <w:hideMark/>
          </w:tcPr>
          <w:p w14:paraId="4E5813B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1.29</w:t>
            </w:r>
          </w:p>
        </w:tc>
        <w:tc>
          <w:tcPr>
            <w:tcW w:w="537" w:type="pct"/>
            <w:noWrap/>
            <w:hideMark/>
          </w:tcPr>
          <w:p w14:paraId="23F81BFC"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0.44</w:t>
            </w:r>
          </w:p>
        </w:tc>
      </w:tr>
      <w:tr w:rsidR="009D7419" w:rsidRPr="00FB34C2" w14:paraId="7645A45D"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09B7BB1F"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Gross dividend - common stock</w:t>
            </w:r>
          </w:p>
        </w:tc>
        <w:tc>
          <w:tcPr>
            <w:tcW w:w="537" w:type="pct"/>
            <w:noWrap/>
            <w:hideMark/>
          </w:tcPr>
          <w:p w14:paraId="68924A8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75</w:t>
            </w:r>
          </w:p>
        </w:tc>
        <w:tc>
          <w:tcPr>
            <w:tcW w:w="537" w:type="pct"/>
            <w:noWrap/>
            <w:hideMark/>
          </w:tcPr>
          <w:p w14:paraId="4F4158EC"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w:t>
            </w:r>
          </w:p>
        </w:tc>
        <w:tc>
          <w:tcPr>
            <w:tcW w:w="537" w:type="pct"/>
            <w:noWrap/>
            <w:hideMark/>
          </w:tcPr>
          <w:p w14:paraId="18FD426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146</w:t>
            </w:r>
          </w:p>
        </w:tc>
        <w:tc>
          <w:tcPr>
            <w:tcW w:w="537" w:type="pct"/>
            <w:noWrap/>
            <w:hideMark/>
          </w:tcPr>
          <w:p w14:paraId="46E86B9D"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150</w:t>
            </w:r>
          </w:p>
        </w:tc>
        <w:tc>
          <w:tcPr>
            <w:tcW w:w="537" w:type="pct"/>
            <w:noWrap/>
            <w:hideMark/>
          </w:tcPr>
          <w:p w14:paraId="5D7540D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rsidR="009D7419" w:rsidRPr="00FB34C2" w14:paraId="4511217C"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68BF7453"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PRO FORMA INCOME</w:t>
            </w:r>
          </w:p>
        </w:tc>
        <w:tc>
          <w:tcPr>
            <w:tcW w:w="537" w:type="pct"/>
            <w:noWrap/>
            <w:hideMark/>
          </w:tcPr>
          <w:p w14:paraId="13DE8DC4"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5BF1441C"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51CED0F2"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0632A78A"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0520184"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495C4C63"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D3E678A"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Pro forma net income</w:t>
            </w:r>
          </w:p>
        </w:tc>
        <w:tc>
          <w:tcPr>
            <w:tcW w:w="537" w:type="pct"/>
            <w:noWrap/>
            <w:hideMark/>
          </w:tcPr>
          <w:p w14:paraId="1E16FCA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72E6DB71"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D7D8347"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7321ECC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77852152"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4961F1D0"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4EB46B5"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Interest expense, supplemental</w:t>
            </w:r>
          </w:p>
        </w:tc>
        <w:tc>
          <w:tcPr>
            <w:tcW w:w="537" w:type="pct"/>
            <w:noWrap/>
            <w:hideMark/>
          </w:tcPr>
          <w:p w14:paraId="0104784E"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24</w:t>
            </w:r>
          </w:p>
        </w:tc>
        <w:tc>
          <w:tcPr>
            <w:tcW w:w="537" w:type="pct"/>
            <w:noWrap/>
            <w:hideMark/>
          </w:tcPr>
          <w:p w14:paraId="23880734"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14</w:t>
            </w:r>
          </w:p>
        </w:tc>
        <w:tc>
          <w:tcPr>
            <w:tcW w:w="537" w:type="pct"/>
            <w:noWrap/>
            <w:hideMark/>
          </w:tcPr>
          <w:p w14:paraId="34891894"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8.6</w:t>
            </w:r>
          </w:p>
        </w:tc>
        <w:tc>
          <w:tcPr>
            <w:tcW w:w="537" w:type="pct"/>
            <w:noWrap/>
            <w:hideMark/>
          </w:tcPr>
          <w:p w14:paraId="0A80BE1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11</w:t>
            </w:r>
          </w:p>
        </w:tc>
        <w:tc>
          <w:tcPr>
            <w:tcW w:w="537" w:type="pct"/>
            <w:noWrap/>
            <w:hideMark/>
          </w:tcPr>
          <w:p w14:paraId="080881A3"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10</w:t>
            </w:r>
          </w:p>
        </w:tc>
      </w:tr>
      <w:tr w:rsidR="009D7419" w:rsidRPr="00FB34C2" w14:paraId="705BEA28"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4D86A578"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SUPPLEMENTAL INCOME</w:t>
            </w:r>
          </w:p>
        </w:tc>
        <w:tc>
          <w:tcPr>
            <w:tcW w:w="537" w:type="pct"/>
            <w:noWrap/>
            <w:hideMark/>
          </w:tcPr>
          <w:p w14:paraId="4186DA24"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6D6B5FFB"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B4E1645"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0DB93919"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15D03A5E" w14:textId="77777777" w:rsidR="009D7419" w:rsidRPr="00FB34C2"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42B93D0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13301B6"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Depreciation, supplemental</w:t>
            </w:r>
          </w:p>
        </w:tc>
        <w:tc>
          <w:tcPr>
            <w:tcW w:w="537" w:type="pct"/>
            <w:noWrap/>
            <w:hideMark/>
          </w:tcPr>
          <w:p w14:paraId="6CD55C49"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w:t>
            </w:r>
          </w:p>
        </w:tc>
        <w:tc>
          <w:tcPr>
            <w:tcW w:w="537" w:type="pct"/>
            <w:noWrap/>
            <w:hideMark/>
          </w:tcPr>
          <w:p w14:paraId="50424D10"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w:t>
            </w:r>
          </w:p>
        </w:tc>
        <w:tc>
          <w:tcPr>
            <w:tcW w:w="537" w:type="pct"/>
            <w:noWrap/>
            <w:hideMark/>
          </w:tcPr>
          <w:p w14:paraId="1A93320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w:t>
            </w:r>
          </w:p>
        </w:tc>
        <w:tc>
          <w:tcPr>
            <w:tcW w:w="537" w:type="pct"/>
            <w:noWrap/>
            <w:hideMark/>
          </w:tcPr>
          <w:p w14:paraId="1BF43BB9"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w:t>
            </w:r>
          </w:p>
        </w:tc>
        <w:tc>
          <w:tcPr>
            <w:tcW w:w="537" w:type="pct"/>
            <w:noWrap/>
            <w:hideMark/>
          </w:tcPr>
          <w:p w14:paraId="03A3EC9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2</w:t>
            </w:r>
          </w:p>
        </w:tc>
      </w:tr>
      <w:tr w:rsidR="009D7419" w:rsidRPr="00FB34C2" w14:paraId="0C4D73C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766B79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Total special items</w:t>
            </w:r>
          </w:p>
        </w:tc>
        <w:tc>
          <w:tcPr>
            <w:tcW w:w="537" w:type="pct"/>
            <w:noWrap/>
            <w:hideMark/>
          </w:tcPr>
          <w:p w14:paraId="1A9D0BD9"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w:t>
            </w:r>
          </w:p>
        </w:tc>
        <w:tc>
          <w:tcPr>
            <w:tcW w:w="537" w:type="pct"/>
            <w:noWrap/>
            <w:hideMark/>
          </w:tcPr>
          <w:p w14:paraId="15DC32F7"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0.1</w:t>
            </w:r>
          </w:p>
        </w:tc>
        <w:tc>
          <w:tcPr>
            <w:tcW w:w="537" w:type="pct"/>
            <w:noWrap/>
            <w:hideMark/>
          </w:tcPr>
          <w:p w14:paraId="3B9BEADF"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w:t>
            </w:r>
          </w:p>
        </w:tc>
        <w:tc>
          <w:tcPr>
            <w:tcW w:w="537" w:type="pct"/>
            <w:noWrap/>
            <w:hideMark/>
          </w:tcPr>
          <w:p w14:paraId="678E4F3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0.2</w:t>
            </w:r>
          </w:p>
        </w:tc>
        <w:tc>
          <w:tcPr>
            <w:tcW w:w="537" w:type="pct"/>
            <w:noWrap/>
            <w:hideMark/>
          </w:tcPr>
          <w:p w14:paraId="5982DC6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0.2</w:t>
            </w:r>
          </w:p>
        </w:tc>
      </w:tr>
      <w:tr w:rsidR="009D7419" w:rsidRPr="00FB34C2" w14:paraId="21AFD272"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2600492"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NORMALISED INCOME</w:t>
            </w:r>
          </w:p>
        </w:tc>
        <w:tc>
          <w:tcPr>
            <w:tcW w:w="537" w:type="pct"/>
            <w:noWrap/>
            <w:hideMark/>
          </w:tcPr>
          <w:p w14:paraId="089C1601"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37" w:type="pct"/>
            <w:noWrap/>
            <w:hideMark/>
          </w:tcPr>
          <w:p w14:paraId="6704EA58"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29F24D6"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6E54EAAC"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37" w:type="pct"/>
            <w:noWrap/>
            <w:hideMark/>
          </w:tcPr>
          <w:p w14:paraId="4ABBCCE2" w14:textId="77777777" w:rsidR="009D7419" w:rsidRPr="00FB34C2"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B34C2" w14:paraId="1AAB4416"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712918CE"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Normalized income before taxes</w:t>
            </w:r>
          </w:p>
        </w:tc>
        <w:tc>
          <w:tcPr>
            <w:tcW w:w="537" w:type="pct"/>
            <w:noWrap/>
            <w:hideMark/>
          </w:tcPr>
          <w:p w14:paraId="50A99C48"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608</w:t>
            </w:r>
          </w:p>
        </w:tc>
        <w:tc>
          <w:tcPr>
            <w:tcW w:w="537" w:type="pct"/>
            <w:noWrap/>
            <w:hideMark/>
          </w:tcPr>
          <w:p w14:paraId="15DD635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552</w:t>
            </w:r>
          </w:p>
        </w:tc>
        <w:tc>
          <w:tcPr>
            <w:tcW w:w="537" w:type="pct"/>
            <w:noWrap/>
            <w:hideMark/>
          </w:tcPr>
          <w:p w14:paraId="693859F1"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518</w:t>
            </w:r>
          </w:p>
        </w:tc>
        <w:tc>
          <w:tcPr>
            <w:tcW w:w="537" w:type="pct"/>
            <w:noWrap/>
            <w:hideMark/>
          </w:tcPr>
          <w:p w14:paraId="31DF56E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504</w:t>
            </w:r>
          </w:p>
        </w:tc>
        <w:tc>
          <w:tcPr>
            <w:tcW w:w="537" w:type="pct"/>
            <w:noWrap/>
            <w:hideMark/>
          </w:tcPr>
          <w:p w14:paraId="6014D7E5"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775</w:t>
            </w:r>
          </w:p>
        </w:tc>
      </w:tr>
      <w:tr w:rsidR="009D7419" w:rsidRPr="00FB34C2" w14:paraId="05E0DE5D"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75FB5F1"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Effect of special items on income taxes</w:t>
            </w:r>
          </w:p>
        </w:tc>
        <w:tc>
          <w:tcPr>
            <w:tcW w:w="537" w:type="pct"/>
            <w:noWrap/>
            <w:hideMark/>
          </w:tcPr>
          <w:p w14:paraId="6DD3AFF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0.85</w:t>
            </w:r>
          </w:p>
        </w:tc>
        <w:tc>
          <w:tcPr>
            <w:tcW w:w="537" w:type="pct"/>
            <w:noWrap/>
            <w:hideMark/>
          </w:tcPr>
          <w:p w14:paraId="6D13B47B"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0.01</w:t>
            </w:r>
          </w:p>
        </w:tc>
        <w:tc>
          <w:tcPr>
            <w:tcW w:w="537" w:type="pct"/>
            <w:noWrap/>
            <w:hideMark/>
          </w:tcPr>
          <w:p w14:paraId="27FFD3C9"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w:t>
            </w:r>
          </w:p>
        </w:tc>
        <w:tc>
          <w:tcPr>
            <w:tcW w:w="537" w:type="pct"/>
            <w:noWrap/>
            <w:hideMark/>
          </w:tcPr>
          <w:p w14:paraId="1C6C9EA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0.04</w:t>
            </w:r>
          </w:p>
        </w:tc>
        <w:tc>
          <w:tcPr>
            <w:tcW w:w="537" w:type="pct"/>
            <w:noWrap/>
            <w:hideMark/>
          </w:tcPr>
          <w:p w14:paraId="0E0F8EAB"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0.04</w:t>
            </w:r>
          </w:p>
        </w:tc>
      </w:tr>
      <w:tr w:rsidR="009D7419" w:rsidRPr="00FB34C2" w14:paraId="7E10A561"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EBF37A8"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Income tax excluding impact of special items</w:t>
            </w:r>
          </w:p>
        </w:tc>
        <w:tc>
          <w:tcPr>
            <w:tcW w:w="537" w:type="pct"/>
            <w:noWrap/>
            <w:hideMark/>
          </w:tcPr>
          <w:p w14:paraId="28C6DF68"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139</w:t>
            </w:r>
          </w:p>
        </w:tc>
        <w:tc>
          <w:tcPr>
            <w:tcW w:w="537" w:type="pct"/>
            <w:noWrap/>
            <w:hideMark/>
          </w:tcPr>
          <w:p w14:paraId="7075552C"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69</w:t>
            </w:r>
          </w:p>
        </w:tc>
        <w:tc>
          <w:tcPr>
            <w:tcW w:w="537" w:type="pct"/>
            <w:noWrap/>
            <w:hideMark/>
          </w:tcPr>
          <w:p w14:paraId="6051624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95</w:t>
            </w:r>
          </w:p>
        </w:tc>
        <w:tc>
          <w:tcPr>
            <w:tcW w:w="537" w:type="pct"/>
            <w:noWrap/>
            <w:hideMark/>
          </w:tcPr>
          <w:p w14:paraId="2D335FC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94</w:t>
            </w:r>
          </w:p>
        </w:tc>
        <w:tc>
          <w:tcPr>
            <w:tcW w:w="537" w:type="pct"/>
            <w:noWrap/>
            <w:hideMark/>
          </w:tcPr>
          <w:p w14:paraId="26ED70E4"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148</w:t>
            </w:r>
          </w:p>
        </w:tc>
      </w:tr>
      <w:tr w:rsidR="009D7419" w:rsidRPr="00FB34C2" w14:paraId="51DE7DEF"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FA5702C"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Normalized income after tax</w:t>
            </w:r>
          </w:p>
        </w:tc>
        <w:tc>
          <w:tcPr>
            <w:tcW w:w="537" w:type="pct"/>
            <w:noWrap/>
            <w:hideMark/>
          </w:tcPr>
          <w:p w14:paraId="68CD4497"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469</w:t>
            </w:r>
          </w:p>
        </w:tc>
        <w:tc>
          <w:tcPr>
            <w:tcW w:w="537" w:type="pct"/>
            <w:noWrap/>
            <w:hideMark/>
          </w:tcPr>
          <w:p w14:paraId="25CD3152"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4BE9CFCF"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63D61ACE"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27CF2C2D"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628</w:t>
            </w:r>
          </w:p>
        </w:tc>
      </w:tr>
      <w:tr w:rsidR="009D7419" w:rsidRPr="00FB34C2" w14:paraId="5BD89031"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5F920D84" w14:textId="77777777" w:rsidR="009D7419" w:rsidRPr="00FB34C2" w:rsidRDefault="009D7419" w:rsidP="00CD240D">
            <w:pPr>
              <w:rPr>
                <w:rFonts w:ascii="Arial" w:eastAsia="Times New Roman" w:hAnsi="Arial" w:cs="Arial"/>
                <w:b w:val="0"/>
                <w:bCs w:val="0"/>
                <w:color w:val="000000"/>
                <w:sz w:val="20"/>
                <w:szCs w:val="20"/>
              </w:rPr>
            </w:pPr>
            <w:r w:rsidRPr="00FB34C2">
              <w:rPr>
                <w:rFonts w:ascii="Arial" w:eastAsia="Times New Roman" w:hAnsi="Arial" w:cs="Arial"/>
                <w:b w:val="0"/>
                <w:bCs w:val="0"/>
                <w:color w:val="000000"/>
                <w:sz w:val="20"/>
                <w:szCs w:val="20"/>
              </w:rPr>
              <w:t>Normalized income avail. to common</w:t>
            </w:r>
          </w:p>
        </w:tc>
        <w:tc>
          <w:tcPr>
            <w:tcW w:w="537" w:type="pct"/>
            <w:noWrap/>
            <w:hideMark/>
          </w:tcPr>
          <w:p w14:paraId="011D7D0A"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469</w:t>
            </w:r>
          </w:p>
        </w:tc>
        <w:tc>
          <w:tcPr>
            <w:tcW w:w="537" w:type="pct"/>
            <w:noWrap/>
            <w:hideMark/>
          </w:tcPr>
          <w:p w14:paraId="63529450"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482</w:t>
            </w:r>
          </w:p>
        </w:tc>
        <w:tc>
          <w:tcPr>
            <w:tcW w:w="537" w:type="pct"/>
            <w:noWrap/>
            <w:hideMark/>
          </w:tcPr>
          <w:p w14:paraId="7210BD4B"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423</w:t>
            </w:r>
          </w:p>
        </w:tc>
        <w:tc>
          <w:tcPr>
            <w:tcW w:w="537" w:type="pct"/>
            <w:noWrap/>
            <w:hideMark/>
          </w:tcPr>
          <w:p w14:paraId="073AD1B2"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410</w:t>
            </w:r>
          </w:p>
        </w:tc>
        <w:tc>
          <w:tcPr>
            <w:tcW w:w="537" w:type="pct"/>
            <w:noWrap/>
            <w:hideMark/>
          </w:tcPr>
          <w:p w14:paraId="768B5F6B"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628</w:t>
            </w:r>
          </w:p>
        </w:tc>
      </w:tr>
      <w:tr w:rsidR="009D7419" w:rsidRPr="00FB34C2" w14:paraId="60F52F0B"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1E209F9D"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Basic normalized EPS</w:t>
            </w:r>
          </w:p>
        </w:tc>
        <w:tc>
          <w:tcPr>
            <w:tcW w:w="537" w:type="pct"/>
            <w:noWrap/>
            <w:hideMark/>
          </w:tcPr>
          <w:p w14:paraId="64980E85"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4.29</w:t>
            </w:r>
          </w:p>
        </w:tc>
        <w:tc>
          <w:tcPr>
            <w:tcW w:w="537" w:type="pct"/>
            <w:noWrap/>
            <w:hideMark/>
          </w:tcPr>
          <w:p w14:paraId="3871DEE8"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4.18</w:t>
            </w:r>
          </w:p>
        </w:tc>
        <w:tc>
          <w:tcPr>
            <w:tcW w:w="537" w:type="pct"/>
            <w:noWrap/>
            <w:hideMark/>
          </w:tcPr>
          <w:p w14:paraId="038134E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3.67</w:t>
            </w:r>
          </w:p>
        </w:tc>
        <w:tc>
          <w:tcPr>
            <w:tcW w:w="537" w:type="pct"/>
            <w:noWrap/>
            <w:hideMark/>
          </w:tcPr>
          <w:p w14:paraId="0ED7A531"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3.52</w:t>
            </w:r>
          </w:p>
        </w:tc>
        <w:tc>
          <w:tcPr>
            <w:tcW w:w="537" w:type="pct"/>
            <w:noWrap/>
            <w:hideMark/>
          </w:tcPr>
          <w:p w14:paraId="01E8F46A" w14:textId="77777777" w:rsidR="009D7419" w:rsidRPr="00FB34C2"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5.21</w:t>
            </w:r>
          </w:p>
        </w:tc>
      </w:tr>
      <w:tr w:rsidR="009D7419" w:rsidRPr="00FB34C2" w14:paraId="58A45095"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313" w:type="pct"/>
            <w:noWrap/>
            <w:hideMark/>
          </w:tcPr>
          <w:p w14:paraId="391A9D1A" w14:textId="77777777" w:rsidR="009D7419" w:rsidRPr="00FB34C2" w:rsidRDefault="009D7419" w:rsidP="00CD240D">
            <w:pPr>
              <w:rPr>
                <w:rFonts w:ascii="Arial" w:eastAsia="Times New Roman" w:hAnsi="Arial" w:cs="Arial"/>
                <w:color w:val="000000"/>
                <w:sz w:val="20"/>
                <w:szCs w:val="20"/>
              </w:rPr>
            </w:pPr>
            <w:r w:rsidRPr="00FB34C2">
              <w:rPr>
                <w:rFonts w:ascii="Arial" w:eastAsia="Times New Roman" w:hAnsi="Arial" w:cs="Arial"/>
                <w:color w:val="000000"/>
                <w:sz w:val="20"/>
                <w:szCs w:val="20"/>
              </w:rPr>
              <w:t>Diluted normalized EPS</w:t>
            </w:r>
          </w:p>
        </w:tc>
        <w:tc>
          <w:tcPr>
            <w:tcW w:w="537" w:type="pct"/>
            <w:noWrap/>
            <w:hideMark/>
          </w:tcPr>
          <w:p w14:paraId="4D09D2B3"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4.25</w:t>
            </w:r>
          </w:p>
        </w:tc>
        <w:tc>
          <w:tcPr>
            <w:tcW w:w="537" w:type="pct"/>
            <w:noWrap/>
            <w:hideMark/>
          </w:tcPr>
          <w:p w14:paraId="0CE4F838"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4.11</w:t>
            </w:r>
          </w:p>
        </w:tc>
        <w:tc>
          <w:tcPr>
            <w:tcW w:w="537" w:type="pct"/>
            <w:noWrap/>
            <w:hideMark/>
          </w:tcPr>
          <w:p w14:paraId="471331FE"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3.6</w:t>
            </w:r>
          </w:p>
        </w:tc>
        <w:tc>
          <w:tcPr>
            <w:tcW w:w="537" w:type="pct"/>
            <w:noWrap/>
            <w:hideMark/>
          </w:tcPr>
          <w:p w14:paraId="4671B936"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3.4</w:t>
            </w:r>
          </w:p>
        </w:tc>
        <w:tc>
          <w:tcPr>
            <w:tcW w:w="537" w:type="pct"/>
            <w:noWrap/>
            <w:hideMark/>
          </w:tcPr>
          <w:p w14:paraId="13DB2197" w14:textId="77777777" w:rsidR="009D7419" w:rsidRPr="00FB34C2"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B34C2">
              <w:rPr>
                <w:rFonts w:ascii="Arial" w:eastAsia="Times New Roman" w:hAnsi="Arial" w:cs="Arial"/>
                <w:color w:val="000000"/>
                <w:sz w:val="20"/>
                <w:szCs w:val="20"/>
              </w:rPr>
              <w:t>5.09</w:t>
            </w:r>
          </w:p>
        </w:tc>
      </w:tr>
    </w:tbl>
    <w:p w14:paraId="6085153B" w14:textId="77777777" w:rsidR="009D7419" w:rsidRDefault="009D7419" w:rsidP="00923F6C">
      <w:pPr>
        <w:spacing w:after="0" w:line="360" w:lineRule="auto"/>
        <w:jc w:val="center"/>
        <w:rPr>
          <w:rFonts w:ascii="Calibri" w:hAnsi="Calibri" w:cs="Calibri"/>
          <w:color w:val="000000" w:themeColor="text1"/>
        </w:rPr>
      </w:pPr>
    </w:p>
    <w:p w14:paraId="4E25C2C0" w14:textId="77777777" w:rsidR="009D7419" w:rsidRDefault="009D7419" w:rsidP="00923F6C">
      <w:pPr>
        <w:spacing w:after="0" w:line="360" w:lineRule="auto"/>
        <w:jc w:val="center"/>
        <w:rPr>
          <w:rFonts w:ascii="Calibri" w:hAnsi="Calibri" w:cs="Calibri"/>
          <w:color w:val="000000" w:themeColor="text1"/>
        </w:rPr>
      </w:pPr>
    </w:p>
    <w:tbl>
      <w:tblPr>
        <w:tblStyle w:val="ListTable4-Accent2"/>
        <w:tblW w:w="5000" w:type="pct"/>
        <w:tblLook w:val="04A0" w:firstRow="1" w:lastRow="0" w:firstColumn="1" w:lastColumn="0" w:noHBand="0" w:noVBand="1"/>
      </w:tblPr>
      <w:tblGrid>
        <w:gridCol w:w="4163"/>
        <w:gridCol w:w="1037"/>
        <w:gridCol w:w="1038"/>
        <w:gridCol w:w="1038"/>
        <w:gridCol w:w="1038"/>
        <w:gridCol w:w="1036"/>
      </w:tblGrid>
      <w:tr w:rsidR="009D7419" w:rsidRPr="00FF6806" w14:paraId="1CB47E99" w14:textId="77777777" w:rsidTr="00CD240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noWrap/>
            <w:hideMark/>
          </w:tcPr>
          <w:p w14:paraId="604F4D1D" w14:textId="77777777" w:rsidR="009D7419" w:rsidRPr="00FF6806" w:rsidRDefault="009D7419" w:rsidP="00CD240D">
            <w:pPr>
              <w:jc w:val="center"/>
              <w:rPr>
                <w:rFonts w:ascii="Arial" w:eastAsia="Times New Roman" w:hAnsi="Arial" w:cs="Arial"/>
                <w:color w:val="FFFFFF"/>
                <w:sz w:val="20"/>
                <w:szCs w:val="20"/>
              </w:rPr>
            </w:pPr>
            <w:r w:rsidRPr="00FF6806">
              <w:rPr>
                <w:rFonts w:ascii="Arial" w:eastAsia="Times New Roman" w:hAnsi="Arial" w:cs="Arial"/>
                <w:color w:val="FFFFFF"/>
                <w:sz w:val="20"/>
                <w:szCs w:val="20"/>
              </w:rPr>
              <w:t>THE BERKELEY GROUP HOLDINGS PLC</w:t>
            </w:r>
          </w:p>
          <w:p w14:paraId="5D4E3783" w14:textId="77777777" w:rsidR="009D7419" w:rsidRPr="00FF6806" w:rsidRDefault="009D7419" w:rsidP="00CD240D">
            <w:pPr>
              <w:jc w:val="center"/>
              <w:rPr>
                <w:rFonts w:ascii="Arial" w:eastAsia="Times New Roman" w:hAnsi="Arial" w:cs="Arial"/>
                <w:color w:val="FFFFFF"/>
                <w:sz w:val="20"/>
                <w:szCs w:val="20"/>
              </w:rPr>
            </w:pPr>
            <w:r w:rsidRPr="00FF6806">
              <w:rPr>
                <w:rFonts w:ascii="Arial" w:eastAsia="Times New Roman" w:hAnsi="Arial" w:cs="Arial"/>
                <w:color w:val="FFFFFF"/>
                <w:sz w:val="20"/>
                <w:szCs w:val="20"/>
              </w:rPr>
              <w:t>BALANCE SHEET</w:t>
            </w:r>
          </w:p>
        </w:tc>
      </w:tr>
      <w:tr w:rsidR="009D7419" w:rsidRPr="00FF6806" w14:paraId="2FF6770D"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3697D89"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Fiscal data as of Apr 30 2023</w:t>
            </w:r>
          </w:p>
        </w:tc>
        <w:tc>
          <w:tcPr>
            <w:tcW w:w="555" w:type="pct"/>
            <w:noWrap/>
            <w:hideMark/>
          </w:tcPr>
          <w:p w14:paraId="1101D55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2023</w:t>
            </w:r>
          </w:p>
        </w:tc>
        <w:tc>
          <w:tcPr>
            <w:tcW w:w="555" w:type="pct"/>
            <w:noWrap/>
            <w:hideMark/>
          </w:tcPr>
          <w:p w14:paraId="0E61A1D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2022</w:t>
            </w:r>
          </w:p>
        </w:tc>
        <w:tc>
          <w:tcPr>
            <w:tcW w:w="555" w:type="pct"/>
            <w:noWrap/>
            <w:hideMark/>
          </w:tcPr>
          <w:p w14:paraId="528AF3B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2021</w:t>
            </w:r>
          </w:p>
        </w:tc>
        <w:tc>
          <w:tcPr>
            <w:tcW w:w="555" w:type="pct"/>
            <w:noWrap/>
            <w:hideMark/>
          </w:tcPr>
          <w:p w14:paraId="37B4DDA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2020</w:t>
            </w:r>
          </w:p>
        </w:tc>
        <w:tc>
          <w:tcPr>
            <w:tcW w:w="553" w:type="pct"/>
            <w:noWrap/>
            <w:hideMark/>
          </w:tcPr>
          <w:p w14:paraId="30A7C9D3"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2019</w:t>
            </w:r>
          </w:p>
        </w:tc>
      </w:tr>
      <w:tr w:rsidR="009D7419" w:rsidRPr="00FF6806" w14:paraId="0F9E435C"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1D41E79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ASSETS</w:t>
            </w:r>
          </w:p>
        </w:tc>
        <w:tc>
          <w:tcPr>
            <w:tcW w:w="555" w:type="pct"/>
            <w:noWrap/>
            <w:hideMark/>
          </w:tcPr>
          <w:p w14:paraId="045D8836"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133F2DA0"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79C61AD4"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00030B3"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62591C44"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124AC7C1"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58ACE0E"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 xml:space="preserve">Cash And </w:t>
            </w:r>
            <w:proofErr w:type="gramStart"/>
            <w:r w:rsidRPr="00FF6806">
              <w:rPr>
                <w:rFonts w:ascii="Arial" w:eastAsia="Times New Roman" w:hAnsi="Arial" w:cs="Arial"/>
                <w:color w:val="000000"/>
                <w:sz w:val="20"/>
                <w:szCs w:val="20"/>
              </w:rPr>
              <w:t>Short Term</w:t>
            </w:r>
            <w:proofErr w:type="gramEnd"/>
            <w:r w:rsidRPr="00FF6806">
              <w:rPr>
                <w:rFonts w:ascii="Arial" w:eastAsia="Times New Roman" w:hAnsi="Arial" w:cs="Arial"/>
                <w:color w:val="000000"/>
                <w:sz w:val="20"/>
                <w:szCs w:val="20"/>
              </w:rPr>
              <w:t xml:space="preserve"> Investments</w:t>
            </w:r>
          </w:p>
        </w:tc>
        <w:tc>
          <w:tcPr>
            <w:tcW w:w="555" w:type="pct"/>
            <w:noWrap/>
            <w:hideMark/>
          </w:tcPr>
          <w:p w14:paraId="790FBA5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1,070</w:t>
            </w:r>
          </w:p>
        </w:tc>
        <w:tc>
          <w:tcPr>
            <w:tcW w:w="555" w:type="pct"/>
            <w:noWrap/>
            <w:hideMark/>
          </w:tcPr>
          <w:p w14:paraId="6B6B76F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929</w:t>
            </w:r>
          </w:p>
        </w:tc>
        <w:tc>
          <w:tcPr>
            <w:tcW w:w="555" w:type="pct"/>
            <w:noWrap/>
            <w:hideMark/>
          </w:tcPr>
          <w:p w14:paraId="14C09F5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1,428</w:t>
            </w:r>
          </w:p>
        </w:tc>
        <w:tc>
          <w:tcPr>
            <w:tcW w:w="555" w:type="pct"/>
            <w:noWrap/>
            <w:hideMark/>
          </w:tcPr>
          <w:p w14:paraId="3CAE18A3"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1,639</w:t>
            </w:r>
          </w:p>
        </w:tc>
        <w:tc>
          <w:tcPr>
            <w:tcW w:w="553" w:type="pct"/>
            <w:noWrap/>
            <w:hideMark/>
          </w:tcPr>
          <w:p w14:paraId="7DF3EFFD"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1,275</w:t>
            </w:r>
          </w:p>
        </w:tc>
      </w:tr>
      <w:tr w:rsidR="009D7419" w:rsidRPr="00FF6806" w14:paraId="3BB44F0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9DE00EB"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Receivables, Net</w:t>
            </w:r>
          </w:p>
        </w:tc>
        <w:tc>
          <w:tcPr>
            <w:tcW w:w="555" w:type="pct"/>
            <w:noWrap/>
            <w:hideMark/>
          </w:tcPr>
          <w:p w14:paraId="34D60DF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70</w:t>
            </w:r>
          </w:p>
        </w:tc>
        <w:tc>
          <w:tcPr>
            <w:tcW w:w="555" w:type="pct"/>
            <w:noWrap/>
            <w:hideMark/>
          </w:tcPr>
          <w:p w14:paraId="12E37BD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132</w:t>
            </w:r>
          </w:p>
        </w:tc>
        <w:tc>
          <w:tcPr>
            <w:tcW w:w="555" w:type="pct"/>
            <w:noWrap/>
            <w:hideMark/>
          </w:tcPr>
          <w:p w14:paraId="3C1324F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76</w:t>
            </w:r>
          </w:p>
        </w:tc>
        <w:tc>
          <w:tcPr>
            <w:tcW w:w="555" w:type="pct"/>
            <w:noWrap/>
            <w:hideMark/>
          </w:tcPr>
          <w:p w14:paraId="457E48F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59</w:t>
            </w:r>
          </w:p>
        </w:tc>
        <w:tc>
          <w:tcPr>
            <w:tcW w:w="553" w:type="pct"/>
            <w:noWrap/>
            <w:hideMark/>
          </w:tcPr>
          <w:p w14:paraId="18C0E8EB"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59</w:t>
            </w:r>
          </w:p>
        </w:tc>
      </w:tr>
      <w:tr w:rsidR="009D7419" w:rsidRPr="00FF6806" w14:paraId="47EF4B5E"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0F484FE1"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Inventory</w:t>
            </w:r>
          </w:p>
        </w:tc>
        <w:tc>
          <w:tcPr>
            <w:tcW w:w="555" w:type="pct"/>
            <w:noWrap/>
            <w:hideMark/>
          </w:tcPr>
          <w:p w14:paraId="642D352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5,302</w:t>
            </w:r>
          </w:p>
        </w:tc>
        <w:tc>
          <w:tcPr>
            <w:tcW w:w="555" w:type="pct"/>
            <w:noWrap/>
            <w:hideMark/>
          </w:tcPr>
          <w:p w14:paraId="355C8E1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5,134</w:t>
            </w:r>
          </w:p>
        </w:tc>
        <w:tc>
          <w:tcPr>
            <w:tcW w:w="555" w:type="pct"/>
            <w:noWrap/>
            <w:hideMark/>
          </w:tcPr>
          <w:p w14:paraId="3AC3739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3,653</w:t>
            </w:r>
          </w:p>
        </w:tc>
        <w:tc>
          <w:tcPr>
            <w:tcW w:w="555" w:type="pct"/>
            <w:noWrap/>
            <w:hideMark/>
          </w:tcPr>
          <w:p w14:paraId="7736A8B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3,555</w:t>
            </w:r>
          </w:p>
        </w:tc>
        <w:tc>
          <w:tcPr>
            <w:tcW w:w="553" w:type="pct"/>
            <w:noWrap/>
            <w:hideMark/>
          </w:tcPr>
          <w:p w14:paraId="06F3898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3,115</w:t>
            </w:r>
          </w:p>
        </w:tc>
      </w:tr>
      <w:tr w:rsidR="009D7419" w:rsidRPr="00FF6806" w14:paraId="39630734"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22B3AC0"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Prepaid expenses</w:t>
            </w:r>
          </w:p>
        </w:tc>
        <w:tc>
          <w:tcPr>
            <w:tcW w:w="555" w:type="pct"/>
            <w:noWrap/>
            <w:hideMark/>
          </w:tcPr>
          <w:p w14:paraId="0F79BD4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22</w:t>
            </w:r>
          </w:p>
        </w:tc>
        <w:tc>
          <w:tcPr>
            <w:tcW w:w="555" w:type="pct"/>
            <w:noWrap/>
            <w:hideMark/>
          </w:tcPr>
          <w:p w14:paraId="4C5F2B5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18</w:t>
            </w:r>
          </w:p>
        </w:tc>
        <w:tc>
          <w:tcPr>
            <w:tcW w:w="555" w:type="pct"/>
            <w:noWrap/>
            <w:hideMark/>
          </w:tcPr>
          <w:p w14:paraId="7A0EFE5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7.4</w:t>
            </w:r>
          </w:p>
        </w:tc>
        <w:tc>
          <w:tcPr>
            <w:tcW w:w="555" w:type="pct"/>
            <w:noWrap/>
            <w:hideMark/>
          </w:tcPr>
          <w:p w14:paraId="2C418B2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15</w:t>
            </w:r>
          </w:p>
        </w:tc>
        <w:tc>
          <w:tcPr>
            <w:tcW w:w="553" w:type="pct"/>
            <w:noWrap/>
            <w:hideMark/>
          </w:tcPr>
          <w:p w14:paraId="6985498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8.8</w:t>
            </w:r>
          </w:p>
        </w:tc>
      </w:tr>
      <w:tr w:rsidR="009D7419" w:rsidRPr="00FF6806" w14:paraId="69DA11C0"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27182817"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Other current assets, total</w:t>
            </w:r>
          </w:p>
        </w:tc>
        <w:tc>
          <w:tcPr>
            <w:tcW w:w="555" w:type="pct"/>
            <w:noWrap/>
            <w:hideMark/>
          </w:tcPr>
          <w:p w14:paraId="64C6B7C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3685E4D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9A94D92"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7F11B3B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6528D0A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3B315029"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DE7E696"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Total current assets</w:t>
            </w:r>
          </w:p>
        </w:tc>
        <w:tc>
          <w:tcPr>
            <w:tcW w:w="555" w:type="pct"/>
            <w:noWrap/>
            <w:hideMark/>
          </w:tcPr>
          <w:p w14:paraId="748601A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6,465</w:t>
            </w:r>
          </w:p>
        </w:tc>
        <w:tc>
          <w:tcPr>
            <w:tcW w:w="555" w:type="pct"/>
            <w:noWrap/>
            <w:hideMark/>
          </w:tcPr>
          <w:p w14:paraId="53FA329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6,213</w:t>
            </w:r>
          </w:p>
        </w:tc>
        <w:tc>
          <w:tcPr>
            <w:tcW w:w="555" w:type="pct"/>
            <w:noWrap/>
            <w:hideMark/>
          </w:tcPr>
          <w:p w14:paraId="4072C8DB"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5,164</w:t>
            </w:r>
          </w:p>
        </w:tc>
        <w:tc>
          <w:tcPr>
            <w:tcW w:w="555" w:type="pct"/>
            <w:noWrap/>
            <w:hideMark/>
          </w:tcPr>
          <w:p w14:paraId="0E904DC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5,267</w:t>
            </w:r>
          </w:p>
        </w:tc>
        <w:tc>
          <w:tcPr>
            <w:tcW w:w="553" w:type="pct"/>
            <w:noWrap/>
            <w:hideMark/>
          </w:tcPr>
          <w:p w14:paraId="5104AB6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4,458</w:t>
            </w:r>
          </w:p>
        </w:tc>
      </w:tr>
      <w:tr w:rsidR="009D7419" w:rsidRPr="00FF6806" w14:paraId="5298B5D3"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DDD0D6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Property, plant &amp; equipment, net</w:t>
            </w:r>
          </w:p>
        </w:tc>
        <w:tc>
          <w:tcPr>
            <w:tcW w:w="555" w:type="pct"/>
            <w:noWrap/>
            <w:hideMark/>
          </w:tcPr>
          <w:p w14:paraId="5457564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40</w:t>
            </w:r>
          </w:p>
        </w:tc>
        <w:tc>
          <w:tcPr>
            <w:tcW w:w="555" w:type="pct"/>
            <w:noWrap/>
            <w:hideMark/>
          </w:tcPr>
          <w:p w14:paraId="3596787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46</w:t>
            </w:r>
          </w:p>
        </w:tc>
        <w:tc>
          <w:tcPr>
            <w:tcW w:w="555" w:type="pct"/>
            <w:noWrap/>
            <w:hideMark/>
          </w:tcPr>
          <w:p w14:paraId="6897C19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49</w:t>
            </w:r>
          </w:p>
        </w:tc>
        <w:tc>
          <w:tcPr>
            <w:tcW w:w="555" w:type="pct"/>
            <w:noWrap/>
            <w:hideMark/>
          </w:tcPr>
          <w:p w14:paraId="20EBD58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51</w:t>
            </w:r>
          </w:p>
        </w:tc>
        <w:tc>
          <w:tcPr>
            <w:tcW w:w="553" w:type="pct"/>
            <w:noWrap/>
            <w:hideMark/>
          </w:tcPr>
          <w:p w14:paraId="126BF4BD"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43</w:t>
            </w:r>
          </w:p>
        </w:tc>
      </w:tr>
      <w:tr w:rsidR="009D7419" w:rsidRPr="00FF6806" w14:paraId="27044F48"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7843E36"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Goodwill, net</w:t>
            </w:r>
          </w:p>
        </w:tc>
        <w:tc>
          <w:tcPr>
            <w:tcW w:w="555" w:type="pct"/>
            <w:noWrap/>
            <w:hideMark/>
          </w:tcPr>
          <w:p w14:paraId="3753804C"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c>
          <w:tcPr>
            <w:tcW w:w="555" w:type="pct"/>
            <w:noWrap/>
            <w:hideMark/>
          </w:tcPr>
          <w:p w14:paraId="196DC5EB"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c>
          <w:tcPr>
            <w:tcW w:w="555" w:type="pct"/>
            <w:noWrap/>
            <w:hideMark/>
          </w:tcPr>
          <w:p w14:paraId="234E87D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c>
          <w:tcPr>
            <w:tcW w:w="555" w:type="pct"/>
            <w:noWrap/>
            <w:hideMark/>
          </w:tcPr>
          <w:p w14:paraId="16BDF0D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c>
          <w:tcPr>
            <w:tcW w:w="553" w:type="pct"/>
            <w:noWrap/>
            <w:hideMark/>
          </w:tcPr>
          <w:p w14:paraId="0FCC2DC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r>
      <w:tr w:rsidR="009D7419" w:rsidRPr="00FF6806" w14:paraId="0C946191"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B6254E5"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Intangibles, net</w:t>
            </w:r>
          </w:p>
        </w:tc>
        <w:tc>
          <w:tcPr>
            <w:tcW w:w="555" w:type="pct"/>
            <w:noWrap/>
            <w:hideMark/>
          </w:tcPr>
          <w:p w14:paraId="365FC9E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13D2894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0EEA20A6"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6F33355"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7B05121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752352A2"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336F9D5E"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Long term investments</w:t>
            </w:r>
          </w:p>
        </w:tc>
        <w:tc>
          <w:tcPr>
            <w:tcW w:w="555" w:type="pct"/>
            <w:noWrap/>
            <w:hideMark/>
          </w:tcPr>
          <w:p w14:paraId="5BF4E0A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223</w:t>
            </w:r>
          </w:p>
        </w:tc>
        <w:tc>
          <w:tcPr>
            <w:tcW w:w="555" w:type="pct"/>
            <w:noWrap/>
            <w:hideMark/>
          </w:tcPr>
          <w:p w14:paraId="5C5A9D9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190</w:t>
            </w:r>
          </w:p>
        </w:tc>
        <w:tc>
          <w:tcPr>
            <w:tcW w:w="555" w:type="pct"/>
            <w:noWrap/>
            <w:hideMark/>
          </w:tcPr>
          <w:p w14:paraId="1B5D660E"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282</w:t>
            </w:r>
          </w:p>
        </w:tc>
        <w:tc>
          <w:tcPr>
            <w:tcW w:w="555" w:type="pct"/>
            <w:noWrap/>
            <w:hideMark/>
          </w:tcPr>
          <w:p w14:paraId="6920EEA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262</w:t>
            </w:r>
          </w:p>
        </w:tc>
        <w:tc>
          <w:tcPr>
            <w:tcW w:w="553" w:type="pct"/>
            <w:noWrap/>
            <w:hideMark/>
          </w:tcPr>
          <w:p w14:paraId="2F6FF55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375</w:t>
            </w:r>
          </w:p>
        </w:tc>
      </w:tr>
      <w:tr w:rsidR="009D7419" w:rsidRPr="00FF6806" w14:paraId="6F389C65"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725F6C1"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Note receivable - long term</w:t>
            </w:r>
          </w:p>
        </w:tc>
        <w:tc>
          <w:tcPr>
            <w:tcW w:w="555" w:type="pct"/>
            <w:noWrap/>
            <w:hideMark/>
          </w:tcPr>
          <w:p w14:paraId="36782527"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3A36173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82689B4"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097D929D"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316E4AC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039F0CD0"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9D4CD8B"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 xml:space="preserve">Other </w:t>
            </w:r>
            <w:proofErr w:type="gramStart"/>
            <w:r w:rsidRPr="00FF6806">
              <w:rPr>
                <w:rFonts w:ascii="Arial" w:eastAsia="Times New Roman" w:hAnsi="Arial" w:cs="Arial"/>
                <w:color w:val="000000"/>
                <w:sz w:val="20"/>
                <w:szCs w:val="20"/>
              </w:rPr>
              <w:t>long term</w:t>
            </w:r>
            <w:proofErr w:type="gramEnd"/>
            <w:r w:rsidRPr="00FF6806">
              <w:rPr>
                <w:rFonts w:ascii="Arial" w:eastAsia="Times New Roman" w:hAnsi="Arial" w:cs="Arial"/>
                <w:color w:val="000000"/>
                <w:sz w:val="20"/>
                <w:szCs w:val="20"/>
              </w:rPr>
              <w:t xml:space="preserve"> assets</w:t>
            </w:r>
          </w:p>
        </w:tc>
        <w:tc>
          <w:tcPr>
            <w:tcW w:w="555" w:type="pct"/>
            <w:noWrap/>
            <w:hideMark/>
          </w:tcPr>
          <w:p w14:paraId="23DE3B45"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1F947D84"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1E9FF451"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796C8636"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5365CE10"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36F1C82E"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07BB489B"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Total assets</w:t>
            </w:r>
          </w:p>
        </w:tc>
        <w:tc>
          <w:tcPr>
            <w:tcW w:w="555" w:type="pct"/>
            <w:noWrap/>
            <w:hideMark/>
          </w:tcPr>
          <w:p w14:paraId="36DD08E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6,860</w:t>
            </w:r>
          </w:p>
        </w:tc>
        <w:tc>
          <w:tcPr>
            <w:tcW w:w="555" w:type="pct"/>
            <w:noWrap/>
            <w:hideMark/>
          </w:tcPr>
          <w:p w14:paraId="58AB27E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6,588</w:t>
            </w:r>
          </w:p>
        </w:tc>
        <w:tc>
          <w:tcPr>
            <w:tcW w:w="555" w:type="pct"/>
            <w:noWrap/>
            <w:hideMark/>
          </w:tcPr>
          <w:p w14:paraId="3927E77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5,552</w:t>
            </w:r>
          </w:p>
        </w:tc>
        <w:tc>
          <w:tcPr>
            <w:tcW w:w="555" w:type="pct"/>
            <w:noWrap/>
            <w:hideMark/>
          </w:tcPr>
          <w:p w14:paraId="4AE8CDA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5,651</w:t>
            </w:r>
          </w:p>
        </w:tc>
        <w:tc>
          <w:tcPr>
            <w:tcW w:w="553" w:type="pct"/>
            <w:noWrap/>
            <w:hideMark/>
          </w:tcPr>
          <w:p w14:paraId="6026435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4,938</w:t>
            </w:r>
          </w:p>
        </w:tc>
      </w:tr>
      <w:tr w:rsidR="009D7419" w:rsidRPr="00FF6806" w14:paraId="72770B06"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4995E4E"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LIABILITIES</w:t>
            </w:r>
          </w:p>
        </w:tc>
        <w:tc>
          <w:tcPr>
            <w:tcW w:w="555" w:type="pct"/>
            <w:noWrap/>
            <w:hideMark/>
          </w:tcPr>
          <w:p w14:paraId="3AC3CF1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04EDAA9D"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2CB6EE0D"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00D7383A"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5B94B1D4"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48D8D653"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BEED7E5"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Accounts payable</w:t>
            </w:r>
          </w:p>
        </w:tc>
        <w:tc>
          <w:tcPr>
            <w:tcW w:w="555" w:type="pct"/>
            <w:noWrap/>
            <w:hideMark/>
          </w:tcPr>
          <w:p w14:paraId="74DD49A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603</w:t>
            </w:r>
          </w:p>
        </w:tc>
        <w:tc>
          <w:tcPr>
            <w:tcW w:w="555" w:type="pct"/>
            <w:noWrap/>
            <w:hideMark/>
          </w:tcPr>
          <w:p w14:paraId="685E6C5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636</w:t>
            </w:r>
          </w:p>
        </w:tc>
        <w:tc>
          <w:tcPr>
            <w:tcW w:w="555" w:type="pct"/>
            <w:noWrap/>
            <w:hideMark/>
          </w:tcPr>
          <w:p w14:paraId="09704C0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509</w:t>
            </w:r>
          </w:p>
        </w:tc>
        <w:tc>
          <w:tcPr>
            <w:tcW w:w="555" w:type="pct"/>
            <w:noWrap/>
            <w:hideMark/>
          </w:tcPr>
          <w:p w14:paraId="3422A33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586</w:t>
            </w:r>
          </w:p>
        </w:tc>
        <w:tc>
          <w:tcPr>
            <w:tcW w:w="553" w:type="pct"/>
            <w:noWrap/>
            <w:hideMark/>
          </w:tcPr>
          <w:p w14:paraId="2FDCE8B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621</w:t>
            </w:r>
          </w:p>
        </w:tc>
      </w:tr>
      <w:tr w:rsidR="009D7419" w:rsidRPr="00FF6806" w14:paraId="38774B3C"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1A3152E"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Accrued expenses</w:t>
            </w:r>
          </w:p>
        </w:tc>
        <w:tc>
          <w:tcPr>
            <w:tcW w:w="555" w:type="pct"/>
            <w:noWrap/>
            <w:hideMark/>
          </w:tcPr>
          <w:p w14:paraId="2870563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189</w:t>
            </w:r>
          </w:p>
        </w:tc>
        <w:tc>
          <w:tcPr>
            <w:tcW w:w="555" w:type="pct"/>
            <w:noWrap/>
            <w:hideMark/>
          </w:tcPr>
          <w:p w14:paraId="78A7260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190</w:t>
            </w:r>
          </w:p>
        </w:tc>
        <w:tc>
          <w:tcPr>
            <w:tcW w:w="555" w:type="pct"/>
            <w:noWrap/>
            <w:hideMark/>
          </w:tcPr>
          <w:p w14:paraId="3F6BF74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315</w:t>
            </w:r>
          </w:p>
        </w:tc>
        <w:tc>
          <w:tcPr>
            <w:tcW w:w="555" w:type="pct"/>
            <w:noWrap/>
            <w:hideMark/>
          </w:tcPr>
          <w:p w14:paraId="2BF9180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299</w:t>
            </w:r>
          </w:p>
        </w:tc>
        <w:tc>
          <w:tcPr>
            <w:tcW w:w="553" w:type="pct"/>
            <w:noWrap/>
            <w:hideMark/>
          </w:tcPr>
          <w:p w14:paraId="0E1AE2B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248</w:t>
            </w:r>
          </w:p>
        </w:tc>
      </w:tr>
      <w:tr w:rsidR="009D7419" w:rsidRPr="00FF6806" w14:paraId="24197480"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38E19B5"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Notes payable/short-term debt</w:t>
            </w:r>
          </w:p>
        </w:tc>
        <w:tc>
          <w:tcPr>
            <w:tcW w:w="555" w:type="pct"/>
            <w:noWrap/>
            <w:hideMark/>
          </w:tcPr>
          <w:p w14:paraId="0D7D179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c>
          <w:tcPr>
            <w:tcW w:w="555" w:type="pct"/>
            <w:noWrap/>
            <w:hideMark/>
          </w:tcPr>
          <w:p w14:paraId="12FE9F6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c>
          <w:tcPr>
            <w:tcW w:w="555" w:type="pct"/>
            <w:noWrap/>
            <w:hideMark/>
          </w:tcPr>
          <w:p w14:paraId="4D34DD1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c>
          <w:tcPr>
            <w:tcW w:w="555" w:type="pct"/>
            <w:noWrap/>
            <w:hideMark/>
          </w:tcPr>
          <w:p w14:paraId="0012DCE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c>
          <w:tcPr>
            <w:tcW w:w="553" w:type="pct"/>
            <w:noWrap/>
            <w:hideMark/>
          </w:tcPr>
          <w:p w14:paraId="6EB1551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r>
      <w:tr w:rsidR="009D7419" w:rsidRPr="00FF6806" w14:paraId="34025D7B"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F971568"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Current portion long-term debt/capital leases</w:t>
            </w:r>
          </w:p>
        </w:tc>
        <w:tc>
          <w:tcPr>
            <w:tcW w:w="555" w:type="pct"/>
            <w:noWrap/>
            <w:hideMark/>
          </w:tcPr>
          <w:p w14:paraId="621D3ED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w:t>
            </w:r>
          </w:p>
        </w:tc>
        <w:tc>
          <w:tcPr>
            <w:tcW w:w="555" w:type="pct"/>
            <w:noWrap/>
            <w:hideMark/>
          </w:tcPr>
          <w:p w14:paraId="170105A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2.1</w:t>
            </w:r>
          </w:p>
        </w:tc>
        <w:tc>
          <w:tcPr>
            <w:tcW w:w="555" w:type="pct"/>
            <w:noWrap/>
            <w:hideMark/>
          </w:tcPr>
          <w:p w14:paraId="1D42334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w:t>
            </w:r>
          </w:p>
        </w:tc>
        <w:tc>
          <w:tcPr>
            <w:tcW w:w="555" w:type="pct"/>
            <w:noWrap/>
            <w:hideMark/>
          </w:tcPr>
          <w:p w14:paraId="0FB513D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201</w:t>
            </w:r>
          </w:p>
        </w:tc>
        <w:tc>
          <w:tcPr>
            <w:tcW w:w="553" w:type="pct"/>
            <w:noWrap/>
            <w:hideMark/>
          </w:tcPr>
          <w:p w14:paraId="30C5EC2E"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9D7419" w:rsidRPr="00FF6806" w14:paraId="79B3A7CE"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9C8F712"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Other current liabilities, total</w:t>
            </w:r>
          </w:p>
        </w:tc>
        <w:tc>
          <w:tcPr>
            <w:tcW w:w="555" w:type="pct"/>
            <w:noWrap/>
            <w:hideMark/>
          </w:tcPr>
          <w:p w14:paraId="0DBB610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1,092</w:t>
            </w:r>
          </w:p>
        </w:tc>
        <w:tc>
          <w:tcPr>
            <w:tcW w:w="555" w:type="pct"/>
            <w:noWrap/>
            <w:hideMark/>
          </w:tcPr>
          <w:p w14:paraId="688539A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1,142</w:t>
            </w:r>
          </w:p>
        </w:tc>
        <w:tc>
          <w:tcPr>
            <w:tcW w:w="555" w:type="pct"/>
            <w:noWrap/>
            <w:hideMark/>
          </w:tcPr>
          <w:p w14:paraId="5A02ABA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856</w:t>
            </w:r>
          </w:p>
        </w:tc>
        <w:tc>
          <w:tcPr>
            <w:tcW w:w="555" w:type="pct"/>
            <w:noWrap/>
            <w:hideMark/>
          </w:tcPr>
          <w:p w14:paraId="337F8DD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838</w:t>
            </w:r>
          </w:p>
        </w:tc>
        <w:tc>
          <w:tcPr>
            <w:tcW w:w="553" w:type="pct"/>
            <w:noWrap/>
            <w:hideMark/>
          </w:tcPr>
          <w:p w14:paraId="3F71541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706</w:t>
            </w:r>
          </w:p>
        </w:tc>
      </w:tr>
      <w:tr w:rsidR="009D7419" w:rsidRPr="00FF6806" w14:paraId="32F5B43B"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C39858A"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current liabilities</w:t>
            </w:r>
          </w:p>
        </w:tc>
        <w:tc>
          <w:tcPr>
            <w:tcW w:w="555" w:type="pct"/>
            <w:noWrap/>
            <w:hideMark/>
          </w:tcPr>
          <w:p w14:paraId="45C4FB2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1,886</w:t>
            </w:r>
          </w:p>
        </w:tc>
        <w:tc>
          <w:tcPr>
            <w:tcW w:w="555" w:type="pct"/>
            <w:noWrap/>
            <w:hideMark/>
          </w:tcPr>
          <w:p w14:paraId="30E35F3C"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1,970</w:t>
            </w:r>
          </w:p>
        </w:tc>
        <w:tc>
          <w:tcPr>
            <w:tcW w:w="555" w:type="pct"/>
            <w:noWrap/>
            <w:hideMark/>
          </w:tcPr>
          <w:p w14:paraId="1DC93B6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1,682</w:t>
            </w:r>
          </w:p>
        </w:tc>
        <w:tc>
          <w:tcPr>
            <w:tcW w:w="555" w:type="pct"/>
            <w:noWrap/>
            <w:hideMark/>
          </w:tcPr>
          <w:p w14:paraId="4BF846D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1,924</w:t>
            </w:r>
          </w:p>
        </w:tc>
        <w:tc>
          <w:tcPr>
            <w:tcW w:w="553" w:type="pct"/>
            <w:noWrap/>
            <w:hideMark/>
          </w:tcPr>
          <w:p w14:paraId="0EC1917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1,575</w:t>
            </w:r>
          </w:p>
        </w:tc>
      </w:tr>
      <w:tr w:rsidR="009D7419" w:rsidRPr="00FF6806" w14:paraId="30663522"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171011E7"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 xml:space="preserve">Total </w:t>
            </w:r>
            <w:proofErr w:type="gramStart"/>
            <w:r w:rsidRPr="00FF6806">
              <w:rPr>
                <w:rFonts w:ascii="Arial" w:eastAsia="Times New Roman" w:hAnsi="Arial" w:cs="Arial"/>
                <w:b w:val="0"/>
                <w:bCs w:val="0"/>
                <w:color w:val="000000"/>
                <w:sz w:val="20"/>
                <w:szCs w:val="20"/>
              </w:rPr>
              <w:t>long term</w:t>
            </w:r>
            <w:proofErr w:type="gramEnd"/>
            <w:r w:rsidRPr="00FF6806">
              <w:rPr>
                <w:rFonts w:ascii="Arial" w:eastAsia="Times New Roman" w:hAnsi="Arial" w:cs="Arial"/>
                <w:b w:val="0"/>
                <w:bCs w:val="0"/>
                <w:color w:val="000000"/>
                <w:sz w:val="20"/>
                <w:szCs w:val="20"/>
              </w:rPr>
              <w:t xml:space="preserve"> debt</w:t>
            </w:r>
          </w:p>
        </w:tc>
        <w:tc>
          <w:tcPr>
            <w:tcW w:w="555" w:type="pct"/>
            <w:noWrap/>
            <w:hideMark/>
          </w:tcPr>
          <w:p w14:paraId="5E8B95E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663</w:t>
            </w:r>
          </w:p>
        </w:tc>
        <w:tc>
          <w:tcPr>
            <w:tcW w:w="555" w:type="pct"/>
            <w:noWrap/>
            <w:hideMark/>
          </w:tcPr>
          <w:p w14:paraId="2C0351C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664</w:t>
            </w:r>
          </w:p>
        </w:tc>
        <w:tc>
          <w:tcPr>
            <w:tcW w:w="555" w:type="pct"/>
            <w:noWrap/>
            <w:hideMark/>
          </w:tcPr>
          <w:p w14:paraId="16643CD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302</w:t>
            </w:r>
          </w:p>
        </w:tc>
        <w:tc>
          <w:tcPr>
            <w:tcW w:w="555" w:type="pct"/>
            <w:noWrap/>
            <w:hideMark/>
          </w:tcPr>
          <w:p w14:paraId="1E7EFB3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301</w:t>
            </w:r>
          </w:p>
        </w:tc>
        <w:tc>
          <w:tcPr>
            <w:tcW w:w="553" w:type="pct"/>
            <w:noWrap/>
            <w:hideMark/>
          </w:tcPr>
          <w:p w14:paraId="08794C0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300</w:t>
            </w:r>
          </w:p>
        </w:tc>
      </w:tr>
      <w:tr w:rsidR="009D7419" w:rsidRPr="00FF6806" w14:paraId="0B73B1BB"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C11209B"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debt</w:t>
            </w:r>
          </w:p>
        </w:tc>
        <w:tc>
          <w:tcPr>
            <w:tcW w:w="555" w:type="pct"/>
            <w:noWrap/>
            <w:hideMark/>
          </w:tcPr>
          <w:p w14:paraId="181CD08C"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665</w:t>
            </w:r>
          </w:p>
        </w:tc>
        <w:tc>
          <w:tcPr>
            <w:tcW w:w="555" w:type="pct"/>
            <w:noWrap/>
            <w:hideMark/>
          </w:tcPr>
          <w:p w14:paraId="24795677"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666</w:t>
            </w:r>
          </w:p>
        </w:tc>
        <w:tc>
          <w:tcPr>
            <w:tcW w:w="555" w:type="pct"/>
            <w:noWrap/>
            <w:hideMark/>
          </w:tcPr>
          <w:p w14:paraId="5DF6D14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303</w:t>
            </w:r>
          </w:p>
        </w:tc>
        <w:tc>
          <w:tcPr>
            <w:tcW w:w="555" w:type="pct"/>
            <w:noWrap/>
            <w:hideMark/>
          </w:tcPr>
          <w:p w14:paraId="60C72D3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503</w:t>
            </w:r>
          </w:p>
        </w:tc>
        <w:tc>
          <w:tcPr>
            <w:tcW w:w="553" w:type="pct"/>
            <w:noWrap/>
            <w:hideMark/>
          </w:tcPr>
          <w:p w14:paraId="541D849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300</w:t>
            </w:r>
          </w:p>
        </w:tc>
      </w:tr>
      <w:tr w:rsidR="009D7419" w:rsidRPr="00FF6806" w14:paraId="2525C784"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075FA7E"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Deferred income tax</w:t>
            </w:r>
          </w:p>
        </w:tc>
        <w:tc>
          <w:tcPr>
            <w:tcW w:w="555" w:type="pct"/>
            <w:noWrap/>
            <w:hideMark/>
          </w:tcPr>
          <w:p w14:paraId="7917B060"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1CD655C7"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65A5735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17474F84"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25C22C2F"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1FB4B99E"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3563CE86"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Minority interest</w:t>
            </w:r>
          </w:p>
        </w:tc>
        <w:tc>
          <w:tcPr>
            <w:tcW w:w="555" w:type="pct"/>
            <w:noWrap/>
            <w:hideMark/>
          </w:tcPr>
          <w:p w14:paraId="50F6ADAA"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22713B6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6D01E1A5"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7C3A6C5A"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685BAAC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0329DF61"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341A3E2"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Other liabilities, total</w:t>
            </w:r>
          </w:p>
        </w:tc>
        <w:tc>
          <w:tcPr>
            <w:tcW w:w="555" w:type="pct"/>
            <w:noWrap/>
            <w:hideMark/>
          </w:tcPr>
          <w:p w14:paraId="38390BDD"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979</w:t>
            </w:r>
          </w:p>
        </w:tc>
        <w:tc>
          <w:tcPr>
            <w:tcW w:w="555" w:type="pct"/>
            <w:noWrap/>
            <w:hideMark/>
          </w:tcPr>
          <w:p w14:paraId="7F88F36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818</w:t>
            </w:r>
          </w:p>
        </w:tc>
        <w:tc>
          <w:tcPr>
            <w:tcW w:w="555" w:type="pct"/>
            <w:noWrap/>
            <w:hideMark/>
          </w:tcPr>
          <w:p w14:paraId="43ED9EC3"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393</w:t>
            </w:r>
          </w:p>
        </w:tc>
        <w:tc>
          <w:tcPr>
            <w:tcW w:w="555" w:type="pct"/>
            <w:noWrap/>
            <w:hideMark/>
          </w:tcPr>
          <w:p w14:paraId="0DF0867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324</w:t>
            </w:r>
          </w:p>
        </w:tc>
        <w:tc>
          <w:tcPr>
            <w:tcW w:w="553" w:type="pct"/>
            <w:noWrap/>
            <w:hideMark/>
          </w:tcPr>
          <w:p w14:paraId="5F63651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100</w:t>
            </w:r>
          </w:p>
        </w:tc>
      </w:tr>
      <w:tr w:rsidR="009D7419" w:rsidRPr="00FF6806" w14:paraId="6D07CF64"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786B2C4E"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liabilities</w:t>
            </w:r>
          </w:p>
        </w:tc>
        <w:tc>
          <w:tcPr>
            <w:tcW w:w="555" w:type="pct"/>
            <w:noWrap/>
            <w:hideMark/>
          </w:tcPr>
          <w:p w14:paraId="428FA2A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3,527</w:t>
            </w:r>
          </w:p>
        </w:tc>
        <w:tc>
          <w:tcPr>
            <w:tcW w:w="555" w:type="pct"/>
            <w:noWrap/>
            <w:hideMark/>
          </w:tcPr>
          <w:p w14:paraId="1B5FA3E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3,452</w:t>
            </w:r>
          </w:p>
        </w:tc>
        <w:tc>
          <w:tcPr>
            <w:tcW w:w="555" w:type="pct"/>
            <w:noWrap/>
            <w:hideMark/>
          </w:tcPr>
          <w:p w14:paraId="3F1EC5F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2,377</w:t>
            </w:r>
          </w:p>
        </w:tc>
        <w:tc>
          <w:tcPr>
            <w:tcW w:w="555" w:type="pct"/>
            <w:noWrap/>
            <w:hideMark/>
          </w:tcPr>
          <w:p w14:paraId="1A9D0BF7"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2,549</w:t>
            </w:r>
          </w:p>
        </w:tc>
        <w:tc>
          <w:tcPr>
            <w:tcW w:w="553" w:type="pct"/>
            <w:noWrap/>
            <w:hideMark/>
          </w:tcPr>
          <w:p w14:paraId="15E0D2E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1,975</w:t>
            </w:r>
          </w:p>
        </w:tc>
      </w:tr>
      <w:tr w:rsidR="009D7419" w:rsidRPr="00FF6806" w14:paraId="071B80CF"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FAC299C"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SHAREHOLDERS EQUITY</w:t>
            </w:r>
          </w:p>
        </w:tc>
        <w:tc>
          <w:tcPr>
            <w:tcW w:w="555" w:type="pct"/>
            <w:noWrap/>
            <w:hideMark/>
          </w:tcPr>
          <w:p w14:paraId="6AC5304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29DA994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237A963"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6C6A1E51"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3E1A0415"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102B2B91"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5293D3F"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Common stock</w:t>
            </w:r>
          </w:p>
        </w:tc>
        <w:tc>
          <w:tcPr>
            <w:tcW w:w="555" w:type="pct"/>
            <w:noWrap/>
            <w:hideMark/>
          </w:tcPr>
          <w:p w14:paraId="5A1F6EA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6.3</w:t>
            </w:r>
          </w:p>
        </w:tc>
        <w:tc>
          <w:tcPr>
            <w:tcW w:w="555" w:type="pct"/>
            <w:noWrap/>
            <w:hideMark/>
          </w:tcPr>
          <w:p w14:paraId="02E4010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6.5</w:t>
            </w:r>
          </w:p>
        </w:tc>
        <w:tc>
          <w:tcPr>
            <w:tcW w:w="555" w:type="pct"/>
            <w:noWrap/>
            <w:hideMark/>
          </w:tcPr>
          <w:p w14:paraId="00089B5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6.6</w:t>
            </w:r>
          </w:p>
        </w:tc>
        <w:tc>
          <w:tcPr>
            <w:tcW w:w="555" w:type="pct"/>
            <w:noWrap/>
            <w:hideMark/>
          </w:tcPr>
          <w:p w14:paraId="653C807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6.8</w:t>
            </w:r>
          </w:p>
        </w:tc>
        <w:tc>
          <w:tcPr>
            <w:tcW w:w="553" w:type="pct"/>
            <w:noWrap/>
            <w:hideMark/>
          </w:tcPr>
          <w:p w14:paraId="5D18817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w:t>
            </w:r>
          </w:p>
        </w:tc>
      </w:tr>
      <w:tr w:rsidR="009D7419" w:rsidRPr="00FF6806" w14:paraId="61DE33E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33306C8"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Additional paid-in capital</w:t>
            </w:r>
          </w:p>
        </w:tc>
        <w:tc>
          <w:tcPr>
            <w:tcW w:w="555" w:type="pct"/>
            <w:noWrap/>
            <w:hideMark/>
          </w:tcPr>
          <w:p w14:paraId="37980DD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w:t>
            </w:r>
          </w:p>
        </w:tc>
        <w:tc>
          <w:tcPr>
            <w:tcW w:w="555" w:type="pct"/>
            <w:noWrap/>
            <w:hideMark/>
          </w:tcPr>
          <w:p w14:paraId="5F5782C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w:t>
            </w:r>
          </w:p>
        </w:tc>
        <w:tc>
          <w:tcPr>
            <w:tcW w:w="555" w:type="pct"/>
            <w:noWrap/>
            <w:hideMark/>
          </w:tcPr>
          <w:p w14:paraId="3B415421"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w:t>
            </w:r>
          </w:p>
        </w:tc>
        <w:tc>
          <w:tcPr>
            <w:tcW w:w="555" w:type="pct"/>
            <w:noWrap/>
            <w:hideMark/>
          </w:tcPr>
          <w:p w14:paraId="54453A2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w:t>
            </w:r>
          </w:p>
        </w:tc>
        <w:tc>
          <w:tcPr>
            <w:tcW w:w="553" w:type="pct"/>
            <w:noWrap/>
            <w:hideMark/>
          </w:tcPr>
          <w:p w14:paraId="7ED58F0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50</w:t>
            </w:r>
          </w:p>
        </w:tc>
      </w:tr>
      <w:tr w:rsidR="009D7419" w:rsidRPr="00FF6806" w14:paraId="015659CD"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247AE025"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Retained earnings (accumulated deficit)</w:t>
            </w:r>
          </w:p>
        </w:tc>
        <w:tc>
          <w:tcPr>
            <w:tcW w:w="555" w:type="pct"/>
            <w:noWrap/>
            <w:hideMark/>
          </w:tcPr>
          <w:p w14:paraId="18F5A52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3,276</w:t>
            </w:r>
          </w:p>
        </w:tc>
        <w:tc>
          <w:tcPr>
            <w:tcW w:w="555" w:type="pct"/>
            <w:noWrap/>
            <w:hideMark/>
          </w:tcPr>
          <w:p w14:paraId="22CD045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3,080</w:t>
            </w:r>
          </w:p>
        </w:tc>
        <w:tc>
          <w:tcPr>
            <w:tcW w:w="555" w:type="pct"/>
            <w:noWrap/>
            <w:hideMark/>
          </w:tcPr>
          <w:p w14:paraId="2E2B275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3,119</w:t>
            </w:r>
          </w:p>
        </w:tc>
        <w:tc>
          <w:tcPr>
            <w:tcW w:w="555" w:type="pct"/>
            <w:noWrap/>
            <w:hideMark/>
          </w:tcPr>
          <w:p w14:paraId="488FEF0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3,045</w:t>
            </w:r>
          </w:p>
        </w:tc>
        <w:tc>
          <w:tcPr>
            <w:tcW w:w="553" w:type="pct"/>
            <w:noWrap/>
            <w:hideMark/>
          </w:tcPr>
          <w:p w14:paraId="54D16D2E"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2,907</w:t>
            </w:r>
          </w:p>
        </w:tc>
      </w:tr>
      <w:tr w:rsidR="009D7419" w:rsidRPr="00FF6806" w14:paraId="150DADE8"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68BFCA03"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Treasury stock - common</w:t>
            </w:r>
          </w:p>
        </w:tc>
        <w:tc>
          <w:tcPr>
            <w:tcW w:w="555" w:type="pct"/>
            <w:noWrap/>
            <w:hideMark/>
          </w:tcPr>
          <w:p w14:paraId="20B5CC4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796B8AE6"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2DBC8D18"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357DAF28"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31B5586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04F35853"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8D55720"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Unrealized gain (loss)</w:t>
            </w:r>
          </w:p>
        </w:tc>
        <w:tc>
          <w:tcPr>
            <w:tcW w:w="555" w:type="pct"/>
            <w:noWrap/>
            <w:hideMark/>
          </w:tcPr>
          <w:p w14:paraId="3B7C4928"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2A0F57E7"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29AC00A0"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6A0CD72"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21F667A8"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0CAAFEED"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069015CA"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Other equity, total</w:t>
            </w:r>
          </w:p>
        </w:tc>
        <w:tc>
          <w:tcPr>
            <w:tcW w:w="555" w:type="pct"/>
            <w:noWrap/>
            <w:hideMark/>
          </w:tcPr>
          <w:p w14:paraId="60A08B3F"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5" w:type="pct"/>
            <w:noWrap/>
            <w:hideMark/>
          </w:tcPr>
          <w:p w14:paraId="0A0AD7D1"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5D061DED"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5" w:type="pct"/>
            <w:noWrap/>
            <w:hideMark/>
          </w:tcPr>
          <w:p w14:paraId="4EB7055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3" w:type="pct"/>
            <w:noWrap/>
            <w:hideMark/>
          </w:tcPr>
          <w:p w14:paraId="5E55625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2571E0E2"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1702709D"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Total equity</w:t>
            </w:r>
          </w:p>
        </w:tc>
        <w:tc>
          <w:tcPr>
            <w:tcW w:w="555" w:type="pct"/>
            <w:noWrap/>
            <w:hideMark/>
          </w:tcPr>
          <w:p w14:paraId="53A6F87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3,332</w:t>
            </w:r>
          </w:p>
        </w:tc>
        <w:tc>
          <w:tcPr>
            <w:tcW w:w="555" w:type="pct"/>
            <w:noWrap/>
            <w:hideMark/>
          </w:tcPr>
          <w:p w14:paraId="47961D3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3,136</w:t>
            </w:r>
          </w:p>
        </w:tc>
        <w:tc>
          <w:tcPr>
            <w:tcW w:w="555" w:type="pct"/>
            <w:noWrap/>
            <w:hideMark/>
          </w:tcPr>
          <w:p w14:paraId="64EB546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3,175</w:t>
            </w:r>
          </w:p>
        </w:tc>
        <w:tc>
          <w:tcPr>
            <w:tcW w:w="555" w:type="pct"/>
            <w:noWrap/>
            <w:hideMark/>
          </w:tcPr>
          <w:p w14:paraId="33116DE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3,102</w:t>
            </w:r>
          </w:p>
        </w:tc>
        <w:tc>
          <w:tcPr>
            <w:tcW w:w="553" w:type="pct"/>
            <w:noWrap/>
            <w:hideMark/>
          </w:tcPr>
          <w:p w14:paraId="3EB0F34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2,963</w:t>
            </w:r>
          </w:p>
        </w:tc>
      </w:tr>
      <w:tr w:rsidR="009D7419" w:rsidRPr="00FF6806" w14:paraId="469BAEC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1CCCFBC5"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liabilities &amp; shareholders' equity</w:t>
            </w:r>
          </w:p>
        </w:tc>
        <w:tc>
          <w:tcPr>
            <w:tcW w:w="555" w:type="pct"/>
            <w:noWrap/>
            <w:hideMark/>
          </w:tcPr>
          <w:p w14:paraId="7EE37AD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6,860</w:t>
            </w:r>
          </w:p>
        </w:tc>
        <w:tc>
          <w:tcPr>
            <w:tcW w:w="555" w:type="pct"/>
            <w:noWrap/>
            <w:hideMark/>
          </w:tcPr>
          <w:p w14:paraId="77ECBF3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6,588</w:t>
            </w:r>
          </w:p>
        </w:tc>
        <w:tc>
          <w:tcPr>
            <w:tcW w:w="555" w:type="pct"/>
            <w:noWrap/>
            <w:hideMark/>
          </w:tcPr>
          <w:p w14:paraId="50702F2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5,552</w:t>
            </w:r>
          </w:p>
        </w:tc>
        <w:tc>
          <w:tcPr>
            <w:tcW w:w="555" w:type="pct"/>
            <w:noWrap/>
            <w:hideMark/>
          </w:tcPr>
          <w:p w14:paraId="7ACD5EA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5,651</w:t>
            </w:r>
          </w:p>
        </w:tc>
        <w:tc>
          <w:tcPr>
            <w:tcW w:w="553" w:type="pct"/>
            <w:noWrap/>
            <w:hideMark/>
          </w:tcPr>
          <w:p w14:paraId="33B5200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4,938</w:t>
            </w:r>
          </w:p>
        </w:tc>
      </w:tr>
      <w:tr w:rsidR="009D7419" w:rsidRPr="00FF6806" w14:paraId="2551A53E"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5D8DAFA9"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common shares outstanding</w:t>
            </w:r>
          </w:p>
        </w:tc>
        <w:tc>
          <w:tcPr>
            <w:tcW w:w="555" w:type="pct"/>
            <w:noWrap/>
            <w:hideMark/>
          </w:tcPr>
          <w:p w14:paraId="1F98C14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108</w:t>
            </w:r>
          </w:p>
        </w:tc>
        <w:tc>
          <w:tcPr>
            <w:tcW w:w="555" w:type="pct"/>
            <w:noWrap/>
            <w:hideMark/>
          </w:tcPr>
          <w:p w14:paraId="423BCDA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111</w:t>
            </w:r>
          </w:p>
        </w:tc>
        <w:tc>
          <w:tcPr>
            <w:tcW w:w="555" w:type="pct"/>
            <w:noWrap/>
            <w:hideMark/>
          </w:tcPr>
          <w:p w14:paraId="0B4D927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112</w:t>
            </w:r>
          </w:p>
        </w:tc>
        <w:tc>
          <w:tcPr>
            <w:tcW w:w="555" w:type="pct"/>
            <w:noWrap/>
            <w:hideMark/>
          </w:tcPr>
          <w:p w14:paraId="39F83F9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116</w:t>
            </w:r>
          </w:p>
        </w:tc>
        <w:tc>
          <w:tcPr>
            <w:tcW w:w="553" w:type="pct"/>
            <w:noWrap/>
            <w:hideMark/>
          </w:tcPr>
          <w:p w14:paraId="03AD2AD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110</w:t>
            </w:r>
          </w:p>
        </w:tc>
      </w:tr>
      <w:tr w:rsidR="009D7419" w:rsidRPr="00FF6806" w14:paraId="5EF3A3F9"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26" w:type="pct"/>
            <w:noWrap/>
            <w:hideMark/>
          </w:tcPr>
          <w:p w14:paraId="483D1044"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Treasury shares - common primary issue</w:t>
            </w:r>
          </w:p>
        </w:tc>
        <w:tc>
          <w:tcPr>
            <w:tcW w:w="555" w:type="pct"/>
            <w:noWrap/>
            <w:hideMark/>
          </w:tcPr>
          <w:p w14:paraId="69A5EB4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8.96</w:t>
            </w:r>
          </w:p>
        </w:tc>
        <w:tc>
          <w:tcPr>
            <w:tcW w:w="555" w:type="pct"/>
            <w:noWrap/>
            <w:hideMark/>
          </w:tcPr>
          <w:p w14:paraId="1D3EDB5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9.23</w:t>
            </w:r>
          </w:p>
        </w:tc>
        <w:tc>
          <w:tcPr>
            <w:tcW w:w="555" w:type="pct"/>
            <w:noWrap/>
            <w:hideMark/>
          </w:tcPr>
          <w:p w14:paraId="0F7100A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9.8</w:t>
            </w:r>
          </w:p>
        </w:tc>
        <w:tc>
          <w:tcPr>
            <w:tcW w:w="555" w:type="pct"/>
            <w:noWrap/>
            <w:hideMark/>
          </w:tcPr>
          <w:p w14:paraId="7D31F58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w:t>
            </w:r>
          </w:p>
        </w:tc>
        <w:tc>
          <w:tcPr>
            <w:tcW w:w="553" w:type="pct"/>
            <w:noWrap/>
            <w:hideMark/>
          </w:tcPr>
          <w:p w14:paraId="00A5427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9.54</w:t>
            </w:r>
          </w:p>
        </w:tc>
      </w:tr>
    </w:tbl>
    <w:p w14:paraId="20F7FBD1" w14:textId="77777777" w:rsidR="009D7419" w:rsidRDefault="009D7419" w:rsidP="00923F6C">
      <w:pPr>
        <w:spacing w:after="0" w:line="360" w:lineRule="auto"/>
        <w:jc w:val="center"/>
        <w:rPr>
          <w:rFonts w:ascii="Calibri" w:hAnsi="Calibri" w:cs="Calibri"/>
          <w:color w:val="000000" w:themeColor="text1"/>
        </w:rPr>
      </w:pPr>
    </w:p>
    <w:p w14:paraId="6793D4B1" w14:textId="77777777" w:rsidR="009D7419" w:rsidRDefault="009D7419" w:rsidP="00923F6C">
      <w:pPr>
        <w:spacing w:after="0" w:line="360" w:lineRule="auto"/>
        <w:jc w:val="center"/>
        <w:rPr>
          <w:rFonts w:ascii="Calibri" w:hAnsi="Calibri" w:cs="Calibri"/>
          <w:color w:val="000000" w:themeColor="text1"/>
        </w:rPr>
      </w:pPr>
    </w:p>
    <w:p w14:paraId="7482FBBF" w14:textId="77777777" w:rsidR="009D7419" w:rsidRDefault="009D7419" w:rsidP="00923F6C">
      <w:pPr>
        <w:spacing w:after="0" w:line="360" w:lineRule="auto"/>
        <w:jc w:val="center"/>
        <w:rPr>
          <w:rFonts w:ascii="Calibri" w:hAnsi="Calibri" w:cs="Calibri"/>
          <w:color w:val="000000" w:themeColor="text1"/>
        </w:rPr>
      </w:pPr>
    </w:p>
    <w:tbl>
      <w:tblPr>
        <w:tblStyle w:val="ListTable4-Accent2"/>
        <w:tblW w:w="5000" w:type="pct"/>
        <w:tblLook w:val="04A0" w:firstRow="1" w:lastRow="0" w:firstColumn="1" w:lastColumn="0" w:noHBand="0" w:noVBand="1"/>
      </w:tblPr>
      <w:tblGrid>
        <w:gridCol w:w="4386"/>
        <w:gridCol w:w="993"/>
        <w:gridCol w:w="993"/>
        <w:gridCol w:w="993"/>
        <w:gridCol w:w="993"/>
        <w:gridCol w:w="992"/>
      </w:tblGrid>
      <w:tr w:rsidR="009D7419" w:rsidRPr="00FF6806" w14:paraId="23F02AEA" w14:textId="77777777" w:rsidTr="00CD240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noWrap/>
            <w:hideMark/>
          </w:tcPr>
          <w:p w14:paraId="1A0A87AD" w14:textId="77777777" w:rsidR="009D7419" w:rsidRPr="00FF6806" w:rsidRDefault="009D7419" w:rsidP="00CD240D">
            <w:pPr>
              <w:jc w:val="center"/>
              <w:rPr>
                <w:rFonts w:ascii="Arial" w:eastAsia="Times New Roman" w:hAnsi="Arial" w:cs="Arial"/>
                <w:color w:val="FFFFFF"/>
                <w:sz w:val="20"/>
                <w:szCs w:val="20"/>
              </w:rPr>
            </w:pPr>
            <w:r w:rsidRPr="00FF6806">
              <w:rPr>
                <w:rFonts w:ascii="Arial" w:eastAsia="Times New Roman" w:hAnsi="Arial" w:cs="Arial"/>
                <w:color w:val="FFFFFF"/>
                <w:sz w:val="20"/>
                <w:szCs w:val="20"/>
              </w:rPr>
              <w:lastRenderedPageBreak/>
              <w:t>THE BERKELEY GROUP HOLDINGS PLC</w:t>
            </w:r>
          </w:p>
          <w:p w14:paraId="2103A57B" w14:textId="77777777" w:rsidR="009D7419" w:rsidRPr="00FF6806" w:rsidRDefault="009D7419" w:rsidP="00CD240D">
            <w:pPr>
              <w:jc w:val="center"/>
              <w:rPr>
                <w:rFonts w:ascii="Arial" w:eastAsia="Times New Roman" w:hAnsi="Arial" w:cs="Arial"/>
                <w:color w:val="FFFFFF"/>
                <w:sz w:val="20"/>
                <w:szCs w:val="20"/>
              </w:rPr>
            </w:pPr>
            <w:r w:rsidRPr="00FF6806">
              <w:rPr>
                <w:rFonts w:ascii="Arial" w:eastAsia="Times New Roman" w:hAnsi="Arial" w:cs="Arial"/>
                <w:color w:val="FFFFFF"/>
                <w:sz w:val="20"/>
                <w:szCs w:val="20"/>
              </w:rPr>
              <w:t>CASH FLOW STATEMENT</w:t>
            </w:r>
          </w:p>
        </w:tc>
      </w:tr>
      <w:tr w:rsidR="009D7419" w:rsidRPr="00FF6806" w14:paraId="7DC0D798"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4FAB1492"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Fiscal data as of Apr 30 2023</w:t>
            </w:r>
          </w:p>
        </w:tc>
        <w:tc>
          <w:tcPr>
            <w:tcW w:w="552" w:type="pct"/>
            <w:noWrap/>
            <w:hideMark/>
          </w:tcPr>
          <w:p w14:paraId="7140FC6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2023</w:t>
            </w:r>
          </w:p>
        </w:tc>
        <w:tc>
          <w:tcPr>
            <w:tcW w:w="552" w:type="pct"/>
            <w:noWrap/>
            <w:hideMark/>
          </w:tcPr>
          <w:p w14:paraId="651FF3AD"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2022</w:t>
            </w:r>
          </w:p>
        </w:tc>
        <w:tc>
          <w:tcPr>
            <w:tcW w:w="552" w:type="pct"/>
            <w:noWrap/>
            <w:hideMark/>
          </w:tcPr>
          <w:p w14:paraId="15D4223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2021</w:t>
            </w:r>
          </w:p>
        </w:tc>
        <w:tc>
          <w:tcPr>
            <w:tcW w:w="552" w:type="pct"/>
            <w:noWrap/>
            <w:hideMark/>
          </w:tcPr>
          <w:p w14:paraId="0631872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2020</w:t>
            </w:r>
          </w:p>
        </w:tc>
        <w:tc>
          <w:tcPr>
            <w:tcW w:w="552" w:type="pct"/>
            <w:noWrap/>
            <w:hideMark/>
          </w:tcPr>
          <w:p w14:paraId="351B921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2019</w:t>
            </w:r>
          </w:p>
        </w:tc>
      </w:tr>
      <w:tr w:rsidR="009D7419" w:rsidRPr="00FF6806" w14:paraId="47767E9D"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6A1BCE7D"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OPERATIONS</w:t>
            </w:r>
          </w:p>
        </w:tc>
        <w:tc>
          <w:tcPr>
            <w:tcW w:w="552" w:type="pct"/>
            <w:noWrap/>
            <w:hideMark/>
          </w:tcPr>
          <w:p w14:paraId="47CD7D62"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314FE8A0"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619C1BAA"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3CDE24EC"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313B353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14A38E38"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27E426E0"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Net income</w:t>
            </w:r>
          </w:p>
        </w:tc>
        <w:tc>
          <w:tcPr>
            <w:tcW w:w="552" w:type="pct"/>
            <w:noWrap/>
            <w:hideMark/>
          </w:tcPr>
          <w:p w14:paraId="76B4310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466</w:t>
            </w:r>
          </w:p>
        </w:tc>
        <w:tc>
          <w:tcPr>
            <w:tcW w:w="552" w:type="pct"/>
            <w:noWrap/>
            <w:hideMark/>
          </w:tcPr>
          <w:p w14:paraId="79CA72B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482</w:t>
            </w:r>
          </w:p>
        </w:tc>
        <w:tc>
          <w:tcPr>
            <w:tcW w:w="552" w:type="pct"/>
            <w:noWrap/>
            <w:hideMark/>
          </w:tcPr>
          <w:p w14:paraId="66A0FE0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423</w:t>
            </w:r>
          </w:p>
        </w:tc>
        <w:tc>
          <w:tcPr>
            <w:tcW w:w="552" w:type="pct"/>
            <w:noWrap/>
            <w:hideMark/>
          </w:tcPr>
          <w:p w14:paraId="493F0B8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410</w:t>
            </w:r>
          </w:p>
        </w:tc>
        <w:tc>
          <w:tcPr>
            <w:tcW w:w="552" w:type="pct"/>
            <w:noWrap/>
            <w:hideMark/>
          </w:tcPr>
          <w:p w14:paraId="12A9BC2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627</w:t>
            </w:r>
          </w:p>
        </w:tc>
      </w:tr>
      <w:tr w:rsidR="009D7419" w:rsidRPr="00FF6806" w14:paraId="026AD04E"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6193A55A"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Depreciation/depletion</w:t>
            </w:r>
          </w:p>
        </w:tc>
        <w:tc>
          <w:tcPr>
            <w:tcW w:w="552" w:type="pct"/>
            <w:noWrap/>
            <w:hideMark/>
          </w:tcPr>
          <w:p w14:paraId="783B519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w:t>
            </w:r>
          </w:p>
        </w:tc>
        <w:tc>
          <w:tcPr>
            <w:tcW w:w="552" w:type="pct"/>
            <w:noWrap/>
            <w:hideMark/>
          </w:tcPr>
          <w:p w14:paraId="16B5531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w:t>
            </w:r>
          </w:p>
        </w:tc>
        <w:tc>
          <w:tcPr>
            <w:tcW w:w="552" w:type="pct"/>
            <w:noWrap/>
            <w:hideMark/>
          </w:tcPr>
          <w:p w14:paraId="454249C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w:t>
            </w:r>
          </w:p>
        </w:tc>
        <w:tc>
          <w:tcPr>
            <w:tcW w:w="552" w:type="pct"/>
            <w:noWrap/>
            <w:hideMark/>
          </w:tcPr>
          <w:p w14:paraId="1B15A47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w:t>
            </w:r>
          </w:p>
        </w:tc>
        <w:tc>
          <w:tcPr>
            <w:tcW w:w="552" w:type="pct"/>
            <w:noWrap/>
            <w:hideMark/>
          </w:tcPr>
          <w:p w14:paraId="28528FFE"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w:t>
            </w:r>
          </w:p>
        </w:tc>
      </w:tr>
      <w:tr w:rsidR="009D7419" w:rsidRPr="00FF6806" w14:paraId="71EF517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56C5E95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Non-Cash items</w:t>
            </w:r>
          </w:p>
        </w:tc>
        <w:tc>
          <w:tcPr>
            <w:tcW w:w="552" w:type="pct"/>
            <w:noWrap/>
            <w:hideMark/>
          </w:tcPr>
          <w:p w14:paraId="0194D65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52</w:t>
            </w:r>
          </w:p>
        </w:tc>
        <w:tc>
          <w:tcPr>
            <w:tcW w:w="552" w:type="pct"/>
            <w:noWrap/>
            <w:hideMark/>
          </w:tcPr>
          <w:p w14:paraId="45EFB97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w:t>
            </w:r>
          </w:p>
        </w:tc>
        <w:tc>
          <w:tcPr>
            <w:tcW w:w="552" w:type="pct"/>
            <w:noWrap/>
            <w:hideMark/>
          </w:tcPr>
          <w:p w14:paraId="18AC1A9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68</w:t>
            </w:r>
          </w:p>
        </w:tc>
        <w:tc>
          <w:tcPr>
            <w:tcW w:w="552" w:type="pct"/>
            <w:noWrap/>
            <w:hideMark/>
          </w:tcPr>
          <w:p w14:paraId="1D844BC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56</w:t>
            </w:r>
          </w:p>
        </w:tc>
        <w:tc>
          <w:tcPr>
            <w:tcW w:w="552" w:type="pct"/>
            <w:noWrap/>
            <w:hideMark/>
          </w:tcPr>
          <w:p w14:paraId="775AD02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137</w:t>
            </w:r>
          </w:p>
        </w:tc>
      </w:tr>
      <w:tr w:rsidR="009D7419" w:rsidRPr="00FF6806" w14:paraId="3AF0ED78"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0515F79D"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Cash taxes paid, supplemental</w:t>
            </w:r>
          </w:p>
        </w:tc>
        <w:tc>
          <w:tcPr>
            <w:tcW w:w="552" w:type="pct"/>
            <w:noWrap/>
            <w:hideMark/>
          </w:tcPr>
          <w:p w14:paraId="36C8F55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134</w:t>
            </w:r>
          </w:p>
        </w:tc>
        <w:tc>
          <w:tcPr>
            <w:tcW w:w="552" w:type="pct"/>
            <w:noWrap/>
            <w:hideMark/>
          </w:tcPr>
          <w:p w14:paraId="5679B48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143</w:t>
            </w:r>
          </w:p>
        </w:tc>
        <w:tc>
          <w:tcPr>
            <w:tcW w:w="552" w:type="pct"/>
            <w:noWrap/>
            <w:hideMark/>
          </w:tcPr>
          <w:p w14:paraId="160F33F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90</w:t>
            </w:r>
          </w:p>
        </w:tc>
        <w:tc>
          <w:tcPr>
            <w:tcW w:w="552" w:type="pct"/>
            <w:noWrap/>
            <w:hideMark/>
          </w:tcPr>
          <w:p w14:paraId="6048BEC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90</w:t>
            </w:r>
          </w:p>
        </w:tc>
        <w:tc>
          <w:tcPr>
            <w:tcW w:w="552" w:type="pct"/>
            <w:noWrap/>
            <w:hideMark/>
          </w:tcPr>
          <w:p w14:paraId="61CAC4E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179</w:t>
            </w:r>
          </w:p>
        </w:tc>
      </w:tr>
      <w:tr w:rsidR="009D7419" w:rsidRPr="00FF6806" w14:paraId="3919EE35"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47D2F1BB"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Cash interest paid, supplemental</w:t>
            </w:r>
          </w:p>
        </w:tc>
        <w:tc>
          <w:tcPr>
            <w:tcW w:w="552" w:type="pct"/>
            <w:noWrap/>
            <w:hideMark/>
          </w:tcPr>
          <w:p w14:paraId="0290644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21</w:t>
            </w:r>
          </w:p>
        </w:tc>
        <w:tc>
          <w:tcPr>
            <w:tcW w:w="552" w:type="pct"/>
            <w:noWrap/>
            <w:hideMark/>
          </w:tcPr>
          <w:p w14:paraId="7864E83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5.6</w:t>
            </w:r>
          </w:p>
        </w:tc>
        <w:tc>
          <w:tcPr>
            <w:tcW w:w="552" w:type="pct"/>
            <w:noWrap/>
            <w:hideMark/>
          </w:tcPr>
          <w:p w14:paraId="522D64B1"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8.1</w:t>
            </w:r>
          </w:p>
        </w:tc>
        <w:tc>
          <w:tcPr>
            <w:tcW w:w="552" w:type="pct"/>
            <w:noWrap/>
            <w:hideMark/>
          </w:tcPr>
          <w:p w14:paraId="327CBBA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9.1</w:t>
            </w:r>
          </w:p>
        </w:tc>
        <w:tc>
          <w:tcPr>
            <w:tcW w:w="552" w:type="pct"/>
            <w:noWrap/>
            <w:hideMark/>
          </w:tcPr>
          <w:p w14:paraId="76370DD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8.8</w:t>
            </w:r>
          </w:p>
        </w:tc>
      </w:tr>
      <w:tr w:rsidR="009D7419" w:rsidRPr="00FF6806" w14:paraId="16011DBC"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32D434A8"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Changes in working capital</w:t>
            </w:r>
          </w:p>
        </w:tc>
        <w:tc>
          <w:tcPr>
            <w:tcW w:w="552" w:type="pct"/>
            <w:noWrap/>
            <w:hideMark/>
          </w:tcPr>
          <w:p w14:paraId="11F4DCD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-187</w:t>
            </w:r>
          </w:p>
        </w:tc>
        <w:tc>
          <w:tcPr>
            <w:tcW w:w="552" w:type="pct"/>
            <w:noWrap/>
            <w:hideMark/>
          </w:tcPr>
          <w:p w14:paraId="79C9B6D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-635</w:t>
            </w:r>
          </w:p>
        </w:tc>
        <w:tc>
          <w:tcPr>
            <w:tcW w:w="552" w:type="pct"/>
            <w:noWrap/>
            <w:hideMark/>
          </w:tcPr>
          <w:p w14:paraId="4A793F6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-172</w:t>
            </w:r>
          </w:p>
        </w:tc>
        <w:tc>
          <w:tcPr>
            <w:tcW w:w="552" w:type="pct"/>
            <w:noWrap/>
            <w:hideMark/>
          </w:tcPr>
          <w:p w14:paraId="2882743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-162</w:t>
            </w:r>
          </w:p>
        </w:tc>
        <w:tc>
          <w:tcPr>
            <w:tcW w:w="552" w:type="pct"/>
            <w:noWrap/>
            <w:hideMark/>
          </w:tcPr>
          <w:p w14:paraId="2FB0357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-155</w:t>
            </w:r>
          </w:p>
        </w:tc>
      </w:tr>
      <w:tr w:rsidR="009D7419" w:rsidRPr="00FF6806" w14:paraId="0289E94D"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43DE6B8C"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cash from operations</w:t>
            </w:r>
          </w:p>
        </w:tc>
        <w:tc>
          <w:tcPr>
            <w:tcW w:w="552" w:type="pct"/>
            <w:noWrap/>
            <w:hideMark/>
          </w:tcPr>
          <w:p w14:paraId="46D0A0D1"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336</w:t>
            </w:r>
          </w:p>
        </w:tc>
        <w:tc>
          <w:tcPr>
            <w:tcW w:w="552" w:type="pct"/>
            <w:noWrap/>
            <w:hideMark/>
          </w:tcPr>
          <w:p w14:paraId="4CB64C4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-130</w:t>
            </w:r>
          </w:p>
        </w:tc>
        <w:tc>
          <w:tcPr>
            <w:tcW w:w="552" w:type="pct"/>
            <w:noWrap/>
            <w:hideMark/>
          </w:tcPr>
          <w:p w14:paraId="08998EF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324</w:t>
            </w:r>
          </w:p>
        </w:tc>
        <w:tc>
          <w:tcPr>
            <w:tcW w:w="552" w:type="pct"/>
            <w:noWrap/>
            <w:hideMark/>
          </w:tcPr>
          <w:p w14:paraId="060EA301"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309</w:t>
            </w:r>
          </w:p>
        </w:tc>
        <w:tc>
          <w:tcPr>
            <w:tcW w:w="552" w:type="pct"/>
            <w:noWrap/>
            <w:hideMark/>
          </w:tcPr>
          <w:p w14:paraId="7A9007D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612</w:t>
            </w:r>
          </w:p>
        </w:tc>
      </w:tr>
      <w:tr w:rsidR="009D7419" w:rsidRPr="00FF6806" w14:paraId="78BAA9DB"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7FC7DDF3"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INVESTING</w:t>
            </w:r>
          </w:p>
        </w:tc>
        <w:tc>
          <w:tcPr>
            <w:tcW w:w="552" w:type="pct"/>
            <w:noWrap/>
            <w:hideMark/>
          </w:tcPr>
          <w:p w14:paraId="319AAF36"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164085C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445A0BD9"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4D855FC5"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0B7DD8A"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3DE22F74"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2C1335A3"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Capital expenditures</w:t>
            </w:r>
          </w:p>
        </w:tc>
        <w:tc>
          <w:tcPr>
            <w:tcW w:w="552" w:type="pct"/>
            <w:noWrap/>
            <w:hideMark/>
          </w:tcPr>
          <w:p w14:paraId="77FD8A73"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w:t>
            </w:r>
          </w:p>
        </w:tc>
        <w:tc>
          <w:tcPr>
            <w:tcW w:w="552" w:type="pct"/>
            <w:noWrap/>
            <w:hideMark/>
          </w:tcPr>
          <w:p w14:paraId="54B54E9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w:t>
            </w:r>
          </w:p>
        </w:tc>
        <w:tc>
          <w:tcPr>
            <w:tcW w:w="552" w:type="pct"/>
            <w:noWrap/>
            <w:hideMark/>
          </w:tcPr>
          <w:p w14:paraId="4A95F28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-2.4</w:t>
            </w:r>
          </w:p>
        </w:tc>
        <w:tc>
          <w:tcPr>
            <w:tcW w:w="552" w:type="pct"/>
            <w:noWrap/>
            <w:hideMark/>
          </w:tcPr>
          <w:p w14:paraId="75859A1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-9.7</w:t>
            </w:r>
          </w:p>
        </w:tc>
        <w:tc>
          <w:tcPr>
            <w:tcW w:w="552" w:type="pct"/>
            <w:noWrap/>
            <w:hideMark/>
          </w:tcPr>
          <w:p w14:paraId="2175C3B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w:t>
            </w:r>
          </w:p>
        </w:tc>
      </w:tr>
      <w:tr w:rsidR="009D7419" w:rsidRPr="00FF6806" w14:paraId="745A5A8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2943452A"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Other investing and cash flow items, total</w:t>
            </w:r>
          </w:p>
        </w:tc>
        <w:tc>
          <w:tcPr>
            <w:tcW w:w="552" w:type="pct"/>
            <w:noWrap/>
            <w:hideMark/>
          </w:tcPr>
          <w:p w14:paraId="14C135C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64</w:t>
            </w:r>
          </w:p>
        </w:tc>
        <w:tc>
          <w:tcPr>
            <w:tcW w:w="552" w:type="pct"/>
            <w:noWrap/>
            <w:hideMark/>
          </w:tcPr>
          <w:p w14:paraId="5339AF4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-26</w:t>
            </w:r>
          </w:p>
        </w:tc>
        <w:tc>
          <w:tcPr>
            <w:tcW w:w="552" w:type="pct"/>
            <w:noWrap/>
            <w:hideMark/>
          </w:tcPr>
          <w:p w14:paraId="6705D3F0"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w:t>
            </w:r>
          </w:p>
        </w:tc>
        <w:tc>
          <w:tcPr>
            <w:tcW w:w="552" w:type="pct"/>
            <w:noWrap/>
            <w:hideMark/>
          </w:tcPr>
          <w:p w14:paraId="65A0914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147</w:t>
            </w:r>
          </w:p>
        </w:tc>
        <w:tc>
          <w:tcPr>
            <w:tcW w:w="552" w:type="pct"/>
            <w:noWrap/>
            <w:hideMark/>
          </w:tcPr>
          <w:p w14:paraId="5BF22AA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-54</w:t>
            </w:r>
          </w:p>
        </w:tc>
      </w:tr>
      <w:tr w:rsidR="009D7419" w:rsidRPr="00FF6806" w14:paraId="3C4EF11B"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494FA01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Total cash from investing</w:t>
            </w:r>
          </w:p>
        </w:tc>
        <w:tc>
          <w:tcPr>
            <w:tcW w:w="552" w:type="pct"/>
            <w:noWrap/>
            <w:hideMark/>
          </w:tcPr>
          <w:p w14:paraId="0EBCA0D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62</w:t>
            </w:r>
          </w:p>
        </w:tc>
        <w:tc>
          <w:tcPr>
            <w:tcW w:w="552" w:type="pct"/>
            <w:noWrap/>
            <w:hideMark/>
          </w:tcPr>
          <w:p w14:paraId="75732AD3"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-28</w:t>
            </w:r>
          </w:p>
        </w:tc>
        <w:tc>
          <w:tcPr>
            <w:tcW w:w="552" w:type="pct"/>
            <w:noWrap/>
            <w:hideMark/>
          </w:tcPr>
          <w:p w14:paraId="5E3ECED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w:t>
            </w:r>
          </w:p>
        </w:tc>
        <w:tc>
          <w:tcPr>
            <w:tcW w:w="552" w:type="pct"/>
            <w:noWrap/>
            <w:hideMark/>
          </w:tcPr>
          <w:p w14:paraId="2A932258"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137</w:t>
            </w:r>
          </w:p>
        </w:tc>
        <w:tc>
          <w:tcPr>
            <w:tcW w:w="552" w:type="pct"/>
            <w:noWrap/>
            <w:hideMark/>
          </w:tcPr>
          <w:p w14:paraId="699961E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-73</w:t>
            </w:r>
          </w:p>
        </w:tc>
      </w:tr>
      <w:tr w:rsidR="009D7419" w:rsidRPr="00FF6806" w14:paraId="269DC0AA"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3B846623"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FINANCING</w:t>
            </w:r>
          </w:p>
        </w:tc>
        <w:tc>
          <w:tcPr>
            <w:tcW w:w="552" w:type="pct"/>
            <w:noWrap/>
            <w:hideMark/>
          </w:tcPr>
          <w:p w14:paraId="614F1192"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31620B78"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95ED6FC"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666A3399"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34A5B50"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77E79B92"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0CF500DE"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Financing cash flow items</w:t>
            </w:r>
          </w:p>
        </w:tc>
        <w:tc>
          <w:tcPr>
            <w:tcW w:w="552" w:type="pct"/>
            <w:noWrap/>
            <w:hideMark/>
          </w:tcPr>
          <w:p w14:paraId="2E2F0696"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5D1C7C5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-452</w:t>
            </w:r>
          </w:p>
        </w:tc>
        <w:tc>
          <w:tcPr>
            <w:tcW w:w="552" w:type="pct"/>
            <w:noWrap/>
            <w:hideMark/>
          </w:tcPr>
          <w:p w14:paraId="28DAD2E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6DD98B5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4DC41F0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52C9C511"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0B48212F"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Total cash dividends paid</w:t>
            </w:r>
          </w:p>
        </w:tc>
        <w:tc>
          <w:tcPr>
            <w:tcW w:w="552" w:type="pct"/>
            <w:noWrap/>
            <w:hideMark/>
          </w:tcPr>
          <w:p w14:paraId="692DC65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-99</w:t>
            </w:r>
          </w:p>
        </w:tc>
        <w:tc>
          <w:tcPr>
            <w:tcW w:w="552" w:type="pct"/>
            <w:noWrap/>
            <w:hideMark/>
          </w:tcPr>
          <w:p w14:paraId="1C1ECF4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0</w:t>
            </w:r>
          </w:p>
        </w:tc>
        <w:tc>
          <w:tcPr>
            <w:tcW w:w="552" w:type="pct"/>
            <w:noWrap/>
            <w:hideMark/>
          </w:tcPr>
          <w:p w14:paraId="650277D6"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-146</w:t>
            </w:r>
          </w:p>
        </w:tc>
        <w:tc>
          <w:tcPr>
            <w:tcW w:w="552" w:type="pct"/>
            <w:noWrap/>
            <w:hideMark/>
          </w:tcPr>
          <w:p w14:paraId="2ABC2A8E"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-150</w:t>
            </w:r>
          </w:p>
        </w:tc>
        <w:tc>
          <w:tcPr>
            <w:tcW w:w="552" w:type="pct"/>
            <w:noWrap/>
            <w:hideMark/>
          </w:tcPr>
          <w:p w14:paraId="0FB94CF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-53</w:t>
            </w:r>
          </w:p>
        </w:tc>
      </w:tr>
      <w:tr w:rsidR="009D7419" w:rsidRPr="00FF6806" w14:paraId="7490D87F"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2199FF4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Issuance (retirement) of stock, net</w:t>
            </w:r>
          </w:p>
        </w:tc>
        <w:tc>
          <w:tcPr>
            <w:tcW w:w="552" w:type="pct"/>
            <w:noWrap/>
            <w:hideMark/>
          </w:tcPr>
          <w:p w14:paraId="2BE257E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-155</w:t>
            </w:r>
          </w:p>
        </w:tc>
        <w:tc>
          <w:tcPr>
            <w:tcW w:w="552" w:type="pct"/>
            <w:noWrap/>
            <w:hideMark/>
          </w:tcPr>
          <w:p w14:paraId="2552F2FD"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-64</w:t>
            </w:r>
          </w:p>
        </w:tc>
        <w:tc>
          <w:tcPr>
            <w:tcW w:w="552" w:type="pct"/>
            <w:noWrap/>
            <w:hideMark/>
          </w:tcPr>
          <w:p w14:paraId="7A40A4F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-189</w:t>
            </w:r>
          </w:p>
        </w:tc>
        <w:tc>
          <w:tcPr>
            <w:tcW w:w="552" w:type="pct"/>
            <w:noWrap/>
            <w:hideMark/>
          </w:tcPr>
          <w:p w14:paraId="1D061F8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-130</w:t>
            </w:r>
          </w:p>
        </w:tc>
        <w:tc>
          <w:tcPr>
            <w:tcW w:w="552" w:type="pct"/>
            <w:noWrap/>
            <w:hideMark/>
          </w:tcPr>
          <w:p w14:paraId="0EF5537F"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-198</w:t>
            </w:r>
          </w:p>
        </w:tc>
      </w:tr>
      <w:tr w:rsidR="009D7419" w:rsidRPr="00FF6806" w14:paraId="4D0420F1"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73CE642A"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Issuance (retirement) of debt, net</w:t>
            </w:r>
          </w:p>
        </w:tc>
        <w:tc>
          <w:tcPr>
            <w:tcW w:w="552" w:type="pct"/>
            <w:noWrap/>
            <w:hideMark/>
          </w:tcPr>
          <w:p w14:paraId="4FE58BF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-2.3</w:t>
            </w:r>
          </w:p>
        </w:tc>
        <w:tc>
          <w:tcPr>
            <w:tcW w:w="552" w:type="pct"/>
            <w:noWrap/>
            <w:hideMark/>
          </w:tcPr>
          <w:p w14:paraId="3437E53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173</w:t>
            </w:r>
          </w:p>
        </w:tc>
        <w:tc>
          <w:tcPr>
            <w:tcW w:w="552" w:type="pct"/>
            <w:noWrap/>
            <w:hideMark/>
          </w:tcPr>
          <w:p w14:paraId="5F6232D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-202</w:t>
            </w:r>
          </w:p>
        </w:tc>
        <w:tc>
          <w:tcPr>
            <w:tcW w:w="552" w:type="pct"/>
            <w:noWrap/>
            <w:hideMark/>
          </w:tcPr>
          <w:p w14:paraId="55447E1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198</w:t>
            </w:r>
          </w:p>
        </w:tc>
        <w:tc>
          <w:tcPr>
            <w:tcW w:w="552" w:type="pct"/>
            <w:noWrap/>
            <w:hideMark/>
          </w:tcPr>
          <w:p w14:paraId="3FA58C4C"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rsidR="009D7419" w:rsidRPr="00FF6806" w14:paraId="65C60CF7"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32709585"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Total cash from financing</w:t>
            </w:r>
          </w:p>
        </w:tc>
        <w:tc>
          <w:tcPr>
            <w:tcW w:w="552" w:type="pct"/>
            <w:noWrap/>
            <w:hideMark/>
          </w:tcPr>
          <w:p w14:paraId="2424CC3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-256</w:t>
            </w:r>
          </w:p>
        </w:tc>
        <w:tc>
          <w:tcPr>
            <w:tcW w:w="552" w:type="pct"/>
            <w:noWrap/>
            <w:hideMark/>
          </w:tcPr>
          <w:p w14:paraId="32BBE720"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-342</w:t>
            </w:r>
          </w:p>
        </w:tc>
        <w:tc>
          <w:tcPr>
            <w:tcW w:w="552" w:type="pct"/>
            <w:noWrap/>
            <w:hideMark/>
          </w:tcPr>
          <w:p w14:paraId="6D9E7B7B"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-536</w:t>
            </w:r>
          </w:p>
        </w:tc>
        <w:tc>
          <w:tcPr>
            <w:tcW w:w="552" w:type="pct"/>
            <w:noWrap/>
            <w:hideMark/>
          </w:tcPr>
          <w:p w14:paraId="73F41B1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-82</w:t>
            </w:r>
          </w:p>
        </w:tc>
        <w:tc>
          <w:tcPr>
            <w:tcW w:w="552" w:type="pct"/>
            <w:noWrap/>
            <w:hideMark/>
          </w:tcPr>
          <w:p w14:paraId="76C10412"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-251</w:t>
            </w:r>
          </w:p>
        </w:tc>
      </w:tr>
      <w:tr w:rsidR="009D7419" w:rsidRPr="00FF6806" w14:paraId="42FEC86E"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79EC4541"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NET CHANGE IN CASH</w:t>
            </w:r>
          </w:p>
        </w:tc>
        <w:tc>
          <w:tcPr>
            <w:tcW w:w="552" w:type="pct"/>
            <w:noWrap/>
            <w:hideMark/>
          </w:tcPr>
          <w:p w14:paraId="7829D388"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77A51199"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2A10AE7"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472BFE2F"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7DC328BD" w14:textId="77777777" w:rsidR="009D7419" w:rsidRPr="00FF6806" w:rsidRDefault="009D7419" w:rsidP="00CD240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2BE7009C"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435C01D9"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Foreign exchange effects</w:t>
            </w:r>
          </w:p>
        </w:tc>
        <w:tc>
          <w:tcPr>
            <w:tcW w:w="552" w:type="pct"/>
            <w:noWrap/>
            <w:hideMark/>
          </w:tcPr>
          <w:p w14:paraId="3BBFAC29"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433C81ED"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0351438F"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5F996BFC"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BD094BE"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0243A261"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580F345E"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Net change in cash</w:t>
            </w:r>
          </w:p>
        </w:tc>
        <w:tc>
          <w:tcPr>
            <w:tcW w:w="552" w:type="pct"/>
            <w:noWrap/>
            <w:hideMark/>
          </w:tcPr>
          <w:p w14:paraId="5A58CFDD"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142</w:t>
            </w:r>
          </w:p>
        </w:tc>
        <w:tc>
          <w:tcPr>
            <w:tcW w:w="552" w:type="pct"/>
            <w:noWrap/>
            <w:hideMark/>
          </w:tcPr>
          <w:p w14:paraId="1C2B49B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-499</w:t>
            </w:r>
          </w:p>
        </w:tc>
        <w:tc>
          <w:tcPr>
            <w:tcW w:w="552" w:type="pct"/>
            <w:noWrap/>
            <w:hideMark/>
          </w:tcPr>
          <w:p w14:paraId="43B70788"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-211</w:t>
            </w:r>
          </w:p>
        </w:tc>
        <w:tc>
          <w:tcPr>
            <w:tcW w:w="552" w:type="pct"/>
            <w:noWrap/>
            <w:hideMark/>
          </w:tcPr>
          <w:p w14:paraId="5FA8CC63"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364</w:t>
            </w:r>
          </w:p>
        </w:tc>
        <w:tc>
          <w:tcPr>
            <w:tcW w:w="552" w:type="pct"/>
            <w:noWrap/>
            <w:hideMark/>
          </w:tcPr>
          <w:p w14:paraId="69B5E5F4"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288</w:t>
            </w:r>
          </w:p>
        </w:tc>
      </w:tr>
      <w:tr w:rsidR="009D7419" w:rsidRPr="00FF6806" w14:paraId="437B4EB4"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77B90374"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Net cash-begin balance/reserved for future use</w:t>
            </w:r>
          </w:p>
        </w:tc>
        <w:tc>
          <w:tcPr>
            <w:tcW w:w="552" w:type="pct"/>
            <w:noWrap/>
            <w:hideMark/>
          </w:tcPr>
          <w:p w14:paraId="0FC67D65"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929</w:t>
            </w:r>
          </w:p>
        </w:tc>
        <w:tc>
          <w:tcPr>
            <w:tcW w:w="552" w:type="pct"/>
            <w:noWrap/>
            <w:hideMark/>
          </w:tcPr>
          <w:p w14:paraId="4CC546A9"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1,428</w:t>
            </w:r>
          </w:p>
        </w:tc>
        <w:tc>
          <w:tcPr>
            <w:tcW w:w="552" w:type="pct"/>
            <w:noWrap/>
            <w:hideMark/>
          </w:tcPr>
          <w:p w14:paraId="4734995C"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1,639</w:t>
            </w:r>
          </w:p>
        </w:tc>
        <w:tc>
          <w:tcPr>
            <w:tcW w:w="552" w:type="pct"/>
            <w:noWrap/>
            <w:hideMark/>
          </w:tcPr>
          <w:p w14:paraId="47EC41B4"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1,275</w:t>
            </w:r>
          </w:p>
        </w:tc>
        <w:tc>
          <w:tcPr>
            <w:tcW w:w="552" w:type="pct"/>
            <w:noWrap/>
            <w:hideMark/>
          </w:tcPr>
          <w:p w14:paraId="4DA163B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987</w:t>
            </w:r>
          </w:p>
        </w:tc>
      </w:tr>
      <w:tr w:rsidR="009D7419" w:rsidRPr="00FF6806" w14:paraId="42CE10A9"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6C872674"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Net cash-end balance/reserved for future use</w:t>
            </w:r>
          </w:p>
        </w:tc>
        <w:tc>
          <w:tcPr>
            <w:tcW w:w="552" w:type="pct"/>
            <w:noWrap/>
            <w:hideMark/>
          </w:tcPr>
          <w:p w14:paraId="17DB32E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1,070</w:t>
            </w:r>
          </w:p>
        </w:tc>
        <w:tc>
          <w:tcPr>
            <w:tcW w:w="552" w:type="pct"/>
            <w:noWrap/>
            <w:hideMark/>
          </w:tcPr>
          <w:p w14:paraId="4F3C2D51"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929</w:t>
            </w:r>
          </w:p>
        </w:tc>
        <w:tc>
          <w:tcPr>
            <w:tcW w:w="552" w:type="pct"/>
            <w:noWrap/>
            <w:hideMark/>
          </w:tcPr>
          <w:p w14:paraId="52A36A1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1,428</w:t>
            </w:r>
          </w:p>
        </w:tc>
        <w:tc>
          <w:tcPr>
            <w:tcW w:w="552" w:type="pct"/>
            <w:noWrap/>
            <w:hideMark/>
          </w:tcPr>
          <w:p w14:paraId="622AFE1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1,639</w:t>
            </w:r>
          </w:p>
        </w:tc>
        <w:tc>
          <w:tcPr>
            <w:tcW w:w="552" w:type="pct"/>
            <w:noWrap/>
            <w:hideMark/>
          </w:tcPr>
          <w:p w14:paraId="2663194B"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1,275</w:t>
            </w:r>
          </w:p>
        </w:tc>
      </w:tr>
      <w:tr w:rsidR="009D7419" w:rsidRPr="00FF6806" w14:paraId="3BAC32B9"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766208FF"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SUPPLEMENTAL INCOME</w:t>
            </w:r>
          </w:p>
        </w:tc>
        <w:tc>
          <w:tcPr>
            <w:tcW w:w="552" w:type="pct"/>
            <w:noWrap/>
            <w:hideMark/>
          </w:tcPr>
          <w:p w14:paraId="2A00042B"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552" w:type="pct"/>
            <w:noWrap/>
            <w:hideMark/>
          </w:tcPr>
          <w:p w14:paraId="5DAC9DE4"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42321D7A"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17A1AF82"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552" w:type="pct"/>
            <w:noWrap/>
            <w:hideMark/>
          </w:tcPr>
          <w:p w14:paraId="30D6CE11" w14:textId="77777777" w:rsidR="009D7419" w:rsidRPr="00FF6806" w:rsidRDefault="009D7419" w:rsidP="00CD240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D7419" w:rsidRPr="00FF6806" w14:paraId="2FFE9345"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5822C729" w14:textId="77777777" w:rsidR="009D7419" w:rsidRPr="00FF6806" w:rsidRDefault="009D7419" w:rsidP="00CD240D">
            <w:pPr>
              <w:rPr>
                <w:rFonts w:ascii="Arial" w:eastAsia="Times New Roman" w:hAnsi="Arial" w:cs="Arial"/>
                <w:color w:val="000000"/>
                <w:sz w:val="20"/>
                <w:szCs w:val="20"/>
              </w:rPr>
            </w:pPr>
            <w:r w:rsidRPr="00FF6806">
              <w:rPr>
                <w:rFonts w:ascii="Arial" w:eastAsia="Times New Roman" w:hAnsi="Arial" w:cs="Arial"/>
                <w:color w:val="000000"/>
                <w:sz w:val="20"/>
                <w:szCs w:val="20"/>
              </w:rPr>
              <w:t>Depreciation, supplemental</w:t>
            </w:r>
          </w:p>
        </w:tc>
        <w:tc>
          <w:tcPr>
            <w:tcW w:w="552" w:type="pct"/>
            <w:noWrap/>
            <w:hideMark/>
          </w:tcPr>
          <w:p w14:paraId="493F559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w:t>
            </w:r>
          </w:p>
        </w:tc>
        <w:tc>
          <w:tcPr>
            <w:tcW w:w="552" w:type="pct"/>
            <w:noWrap/>
            <w:hideMark/>
          </w:tcPr>
          <w:p w14:paraId="1DC2AE8A"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w:t>
            </w:r>
          </w:p>
        </w:tc>
        <w:tc>
          <w:tcPr>
            <w:tcW w:w="552" w:type="pct"/>
            <w:noWrap/>
            <w:hideMark/>
          </w:tcPr>
          <w:p w14:paraId="50AE9835"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6</w:t>
            </w:r>
          </w:p>
        </w:tc>
        <w:tc>
          <w:tcPr>
            <w:tcW w:w="552" w:type="pct"/>
            <w:noWrap/>
            <w:hideMark/>
          </w:tcPr>
          <w:p w14:paraId="55120C4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w:t>
            </w:r>
          </w:p>
        </w:tc>
        <w:tc>
          <w:tcPr>
            <w:tcW w:w="552" w:type="pct"/>
            <w:noWrap/>
            <w:hideMark/>
          </w:tcPr>
          <w:p w14:paraId="306F117C"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w:t>
            </w:r>
          </w:p>
        </w:tc>
      </w:tr>
      <w:tr w:rsidR="009D7419" w:rsidRPr="00FF6806" w14:paraId="706635BD" w14:textId="77777777" w:rsidTr="00CD240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54649402"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Cash interest paid, supplemental</w:t>
            </w:r>
          </w:p>
        </w:tc>
        <w:tc>
          <w:tcPr>
            <w:tcW w:w="552" w:type="pct"/>
            <w:noWrap/>
            <w:hideMark/>
          </w:tcPr>
          <w:p w14:paraId="318EF7AE"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21</w:t>
            </w:r>
          </w:p>
        </w:tc>
        <w:tc>
          <w:tcPr>
            <w:tcW w:w="552" w:type="pct"/>
            <w:noWrap/>
            <w:hideMark/>
          </w:tcPr>
          <w:p w14:paraId="54C097B7"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5.6</w:t>
            </w:r>
          </w:p>
        </w:tc>
        <w:tc>
          <w:tcPr>
            <w:tcW w:w="552" w:type="pct"/>
            <w:noWrap/>
            <w:hideMark/>
          </w:tcPr>
          <w:p w14:paraId="7B892896"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8.1</w:t>
            </w:r>
          </w:p>
        </w:tc>
        <w:tc>
          <w:tcPr>
            <w:tcW w:w="552" w:type="pct"/>
            <w:noWrap/>
            <w:hideMark/>
          </w:tcPr>
          <w:p w14:paraId="57E6EBE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9.1</w:t>
            </w:r>
          </w:p>
        </w:tc>
        <w:tc>
          <w:tcPr>
            <w:tcW w:w="552" w:type="pct"/>
            <w:noWrap/>
            <w:hideMark/>
          </w:tcPr>
          <w:p w14:paraId="50F55FBA" w14:textId="77777777" w:rsidR="009D7419" w:rsidRPr="00FF6806" w:rsidRDefault="009D7419" w:rsidP="00CD24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8.8</w:t>
            </w:r>
          </w:p>
        </w:tc>
      </w:tr>
      <w:tr w:rsidR="009D7419" w:rsidRPr="00FF6806" w14:paraId="42B117A9" w14:textId="77777777" w:rsidTr="00CD240D">
        <w:trPr>
          <w:trHeight w:val="255"/>
        </w:trPr>
        <w:tc>
          <w:tcPr>
            <w:cnfStyle w:val="001000000000" w:firstRow="0" w:lastRow="0" w:firstColumn="1" w:lastColumn="0" w:oddVBand="0" w:evenVBand="0" w:oddHBand="0" w:evenHBand="0" w:firstRowFirstColumn="0" w:firstRowLastColumn="0" w:lastRowFirstColumn="0" w:lastRowLastColumn="0"/>
            <w:tcW w:w="2241" w:type="pct"/>
            <w:noWrap/>
            <w:hideMark/>
          </w:tcPr>
          <w:p w14:paraId="1C288554" w14:textId="77777777" w:rsidR="009D7419" w:rsidRPr="00FF6806" w:rsidRDefault="009D7419" w:rsidP="00CD240D">
            <w:pPr>
              <w:rPr>
                <w:rFonts w:ascii="Arial" w:eastAsia="Times New Roman" w:hAnsi="Arial" w:cs="Arial"/>
                <w:b w:val="0"/>
                <w:bCs w:val="0"/>
                <w:color w:val="000000"/>
                <w:sz w:val="20"/>
                <w:szCs w:val="20"/>
              </w:rPr>
            </w:pPr>
            <w:r w:rsidRPr="00FF6806">
              <w:rPr>
                <w:rFonts w:ascii="Arial" w:eastAsia="Times New Roman" w:hAnsi="Arial" w:cs="Arial"/>
                <w:b w:val="0"/>
                <w:bCs w:val="0"/>
                <w:color w:val="000000"/>
                <w:sz w:val="20"/>
                <w:szCs w:val="20"/>
              </w:rPr>
              <w:t>Cash taxes paid, supplemental</w:t>
            </w:r>
          </w:p>
        </w:tc>
        <w:tc>
          <w:tcPr>
            <w:tcW w:w="552" w:type="pct"/>
            <w:noWrap/>
            <w:hideMark/>
          </w:tcPr>
          <w:p w14:paraId="598FB01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134</w:t>
            </w:r>
          </w:p>
        </w:tc>
        <w:tc>
          <w:tcPr>
            <w:tcW w:w="552" w:type="pct"/>
            <w:noWrap/>
            <w:hideMark/>
          </w:tcPr>
          <w:p w14:paraId="78646F7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143</w:t>
            </w:r>
          </w:p>
        </w:tc>
        <w:tc>
          <w:tcPr>
            <w:tcW w:w="552" w:type="pct"/>
            <w:noWrap/>
            <w:hideMark/>
          </w:tcPr>
          <w:p w14:paraId="40156979"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90</w:t>
            </w:r>
          </w:p>
        </w:tc>
        <w:tc>
          <w:tcPr>
            <w:tcW w:w="552" w:type="pct"/>
            <w:noWrap/>
            <w:hideMark/>
          </w:tcPr>
          <w:p w14:paraId="107C0BD2"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90</w:t>
            </w:r>
          </w:p>
        </w:tc>
        <w:tc>
          <w:tcPr>
            <w:tcW w:w="552" w:type="pct"/>
            <w:noWrap/>
            <w:hideMark/>
          </w:tcPr>
          <w:p w14:paraId="01DE27FF" w14:textId="77777777" w:rsidR="009D7419" w:rsidRPr="00FF6806" w:rsidRDefault="009D7419" w:rsidP="00CD240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FF6806">
              <w:rPr>
                <w:rFonts w:ascii="Arial" w:eastAsia="Times New Roman" w:hAnsi="Arial" w:cs="Arial"/>
                <w:color w:val="000000"/>
                <w:sz w:val="20"/>
                <w:szCs w:val="20"/>
              </w:rPr>
              <w:t>179</w:t>
            </w:r>
          </w:p>
        </w:tc>
      </w:tr>
    </w:tbl>
    <w:p w14:paraId="59BC71E1" w14:textId="77777777" w:rsidR="009D7419" w:rsidRDefault="009D7419" w:rsidP="00923F6C">
      <w:pPr>
        <w:spacing w:after="0" w:line="360" w:lineRule="auto"/>
        <w:jc w:val="center"/>
        <w:rPr>
          <w:rFonts w:ascii="Calibri" w:hAnsi="Calibri" w:cs="Calibri"/>
          <w:color w:val="000000" w:themeColor="text1"/>
        </w:rPr>
      </w:pPr>
    </w:p>
    <w:p w14:paraId="6671B0ED" w14:textId="77777777" w:rsidR="009D7419" w:rsidRDefault="009D7419" w:rsidP="00923F6C">
      <w:pPr>
        <w:spacing w:after="0" w:line="360" w:lineRule="auto"/>
        <w:jc w:val="center"/>
        <w:rPr>
          <w:rFonts w:ascii="Calibri" w:hAnsi="Calibri" w:cs="Calibri"/>
          <w:color w:val="000000" w:themeColor="text1"/>
        </w:rPr>
      </w:pPr>
    </w:p>
    <w:p w14:paraId="76320F98" w14:textId="77777777" w:rsidR="009D7419" w:rsidRDefault="009D7419" w:rsidP="00923F6C">
      <w:pPr>
        <w:spacing w:after="0" w:line="360" w:lineRule="auto"/>
        <w:jc w:val="center"/>
        <w:rPr>
          <w:rFonts w:ascii="Calibri" w:hAnsi="Calibri" w:cs="Calibri"/>
          <w:color w:val="000000" w:themeColor="text1"/>
        </w:rPr>
      </w:pPr>
    </w:p>
    <w:p w14:paraId="701A434D" w14:textId="77777777" w:rsidR="009D7419" w:rsidRDefault="009D7419" w:rsidP="00923F6C">
      <w:pPr>
        <w:spacing w:after="0" w:line="360" w:lineRule="auto"/>
        <w:jc w:val="center"/>
        <w:rPr>
          <w:rFonts w:ascii="Calibri" w:hAnsi="Calibri" w:cs="Calibri"/>
          <w:color w:val="000000" w:themeColor="text1"/>
        </w:rPr>
      </w:pPr>
    </w:p>
    <w:p w14:paraId="41C5E4E1" w14:textId="77777777" w:rsidR="009D7419" w:rsidRDefault="009D7419" w:rsidP="00923F6C">
      <w:pPr>
        <w:spacing w:after="0" w:line="360" w:lineRule="auto"/>
        <w:jc w:val="center"/>
        <w:rPr>
          <w:rFonts w:ascii="Calibri" w:hAnsi="Calibri" w:cs="Calibri"/>
          <w:color w:val="000000" w:themeColor="text1"/>
        </w:rPr>
      </w:pPr>
    </w:p>
    <w:p w14:paraId="1D4E39B4" w14:textId="77777777" w:rsidR="009D7419" w:rsidRDefault="009D7419" w:rsidP="00923F6C">
      <w:pPr>
        <w:spacing w:after="0" w:line="360" w:lineRule="auto"/>
        <w:jc w:val="center"/>
        <w:rPr>
          <w:rFonts w:ascii="Calibri" w:hAnsi="Calibri" w:cs="Calibri"/>
          <w:color w:val="000000" w:themeColor="text1"/>
        </w:rPr>
      </w:pPr>
    </w:p>
    <w:p w14:paraId="1288FAFB" w14:textId="77777777" w:rsidR="009D7419" w:rsidRDefault="009D7419" w:rsidP="00923F6C">
      <w:pPr>
        <w:spacing w:after="0" w:line="360" w:lineRule="auto"/>
        <w:jc w:val="center"/>
        <w:rPr>
          <w:rFonts w:ascii="Calibri" w:hAnsi="Calibri" w:cs="Calibri"/>
          <w:color w:val="000000" w:themeColor="text1"/>
        </w:rPr>
      </w:pPr>
    </w:p>
    <w:p w14:paraId="302B140F" w14:textId="77777777" w:rsidR="009D7419" w:rsidRDefault="009D7419" w:rsidP="00923F6C">
      <w:pPr>
        <w:spacing w:after="0" w:line="360" w:lineRule="auto"/>
        <w:jc w:val="center"/>
        <w:rPr>
          <w:rFonts w:ascii="Calibri" w:hAnsi="Calibri" w:cs="Calibri"/>
          <w:color w:val="000000" w:themeColor="text1"/>
        </w:rPr>
      </w:pPr>
    </w:p>
    <w:p w14:paraId="36AED7AC" w14:textId="77777777" w:rsidR="009D7419" w:rsidRDefault="009D7419" w:rsidP="00923F6C">
      <w:pPr>
        <w:spacing w:after="0" w:line="360" w:lineRule="auto"/>
        <w:jc w:val="center"/>
        <w:rPr>
          <w:rFonts w:ascii="Calibri" w:hAnsi="Calibri" w:cs="Calibri"/>
          <w:color w:val="000000" w:themeColor="text1"/>
        </w:rPr>
      </w:pPr>
    </w:p>
    <w:p w14:paraId="4DF11C0F" w14:textId="77777777" w:rsidR="009D7419" w:rsidRDefault="009D7419" w:rsidP="00923F6C">
      <w:pPr>
        <w:spacing w:after="0" w:line="360" w:lineRule="auto"/>
        <w:jc w:val="center"/>
        <w:rPr>
          <w:rFonts w:ascii="Calibri" w:hAnsi="Calibri" w:cs="Calibri"/>
          <w:color w:val="000000" w:themeColor="text1"/>
        </w:rPr>
      </w:pPr>
    </w:p>
    <w:p w14:paraId="5A7FBB0B" w14:textId="77777777" w:rsidR="009D7419" w:rsidRDefault="009D7419" w:rsidP="00923F6C">
      <w:pPr>
        <w:spacing w:after="0" w:line="360" w:lineRule="auto"/>
        <w:jc w:val="center"/>
        <w:rPr>
          <w:rFonts w:ascii="Calibri" w:hAnsi="Calibri" w:cs="Calibri"/>
          <w:color w:val="000000" w:themeColor="text1"/>
        </w:rPr>
      </w:pPr>
    </w:p>
    <w:p w14:paraId="02629243" w14:textId="112D396A" w:rsidR="00923F6C" w:rsidRPr="00265EA6" w:rsidRDefault="007F43D9" w:rsidP="00265EA6">
      <w:pPr>
        <w:pStyle w:val="Heading2"/>
        <w:spacing w:line="360" w:lineRule="auto"/>
        <w:rPr>
          <w:rFonts w:asciiTheme="minorHAnsi" w:hAnsiTheme="minorHAnsi" w:cstheme="minorHAnsi"/>
          <w:b/>
          <w:bCs/>
          <w:sz w:val="28"/>
          <w:szCs w:val="28"/>
        </w:rPr>
      </w:pPr>
      <w:bookmarkStart w:id="57" w:name="_Toc165495789"/>
      <w:bookmarkStart w:id="58" w:name="_Toc165496514"/>
      <w:r>
        <w:rPr>
          <w:rFonts w:asciiTheme="minorHAnsi" w:hAnsiTheme="minorHAnsi" w:cstheme="minorHAnsi"/>
          <w:b/>
          <w:bCs/>
          <w:color w:val="auto"/>
          <w:sz w:val="28"/>
          <w:szCs w:val="28"/>
        </w:rPr>
        <w:lastRenderedPageBreak/>
        <w:t xml:space="preserve">5.1 </w:t>
      </w:r>
      <w:r w:rsidR="00923F6C" w:rsidRPr="00265EA6">
        <w:rPr>
          <w:rFonts w:asciiTheme="minorHAnsi" w:hAnsiTheme="minorHAnsi" w:cstheme="minorHAnsi"/>
          <w:b/>
          <w:bCs/>
          <w:color w:val="auto"/>
          <w:sz w:val="28"/>
          <w:szCs w:val="28"/>
        </w:rPr>
        <w:t>Ratio Formula</w:t>
      </w:r>
      <w:bookmarkEnd w:id="57"/>
      <w:bookmarkEnd w:id="58"/>
    </w:p>
    <w:p w14:paraId="1A91BEAD" w14:textId="77777777" w:rsidR="00923F6C" w:rsidRPr="00855DA2" w:rsidRDefault="00923F6C" w:rsidP="00265EA6">
      <w:pPr>
        <w:pStyle w:val="ListParagraph"/>
        <w:numPr>
          <w:ilvl w:val="0"/>
          <w:numId w:val="23"/>
        </w:numPr>
        <w:spacing w:after="0" w:line="360" w:lineRule="auto"/>
        <w:jc w:val="both"/>
        <w:rPr>
          <w:rFonts w:ascii="Calibri" w:hAnsi="Calibri" w:cs="Calibri"/>
          <w:color w:val="000000" w:themeColor="text1"/>
          <w:sz w:val="24"/>
          <w:szCs w:val="24"/>
        </w:rPr>
      </w:pPr>
      <w:r w:rsidRPr="00855DA2">
        <w:rPr>
          <w:rFonts w:ascii="Calibri" w:hAnsi="Calibri" w:cs="Calibri"/>
          <w:color w:val="000000" w:themeColor="text1"/>
          <w:sz w:val="24"/>
          <w:szCs w:val="24"/>
        </w:rPr>
        <w:t>Liquidity Ratio</w:t>
      </w:r>
      <w:r>
        <w:rPr>
          <w:rFonts w:ascii="Calibri" w:hAnsi="Calibri" w:cs="Calibri"/>
          <w:color w:val="000000" w:themeColor="text1"/>
          <w:sz w:val="24"/>
          <w:szCs w:val="24"/>
        </w:rPr>
        <w:t>s</w:t>
      </w:r>
    </w:p>
    <w:p w14:paraId="644CBE60" w14:textId="77777777" w:rsidR="00923F6C" w:rsidRPr="009B6F16" w:rsidRDefault="00923F6C" w:rsidP="00923F6C">
      <w:pPr>
        <w:pStyle w:val="ListParagraph"/>
        <w:numPr>
          <w:ilvl w:val="0"/>
          <w:numId w:val="22"/>
        </w:numPr>
        <w:spacing w:after="0" w:line="360" w:lineRule="auto"/>
        <w:jc w:val="both"/>
        <w:rPr>
          <w:rFonts w:ascii="Calibri" w:hAnsi="Calibri" w:cs="Calibri"/>
          <w:sz w:val="24"/>
          <w:szCs w:val="24"/>
        </w:rPr>
      </w:pPr>
      <w:r>
        <w:rPr>
          <w:rFonts w:ascii="Calibri" w:hAnsi="Calibri" w:cs="Calibri"/>
          <w:sz w:val="24"/>
          <w:szCs w:val="24"/>
        </w:rPr>
        <w:t xml:space="preserve">Current Ratio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Total Current Assets</m:t>
            </m:r>
          </m:num>
          <m:den>
            <m:r>
              <m:rPr>
                <m:sty m:val="p"/>
              </m:rPr>
              <w:rPr>
                <w:rFonts w:ascii="Cambria Math" w:eastAsiaTheme="minorEastAsia" w:hAnsi="Cambria Math" w:cs="Arial"/>
                <w:color w:val="000000" w:themeColor="text1"/>
                <w:sz w:val="24"/>
                <w:szCs w:val="24"/>
              </w:rPr>
              <m:t>Total Current Liabilities</m:t>
            </m:r>
          </m:den>
        </m:f>
      </m:oMath>
    </w:p>
    <w:p w14:paraId="6F305D50" w14:textId="77777777" w:rsidR="00923F6C" w:rsidRPr="00855DA2" w:rsidRDefault="00923F6C" w:rsidP="00923F6C">
      <w:pPr>
        <w:pStyle w:val="ListParagraph"/>
        <w:numPr>
          <w:ilvl w:val="0"/>
          <w:numId w:val="22"/>
        </w:numPr>
        <w:spacing w:after="0" w:line="360" w:lineRule="auto"/>
        <w:jc w:val="both"/>
        <w:rPr>
          <w:rFonts w:ascii="Calibri" w:hAnsi="Calibri" w:cs="Calibri"/>
          <w:sz w:val="24"/>
          <w:szCs w:val="24"/>
        </w:rPr>
      </w:pPr>
      <w:r>
        <w:rPr>
          <w:rFonts w:ascii="Calibri" w:hAnsi="Calibri" w:cs="Calibri"/>
          <w:sz w:val="24"/>
          <w:szCs w:val="24"/>
        </w:rPr>
        <w:t xml:space="preserve">Quick Ratio </w:t>
      </w:r>
      <w:r w:rsidRPr="00D25E53">
        <w:rPr>
          <w:rFonts w:ascii="Calibri" w:hAnsi="Calibri" w:cs="Calibri"/>
          <w:sz w:val="24"/>
          <w:szCs w:val="24"/>
        </w:rPr>
        <w:t xml:space="preserve">= </w:t>
      </w:r>
      <m:oMath>
        <m:f>
          <m:fPr>
            <m:ctrlPr>
              <w:rPr>
                <w:rFonts w:ascii="Cambria Math" w:eastAsiaTheme="minorEastAsia" w:hAnsi="Cambria Math" w:cs="Arial"/>
                <w:color w:val="000000" w:themeColor="text1"/>
                <w:sz w:val="24"/>
                <w:szCs w:val="24"/>
              </w:rPr>
            </m:ctrlPr>
          </m:fPr>
          <m:num>
            <m:r>
              <m:rPr>
                <m:sty m:val="p"/>
              </m:rPr>
              <w:rPr>
                <w:rFonts w:ascii="Cambria Math" w:eastAsiaTheme="minorEastAsia" w:hAnsi="Cambria Math" w:cs="Arial"/>
                <w:color w:val="000000" w:themeColor="text1"/>
                <w:sz w:val="24"/>
                <w:szCs w:val="24"/>
              </w:rPr>
              <m:t>Total Current Assets -  Total Inventory</m:t>
            </m:r>
          </m:num>
          <m:den>
            <m:r>
              <m:rPr>
                <m:sty m:val="p"/>
              </m:rPr>
              <w:rPr>
                <w:rFonts w:ascii="Cambria Math" w:eastAsiaTheme="minorEastAsia" w:hAnsi="Cambria Math" w:cs="Arial"/>
                <w:color w:val="000000" w:themeColor="text1"/>
                <w:sz w:val="24"/>
                <w:szCs w:val="24"/>
              </w:rPr>
              <m:t>Total Current Liabilities</m:t>
            </m:r>
          </m:den>
        </m:f>
      </m:oMath>
    </w:p>
    <w:p w14:paraId="2D78AA3E" w14:textId="77777777" w:rsidR="00923F6C" w:rsidRPr="00855DA2" w:rsidRDefault="00923F6C" w:rsidP="00923F6C">
      <w:pPr>
        <w:pStyle w:val="ListParagraph"/>
        <w:numPr>
          <w:ilvl w:val="0"/>
          <w:numId w:val="22"/>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 xml:space="preserve">Cashflow Liquidity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Total Cash from Operations</m:t>
            </m:r>
          </m:num>
          <m:den>
            <m:r>
              <m:rPr>
                <m:sty m:val="p"/>
              </m:rPr>
              <w:rPr>
                <w:rFonts w:ascii="Cambria Math" w:eastAsiaTheme="minorEastAsia" w:hAnsi="Cambria Math" w:cs="Arial"/>
                <w:color w:val="000000" w:themeColor="text1"/>
                <w:sz w:val="24"/>
                <w:szCs w:val="24"/>
              </w:rPr>
              <m:t>Total Current Liabilities</m:t>
            </m:r>
          </m:den>
        </m:f>
      </m:oMath>
    </w:p>
    <w:p w14:paraId="0927E0D2" w14:textId="77777777" w:rsidR="00923F6C" w:rsidRDefault="00923F6C" w:rsidP="00923F6C">
      <w:pPr>
        <w:pStyle w:val="ListParagraph"/>
        <w:numPr>
          <w:ilvl w:val="0"/>
          <w:numId w:val="23"/>
        </w:numPr>
        <w:spacing w:after="0" w:line="360" w:lineRule="auto"/>
        <w:jc w:val="both"/>
        <w:rPr>
          <w:rFonts w:ascii="Calibri" w:hAnsi="Calibri" w:cs="Calibri"/>
          <w:sz w:val="24"/>
          <w:szCs w:val="24"/>
        </w:rPr>
      </w:pPr>
      <w:r>
        <w:rPr>
          <w:rFonts w:ascii="Calibri" w:hAnsi="Calibri" w:cs="Calibri"/>
          <w:sz w:val="24"/>
          <w:szCs w:val="24"/>
        </w:rPr>
        <w:t>Profitability Ratios</w:t>
      </w:r>
    </w:p>
    <w:p w14:paraId="59E89907" w14:textId="77777777" w:rsidR="00923F6C" w:rsidRPr="00855DA2"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GPM (Gross Profit Margin)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Total Revenue -  Cost of Revenue Total</m:t>
            </m:r>
          </m:num>
          <m:den>
            <m:r>
              <m:rPr>
                <m:sty m:val="p"/>
              </m:rPr>
              <w:rPr>
                <w:rFonts w:ascii="Cambria Math" w:eastAsiaTheme="minorEastAsia" w:hAnsi="Cambria Math" w:cs="Arial"/>
                <w:color w:val="000000" w:themeColor="text1"/>
                <w:sz w:val="24"/>
                <w:szCs w:val="24"/>
              </w:rPr>
              <m:t>Total Revenue</m:t>
            </m:r>
          </m:den>
        </m:f>
      </m:oMath>
    </w:p>
    <w:p w14:paraId="4B4378FC" w14:textId="77777777" w:rsidR="00923F6C" w:rsidRPr="00855DA2"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OPM (Operating Profit Margin)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Operating Income </m:t>
            </m:r>
          </m:num>
          <m:den>
            <m:r>
              <m:rPr>
                <m:sty m:val="p"/>
              </m:rPr>
              <w:rPr>
                <w:rFonts w:ascii="Cambria Math" w:eastAsiaTheme="minorEastAsia" w:hAnsi="Cambria Math" w:cs="Arial"/>
                <w:color w:val="000000" w:themeColor="text1"/>
                <w:sz w:val="24"/>
                <w:szCs w:val="24"/>
              </w:rPr>
              <m:t>Total Revenue</m:t>
            </m:r>
          </m:den>
        </m:f>
      </m:oMath>
    </w:p>
    <w:p w14:paraId="76853469" w14:textId="77777777" w:rsidR="00923F6C" w:rsidRPr="006A3E70"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NPM (Net Profit Margin)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Operating Income </m:t>
            </m:r>
          </m:num>
          <m:den>
            <m:r>
              <m:rPr>
                <m:sty m:val="p"/>
              </m:rPr>
              <w:rPr>
                <w:rFonts w:ascii="Cambria Math" w:eastAsiaTheme="minorEastAsia" w:hAnsi="Cambria Math" w:cs="Arial"/>
                <w:color w:val="000000" w:themeColor="text1"/>
                <w:sz w:val="24"/>
                <w:szCs w:val="24"/>
              </w:rPr>
              <m:t>Total Liabilities &amp; Shareholder</m:t>
            </m:r>
            <m:sSup>
              <m:sSupPr>
                <m:ctrlPr>
                  <w:rPr>
                    <w:rFonts w:ascii="Cambria Math" w:eastAsiaTheme="minorEastAsia" w:hAnsi="Cambria Math" w:cs="Arial"/>
                    <w:iCs/>
                    <w:color w:val="000000" w:themeColor="text1"/>
                    <w:sz w:val="24"/>
                    <w:szCs w:val="24"/>
                  </w:rPr>
                </m:ctrlPr>
              </m:sSupPr>
              <m:e>
                <m:r>
                  <m:rPr>
                    <m:sty m:val="p"/>
                  </m:rPr>
                  <w:rPr>
                    <w:rFonts w:ascii="Cambria Math" w:eastAsiaTheme="minorEastAsia" w:hAnsi="Cambria Math" w:cs="Arial"/>
                    <w:color w:val="000000" w:themeColor="text1"/>
                    <w:sz w:val="24"/>
                    <w:szCs w:val="24"/>
                  </w:rPr>
                  <m:t>s</m:t>
                </m:r>
              </m:e>
              <m:sup>
                <m:r>
                  <m:rPr>
                    <m:sty m:val="p"/>
                  </m:rPr>
                  <w:rPr>
                    <w:rFonts w:ascii="Cambria Math" w:eastAsiaTheme="minorEastAsia" w:hAnsi="Cambria Math" w:cs="Arial"/>
                    <w:color w:val="000000" w:themeColor="text1"/>
                    <w:sz w:val="24"/>
                    <w:szCs w:val="24"/>
                  </w:rPr>
                  <m:t>'</m:t>
                </m:r>
              </m:sup>
            </m:sSup>
            <m:r>
              <m:rPr>
                <m:sty m:val="p"/>
              </m:rPr>
              <w:rPr>
                <w:rFonts w:ascii="Cambria Math" w:eastAsiaTheme="minorEastAsia" w:hAnsi="Cambria Math" w:cs="Arial"/>
                <w:color w:val="000000" w:themeColor="text1"/>
                <w:sz w:val="24"/>
                <w:szCs w:val="24"/>
              </w:rPr>
              <m:t xml:space="preserve"> Equity -  Total Current Liabilities</m:t>
            </m:r>
          </m:den>
        </m:f>
      </m:oMath>
    </w:p>
    <w:p w14:paraId="6F388A51" w14:textId="77777777" w:rsidR="00923F6C" w:rsidRPr="006A3E70"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ROE (Return on Equity)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Net Income </m:t>
            </m:r>
          </m:num>
          <m:den>
            <m:r>
              <m:rPr>
                <m:sty m:val="p"/>
              </m:rPr>
              <w:rPr>
                <w:rFonts w:ascii="Cambria Math" w:eastAsiaTheme="minorEastAsia" w:hAnsi="Cambria Math" w:cs="Arial"/>
                <w:color w:val="000000" w:themeColor="text1"/>
                <w:sz w:val="24"/>
                <w:szCs w:val="24"/>
              </w:rPr>
              <m:t>Total Equity</m:t>
            </m:r>
          </m:den>
        </m:f>
      </m:oMath>
    </w:p>
    <w:p w14:paraId="671F2E19" w14:textId="77777777" w:rsidR="00923F6C" w:rsidRPr="006A3E70"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ROA (Return on Assets)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Net Income </m:t>
            </m:r>
          </m:num>
          <m:den>
            <m:r>
              <m:rPr>
                <m:sty m:val="p"/>
              </m:rPr>
              <w:rPr>
                <w:rFonts w:ascii="Cambria Math" w:eastAsiaTheme="minorEastAsia" w:hAnsi="Cambria Math" w:cs="Arial"/>
                <w:color w:val="000000" w:themeColor="text1"/>
                <w:sz w:val="24"/>
                <w:szCs w:val="24"/>
              </w:rPr>
              <m:t>Total Assets</m:t>
            </m:r>
          </m:den>
        </m:f>
      </m:oMath>
    </w:p>
    <w:p w14:paraId="32386BD8" w14:textId="77777777" w:rsidR="00923F6C" w:rsidRPr="006A3E70" w:rsidRDefault="00923F6C" w:rsidP="00923F6C">
      <w:pPr>
        <w:pStyle w:val="ListParagraph"/>
        <w:numPr>
          <w:ilvl w:val="0"/>
          <w:numId w:val="24"/>
        </w:numPr>
        <w:spacing w:after="0" w:line="360" w:lineRule="auto"/>
        <w:jc w:val="both"/>
        <w:rPr>
          <w:rFonts w:ascii="Calibri" w:hAnsi="Calibri" w:cs="Calibri"/>
          <w:sz w:val="24"/>
          <w:szCs w:val="24"/>
        </w:rPr>
      </w:pPr>
      <w:r>
        <w:rPr>
          <w:rFonts w:ascii="Calibri" w:hAnsi="Calibri" w:cs="Calibri"/>
          <w:sz w:val="24"/>
          <w:szCs w:val="24"/>
        </w:rPr>
        <w:t xml:space="preserve">Earning Quality (CFO/Net Income)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Total Cash From Operations </m:t>
            </m:r>
          </m:num>
          <m:den>
            <m:r>
              <m:rPr>
                <m:sty m:val="p"/>
              </m:rPr>
              <w:rPr>
                <w:rFonts w:ascii="Cambria Math" w:eastAsiaTheme="minorEastAsia" w:hAnsi="Cambria Math" w:cs="Arial"/>
                <w:color w:val="000000" w:themeColor="text1"/>
                <w:sz w:val="24"/>
                <w:szCs w:val="24"/>
              </w:rPr>
              <m:t>Net Income</m:t>
            </m:r>
          </m:den>
        </m:f>
      </m:oMath>
    </w:p>
    <w:p w14:paraId="398E137D" w14:textId="77777777" w:rsidR="00923F6C" w:rsidRDefault="00923F6C" w:rsidP="00923F6C">
      <w:pPr>
        <w:pStyle w:val="ListParagraph"/>
        <w:numPr>
          <w:ilvl w:val="0"/>
          <w:numId w:val="23"/>
        </w:numPr>
        <w:spacing w:after="0" w:line="360" w:lineRule="auto"/>
        <w:jc w:val="both"/>
        <w:rPr>
          <w:rFonts w:ascii="Calibri" w:hAnsi="Calibri" w:cs="Calibri"/>
          <w:sz w:val="24"/>
          <w:szCs w:val="24"/>
        </w:rPr>
      </w:pPr>
      <w:r>
        <w:rPr>
          <w:rFonts w:ascii="Calibri" w:hAnsi="Calibri" w:cs="Calibri"/>
          <w:sz w:val="24"/>
          <w:szCs w:val="24"/>
        </w:rPr>
        <w:t>Gearing Ratios</w:t>
      </w:r>
    </w:p>
    <w:p w14:paraId="1A8E69F8" w14:textId="77777777" w:rsidR="00923F6C" w:rsidRPr="00E202CF" w:rsidRDefault="00923F6C" w:rsidP="00923F6C">
      <w:pPr>
        <w:pStyle w:val="ListParagraph"/>
        <w:numPr>
          <w:ilvl w:val="0"/>
          <w:numId w:val="25"/>
        </w:numPr>
        <w:spacing w:after="0" w:line="360" w:lineRule="auto"/>
        <w:jc w:val="both"/>
        <w:rPr>
          <w:rFonts w:ascii="Calibri" w:hAnsi="Calibri" w:cs="Calibri"/>
          <w:sz w:val="24"/>
          <w:szCs w:val="24"/>
        </w:rPr>
      </w:pPr>
      <w:r>
        <w:rPr>
          <w:rFonts w:ascii="Calibri" w:hAnsi="Calibri" w:cs="Calibri"/>
          <w:sz w:val="24"/>
          <w:szCs w:val="24"/>
        </w:rPr>
        <w:t xml:space="preserve">Interest Cover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Operating Income </m:t>
            </m:r>
          </m:num>
          <m:den>
            <m:r>
              <m:rPr>
                <m:sty m:val="p"/>
              </m:rPr>
              <w:rPr>
                <w:rFonts w:ascii="Cambria Math" w:eastAsiaTheme="minorEastAsia" w:hAnsi="Cambria Math" w:cs="Arial"/>
                <w:color w:val="000000" w:themeColor="text1"/>
                <w:sz w:val="24"/>
                <w:szCs w:val="24"/>
              </w:rPr>
              <m:t>Interest Expense,   Supplemental</m:t>
            </m:r>
          </m:den>
        </m:f>
      </m:oMath>
    </w:p>
    <w:p w14:paraId="6484147A" w14:textId="77777777" w:rsidR="00923F6C" w:rsidRPr="00E202CF" w:rsidRDefault="00923F6C" w:rsidP="00923F6C">
      <w:pPr>
        <w:pStyle w:val="ListParagraph"/>
        <w:numPr>
          <w:ilvl w:val="0"/>
          <w:numId w:val="25"/>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 xml:space="preserve">D/E Ratio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Total Debt </m:t>
            </m:r>
          </m:num>
          <m:den>
            <m:r>
              <m:rPr>
                <m:sty m:val="p"/>
              </m:rPr>
              <w:rPr>
                <w:rFonts w:ascii="Cambria Math" w:eastAsiaTheme="minorEastAsia" w:hAnsi="Cambria Math" w:cs="Arial"/>
                <w:color w:val="000000" w:themeColor="text1"/>
                <w:sz w:val="24"/>
                <w:szCs w:val="24"/>
              </w:rPr>
              <m:t>Total Equity</m:t>
            </m:r>
          </m:den>
        </m:f>
      </m:oMath>
    </w:p>
    <w:p w14:paraId="3A126DCD" w14:textId="77777777" w:rsidR="00923F6C" w:rsidRPr="00E202CF" w:rsidRDefault="00923F6C" w:rsidP="00923F6C">
      <w:pPr>
        <w:pStyle w:val="ListParagraph"/>
        <w:numPr>
          <w:ilvl w:val="0"/>
          <w:numId w:val="25"/>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 xml:space="preserve">Cashflow Ratio (CFO/Total Debt)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Total Cash From Operations </m:t>
            </m:r>
          </m:num>
          <m:den>
            <m:r>
              <m:rPr>
                <m:sty m:val="p"/>
              </m:rPr>
              <w:rPr>
                <w:rFonts w:ascii="Cambria Math" w:eastAsiaTheme="minorEastAsia" w:hAnsi="Cambria Math" w:cs="Arial"/>
                <w:color w:val="000000" w:themeColor="text1"/>
                <w:sz w:val="24"/>
                <w:szCs w:val="24"/>
              </w:rPr>
              <m:t>Total Liabilities</m:t>
            </m:r>
          </m:den>
        </m:f>
      </m:oMath>
    </w:p>
    <w:p w14:paraId="700B375F" w14:textId="77777777" w:rsidR="00923F6C" w:rsidRPr="006A3E70" w:rsidRDefault="00923F6C" w:rsidP="00923F6C">
      <w:pPr>
        <w:pStyle w:val="ListParagraph"/>
        <w:numPr>
          <w:ilvl w:val="0"/>
          <w:numId w:val="25"/>
        </w:numPr>
        <w:spacing w:after="0" w:line="360" w:lineRule="auto"/>
        <w:jc w:val="both"/>
        <w:rPr>
          <w:rFonts w:ascii="Calibri" w:hAnsi="Calibri" w:cs="Calibri"/>
          <w:sz w:val="24"/>
          <w:szCs w:val="24"/>
        </w:rPr>
      </w:pPr>
      <w:r>
        <w:rPr>
          <w:rFonts w:ascii="Calibri" w:hAnsi="Calibri" w:cs="Calibri"/>
          <w:sz w:val="24"/>
          <w:szCs w:val="24"/>
        </w:rPr>
        <w:t xml:space="preserve">Cash Interest Coverage (CFO/Interest Paid)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Total Cash From Operations </m:t>
            </m:r>
          </m:num>
          <m:den>
            <m:r>
              <m:rPr>
                <m:sty m:val="p"/>
              </m:rPr>
              <w:rPr>
                <w:rFonts w:ascii="Cambria Math" w:eastAsiaTheme="minorEastAsia" w:hAnsi="Cambria Math" w:cs="Arial"/>
                <w:color w:val="000000" w:themeColor="text1"/>
                <w:sz w:val="24"/>
                <w:szCs w:val="24"/>
              </w:rPr>
              <m:t>Cash Interest Paid,  Supplemental</m:t>
            </m:r>
          </m:den>
        </m:f>
      </m:oMath>
    </w:p>
    <w:p w14:paraId="795838E9" w14:textId="77777777" w:rsidR="00923F6C" w:rsidRDefault="00923F6C" w:rsidP="00923F6C">
      <w:pPr>
        <w:pStyle w:val="ListParagraph"/>
        <w:numPr>
          <w:ilvl w:val="0"/>
          <w:numId w:val="23"/>
        </w:numPr>
        <w:spacing w:after="0" w:line="360" w:lineRule="auto"/>
        <w:jc w:val="both"/>
        <w:rPr>
          <w:rFonts w:ascii="Calibri" w:hAnsi="Calibri" w:cs="Calibri"/>
          <w:sz w:val="24"/>
          <w:szCs w:val="24"/>
        </w:rPr>
      </w:pPr>
      <w:r>
        <w:rPr>
          <w:rFonts w:ascii="Calibri" w:hAnsi="Calibri" w:cs="Calibri"/>
          <w:sz w:val="24"/>
          <w:szCs w:val="24"/>
        </w:rPr>
        <w:t xml:space="preserve">Efficiency Ratios </w:t>
      </w:r>
    </w:p>
    <w:p w14:paraId="488C3728" w14:textId="77777777" w:rsidR="00923F6C" w:rsidRPr="00E13EAA" w:rsidRDefault="00923F6C" w:rsidP="00923F6C">
      <w:pPr>
        <w:pStyle w:val="ListParagraph"/>
        <w:numPr>
          <w:ilvl w:val="0"/>
          <w:numId w:val="26"/>
        </w:numPr>
        <w:spacing w:after="0" w:line="360" w:lineRule="auto"/>
        <w:jc w:val="both"/>
        <w:rPr>
          <w:rFonts w:ascii="Calibri" w:hAnsi="Calibri" w:cs="Calibri"/>
          <w:sz w:val="24"/>
          <w:szCs w:val="24"/>
        </w:rPr>
      </w:pPr>
      <w:r>
        <w:rPr>
          <w:rFonts w:ascii="Calibri" w:hAnsi="Calibri" w:cs="Calibri"/>
          <w:sz w:val="24"/>
          <w:szCs w:val="24"/>
        </w:rPr>
        <w:t xml:space="preserve">Sales to Capital Employed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Total Revenue</m:t>
            </m:r>
          </m:num>
          <m:den>
            <m:r>
              <m:rPr>
                <m:sty m:val="p"/>
              </m:rPr>
              <w:rPr>
                <w:rFonts w:ascii="Cambria Math" w:eastAsiaTheme="minorEastAsia" w:hAnsi="Cambria Math" w:cs="Arial"/>
                <w:color w:val="000000" w:themeColor="text1"/>
                <w:sz w:val="24"/>
                <w:szCs w:val="24"/>
              </w:rPr>
              <m:t>Total Liabilities &amp; SHareholser</m:t>
            </m:r>
            <m:sSup>
              <m:sSupPr>
                <m:ctrlPr>
                  <w:rPr>
                    <w:rFonts w:ascii="Cambria Math" w:eastAsiaTheme="minorEastAsia" w:hAnsi="Cambria Math" w:cs="Arial"/>
                    <w:iCs/>
                    <w:color w:val="000000" w:themeColor="text1"/>
                    <w:sz w:val="24"/>
                    <w:szCs w:val="24"/>
                  </w:rPr>
                </m:ctrlPr>
              </m:sSupPr>
              <m:e>
                <m:r>
                  <m:rPr>
                    <m:sty m:val="p"/>
                  </m:rPr>
                  <w:rPr>
                    <w:rFonts w:ascii="Cambria Math" w:eastAsiaTheme="minorEastAsia" w:hAnsi="Cambria Math" w:cs="Arial"/>
                    <w:color w:val="000000" w:themeColor="text1"/>
                    <w:sz w:val="24"/>
                    <w:szCs w:val="24"/>
                  </w:rPr>
                  <m:t>s</m:t>
                </m:r>
              </m:e>
              <m:sup>
                <m:r>
                  <m:rPr>
                    <m:sty m:val="p"/>
                  </m:rPr>
                  <w:rPr>
                    <w:rFonts w:ascii="Cambria Math" w:eastAsiaTheme="minorEastAsia" w:hAnsi="Cambria Math" w:cs="Arial"/>
                    <w:color w:val="000000" w:themeColor="text1"/>
                    <w:sz w:val="24"/>
                    <w:szCs w:val="24"/>
                  </w:rPr>
                  <m:t>'</m:t>
                </m:r>
              </m:sup>
            </m:sSup>
            <m:r>
              <m:rPr>
                <m:sty m:val="p"/>
              </m:rPr>
              <w:rPr>
                <w:rFonts w:ascii="Cambria Math" w:eastAsiaTheme="minorEastAsia" w:hAnsi="Cambria Math" w:cs="Arial"/>
                <w:color w:val="000000" w:themeColor="text1"/>
                <w:sz w:val="24"/>
                <w:szCs w:val="24"/>
              </w:rPr>
              <m:t>Equity - Total Current Liabilities</m:t>
            </m:r>
          </m:den>
        </m:f>
      </m:oMath>
    </w:p>
    <w:p w14:paraId="462CE4C1" w14:textId="77777777" w:rsidR="00923F6C" w:rsidRPr="00D25E53" w:rsidRDefault="00923F6C" w:rsidP="00923F6C">
      <w:pPr>
        <w:pStyle w:val="ListParagraph"/>
        <w:numPr>
          <w:ilvl w:val="0"/>
          <w:numId w:val="26"/>
        </w:numPr>
        <w:spacing w:after="0" w:line="360" w:lineRule="auto"/>
        <w:jc w:val="both"/>
        <w:rPr>
          <w:rFonts w:ascii="Calibri" w:hAnsi="Calibri" w:cs="Calibri"/>
          <w:iCs/>
          <w:sz w:val="24"/>
          <w:szCs w:val="24"/>
        </w:rPr>
      </w:pPr>
      <w:r>
        <w:rPr>
          <w:rFonts w:ascii="Calibri" w:eastAsiaTheme="minorEastAsia" w:hAnsi="Calibri" w:cs="Calibri"/>
          <w:color w:val="000000" w:themeColor="text1"/>
          <w:sz w:val="24"/>
          <w:szCs w:val="24"/>
        </w:rPr>
        <w:t xml:space="preserve">Debtor Days (DSO Days Sales Outstanding)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Total Receivables,   Net </m:t>
            </m:r>
          </m:num>
          <m:den>
            <m:r>
              <m:rPr>
                <m:sty m:val="p"/>
              </m:rPr>
              <w:rPr>
                <w:rFonts w:ascii="Cambria Math" w:eastAsiaTheme="minorEastAsia" w:hAnsi="Cambria Math" w:cs="Arial"/>
                <w:color w:val="000000" w:themeColor="text1"/>
                <w:sz w:val="24"/>
                <w:szCs w:val="24"/>
              </w:rPr>
              <m:t>Total Revenue</m:t>
            </m:r>
          </m:den>
        </m:f>
        <m:r>
          <m:rPr>
            <m:sty m:val="p"/>
          </m:rPr>
          <w:rPr>
            <w:rFonts w:ascii="Cambria Math" w:eastAsiaTheme="minorEastAsia" w:hAnsi="Cambria Math" w:cs="Arial"/>
            <w:color w:val="000000" w:themeColor="text1"/>
            <w:sz w:val="24"/>
            <w:szCs w:val="24"/>
          </w:rPr>
          <m:t xml:space="preserve"> x 365</m:t>
        </m:r>
      </m:oMath>
    </w:p>
    <w:p w14:paraId="4350972E" w14:textId="77777777" w:rsidR="00923F6C" w:rsidRPr="00E13EAA" w:rsidRDefault="00923F6C" w:rsidP="00923F6C">
      <w:pPr>
        <w:pStyle w:val="ListParagraph"/>
        <w:numPr>
          <w:ilvl w:val="0"/>
          <w:numId w:val="26"/>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 xml:space="preserve">Inventory Days (DIO Days Inventory Outstanding)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Total Inventory</m:t>
            </m:r>
          </m:num>
          <m:den>
            <m:r>
              <m:rPr>
                <m:sty m:val="p"/>
              </m:rPr>
              <w:rPr>
                <w:rFonts w:ascii="Cambria Math" w:eastAsiaTheme="minorEastAsia" w:hAnsi="Cambria Math" w:cs="Arial"/>
                <w:color w:val="000000" w:themeColor="text1"/>
                <w:sz w:val="24"/>
                <w:szCs w:val="24"/>
              </w:rPr>
              <m:t>Cost of Revenue Total</m:t>
            </m:r>
          </m:den>
        </m:f>
        <m:r>
          <m:rPr>
            <m:sty m:val="p"/>
          </m:rPr>
          <w:rPr>
            <w:rFonts w:ascii="Cambria Math" w:eastAsiaTheme="minorEastAsia" w:hAnsi="Cambria Math" w:cs="Arial"/>
            <w:color w:val="000000" w:themeColor="text1"/>
            <w:sz w:val="24"/>
            <w:szCs w:val="24"/>
          </w:rPr>
          <m:t xml:space="preserve"> x 365</m:t>
        </m:r>
      </m:oMath>
    </w:p>
    <w:p w14:paraId="05C49C1A" w14:textId="77777777" w:rsidR="00923F6C" w:rsidRPr="0046763E" w:rsidRDefault="00923F6C" w:rsidP="00923F6C">
      <w:pPr>
        <w:pStyle w:val="ListParagraph"/>
        <w:numPr>
          <w:ilvl w:val="0"/>
          <w:numId w:val="26"/>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 xml:space="preserve">Creditor Days (DPO Days Payables Outstanding) = </w:t>
      </w:r>
      <m:oMath>
        <m:f>
          <m:fPr>
            <m:ctrlPr>
              <w:rPr>
                <w:rFonts w:ascii="Cambria Math" w:eastAsiaTheme="minorEastAsia" w:hAnsi="Cambria Math" w:cs="Arial"/>
                <w:iCs/>
                <w:color w:val="000000" w:themeColor="text1"/>
                <w:sz w:val="24"/>
                <w:szCs w:val="24"/>
              </w:rPr>
            </m:ctrlPr>
          </m:fPr>
          <m:num>
            <m:r>
              <m:rPr>
                <m:sty m:val="p"/>
              </m:rPr>
              <w:rPr>
                <w:rFonts w:ascii="Cambria Math" w:eastAsiaTheme="minorEastAsia" w:hAnsi="Cambria Math" w:cs="Arial"/>
                <w:color w:val="000000" w:themeColor="text1"/>
                <w:sz w:val="24"/>
                <w:szCs w:val="24"/>
              </w:rPr>
              <m:t xml:space="preserve">Accounts Payable </m:t>
            </m:r>
          </m:num>
          <m:den>
            <m:r>
              <m:rPr>
                <m:sty m:val="p"/>
              </m:rPr>
              <w:rPr>
                <w:rFonts w:ascii="Cambria Math" w:eastAsiaTheme="minorEastAsia" w:hAnsi="Cambria Math" w:cs="Arial"/>
                <w:color w:val="000000" w:themeColor="text1"/>
                <w:sz w:val="24"/>
                <w:szCs w:val="24"/>
              </w:rPr>
              <m:t>Cost of Revenue Total</m:t>
            </m:r>
          </m:den>
        </m:f>
        <m:r>
          <m:rPr>
            <m:sty m:val="p"/>
          </m:rPr>
          <w:rPr>
            <w:rFonts w:ascii="Cambria Math" w:eastAsiaTheme="minorEastAsia" w:hAnsi="Cambria Math" w:cs="Arial"/>
            <w:color w:val="000000" w:themeColor="text1"/>
            <w:sz w:val="24"/>
            <w:szCs w:val="24"/>
          </w:rPr>
          <m:t xml:space="preserve"> x 365</m:t>
        </m:r>
      </m:oMath>
    </w:p>
    <w:p w14:paraId="62A5437F" w14:textId="77777777" w:rsidR="00923F6C" w:rsidRPr="005C7752" w:rsidRDefault="00923F6C" w:rsidP="00923F6C">
      <w:pPr>
        <w:pStyle w:val="ListParagraph"/>
        <w:numPr>
          <w:ilvl w:val="0"/>
          <w:numId w:val="26"/>
        </w:numPr>
        <w:spacing w:after="0" w:line="360" w:lineRule="auto"/>
        <w:jc w:val="both"/>
        <w:rPr>
          <w:rFonts w:ascii="Calibri" w:hAnsi="Calibri" w:cs="Calibri"/>
          <w:sz w:val="24"/>
          <w:szCs w:val="24"/>
        </w:rPr>
      </w:pPr>
      <w:r>
        <w:rPr>
          <w:rFonts w:ascii="Calibri" w:eastAsiaTheme="minorEastAsia" w:hAnsi="Calibri" w:cs="Calibri"/>
          <w:color w:val="000000" w:themeColor="text1"/>
          <w:sz w:val="24"/>
          <w:szCs w:val="24"/>
        </w:rPr>
        <w:t>Cash Conversion Cycle = Inventory Days + Debtor Days – Creditor Days</w:t>
      </w:r>
    </w:p>
    <w:p w14:paraId="791B45DC" w14:textId="77777777" w:rsidR="00923F6C" w:rsidRDefault="00923F6C" w:rsidP="00923F6C">
      <w:pPr>
        <w:spacing w:after="0" w:line="360" w:lineRule="auto"/>
        <w:jc w:val="both"/>
        <w:rPr>
          <w:rFonts w:ascii="Calibri" w:hAnsi="Calibri" w:cs="Calibri"/>
          <w:color w:val="000000" w:themeColor="text1"/>
        </w:rPr>
      </w:pPr>
    </w:p>
    <w:p w14:paraId="7ADBFB7B" w14:textId="144F1364" w:rsidR="00A606F4" w:rsidRDefault="007F43D9" w:rsidP="0080204B">
      <w:pPr>
        <w:pStyle w:val="Heading2"/>
        <w:rPr>
          <w:rFonts w:ascii="Calibri" w:hAnsi="Calibri" w:cs="Calibri"/>
          <w:b/>
          <w:bCs/>
          <w:color w:val="auto"/>
          <w:sz w:val="28"/>
          <w:szCs w:val="28"/>
        </w:rPr>
      </w:pPr>
      <w:bookmarkStart w:id="59" w:name="_Toc165495790"/>
      <w:bookmarkStart w:id="60" w:name="_Toc165496515"/>
      <w:r>
        <w:rPr>
          <w:rFonts w:ascii="Calibri" w:hAnsi="Calibri" w:cs="Calibri"/>
          <w:b/>
          <w:bCs/>
          <w:color w:val="auto"/>
          <w:sz w:val="28"/>
          <w:szCs w:val="28"/>
        </w:rPr>
        <w:lastRenderedPageBreak/>
        <w:t xml:space="preserve">5.2 </w:t>
      </w:r>
      <w:r w:rsidR="00A606F4" w:rsidRPr="0080204B">
        <w:rPr>
          <w:rFonts w:ascii="Calibri" w:hAnsi="Calibri" w:cs="Calibri"/>
          <w:b/>
          <w:bCs/>
          <w:color w:val="auto"/>
          <w:sz w:val="28"/>
          <w:szCs w:val="28"/>
        </w:rPr>
        <w:t>Additional Ratio</w:t>
      </w:r>
      <w:bookmarkEnd w:id="59"/>
      <w:bookmarkEnd w:id="60"/>
    </w:p>
    <w:p w14:paraId="314A1EFD" w14:textId="77777777" w:rsidR="0080204B" w:rsidRDefault="0080204B" w:rsidP="0080204B"/>
    <w:tbl>
      <w:tblPr>
        <w:tblStyle w:val="GridTable1Light-Accent6"/>
        <w:tblW w:w="5000" w:type="pct"/>
        <w:tblLook w:val="04A0" w:firstRow="1" w:lastRow="0" w:firstColumn="1" w:lastColumn="0" w:noHBand="0" w:noVBand="1"/>
      </w:tblPr>
      <w:tblGrid>
        <w:gridCol w:w="1672"/>
        <w:gridCol w:w="1052"/>
        <w:gridCol w:w="3176"/>
        <w:gridCol w:w="1136"/>
        <w:gridCol w:w="1158"/>
        <w:gridCol w:w="1156"/>
      </w:tblGrid>
      <w:tr w:rsidR="0080204B" w:rsidRPr="0080204B" w14:paraId="68B327B0" w14:textId="77777777" w:rsidTr="00DE31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79F9FF"/>
            <w:noWrap/>
          </w:tcPr>
          <w:p w14:paraId="65655468" w14:textId="77777777" w:rsidR="0080204B" w:rsidRDefault="0080204B" w:rsidP="00DE31EE">
            <w:pPr>
              <w:spacing w:line="360" w:lineRule="auto"/>
              <w:jc w:val="center"/>
              <w:rPr>
                <w:rFonts w:ascii="Arial" w:eastAsia="Times New Roman" w:hAnsi="Arial" w:cs="Arial"/>
                <w:b w:val="0"/>
                <w:bCs w:val="0"/>
                <w:sz w:val="20"/>
                <w:szCs w:val="20"/>
              </w:rPr>
            </w:pPr>
            <w:r w:rsidRPr="00DE31EE">
              <w:rPr>
                <w:rFonts w:ascii="Arial" w:eastAsia="Times New Roman" w:hAnsi="Arial" w:cs="Arial"/>
                <w:sz w:val="20"/>
                <w:szCs w:val="20"/>
              </w:rPr>
              <w:t>BARRATT DEVELOPMENT PLC</w:t>
            </w:r>
          </w:p>
          <w:p w14:paraId="7EF3C400" w14:textId="6A9D8A4B" w:rsidR="00DE31EE" w:rsidRPr="00DE31EE" w:rsidRDefault="00DE31EE" w:rsidP="00DE31EE">
            <w:pPr>
              <w:spacing w:line="360" w:lineRule="auto"/>
              <w:jc w:val="center"/>
              <w:rPr>
                <w:rFonts w:ascii="Arial" w:eastAsia="Times New Roman" w:hAnsi="Arial" w:cs="Arial"/>
                <w:sz w:val="20"/>
                <w:szCs w:val="20"/>
              </w:rPr>
            </w:pPr>
            <w:r w:rsidRPr="00DE31EE">
              <w:rPr>
                <w:rFonts w:ascii="Arial" w:eastAsia="Times New Roman" w:hAnsi="Arial" w:cs="Arial"/>
                <w:color w:val="FF0000"/>
                <w:sz w:val="20"/>
                <w:szCs w:val="20"/>
              </w:rPr>
              <w:t>ALTMAN Z - SCORE</w:t>
            </w:r>
          </w:p>
        </w:tc>
      </w:tr>
      <w:tr w:rsidR="0080204B" w:rsidRPr="0080204B" w14:paraId="1CE526AB"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06F43ABD" w14:textId="25025BB9" w:rsidR="0080204B" w:rsidRPr="0080204B" w:rsidRDefault="0080204B" w:rsidP="0080204B">
            <w:pPr>
              <w:rPr>
                <w:rFonts w:ascii="Arial" w:eastAsia="Times New Roman" w:hAnsi="Arial" w:cs="Arial"/>
                <w:sz w:val="20"/>
                <w:szCs w:val="20"/>
              </w:rPr>
            </w:pPr>
          </w:p>
        </w:tc>
        <w:tc>
          <w:tcPr>
            <w:tcW w:w="573" w:type="pct"/>
            <w:noWrap/>
            <w:hideMark/>
          </w:tcPr>
          <w:p w14:paraId="627E27F2" w14:textId="3FF280F6"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Pr>
                <w:rFonts w:ascii="Arial" w:eastAsia="Times New Roman" w:hAnsi="Arial" w:cs="Arial"/>
                <w:b/>
                <w:bCs/>
                <w:sz w:val="20"/>
                <w:szCs w:val="20"/>
              </w:rPr>
              <w:t>2023</w:t>
            </w:r>
          </w:p>
        </w:tc>
        <w:tc>
          <w:tcPr>
            <w:tcW w:w="1709" w:type="pct"/>
            <w:noWrap/>
            <w:hideMark/>
          </w:tcPr>
          <w:p w14:paraId="1CCF4D1A" w14:textId="4E6FBD79"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Pr>
                <w:rFonts w:ascii="Arial" w:eastAsia="Times New Roman" w:hAnsi="Arial" w:cs="Arial"/>
                <w:b/>
                <w:bCs/>
                <w:sz w:val="20"/>
                <w:szCs w:val="20"/>
              </w:rPr>
              <w:t>2022</w:t>
            </w:r>
          </w:p>
        </w:tc>
        <w:tc>
          <w:tcPr>
            <w:tcW w:w="618" w:type="pct"/>
            <w:noWrap/>
            <w:hideMark/>
          </w:tcPr>
          <w:p w14:paraId="57CD9E48" w14:textId="09FBF7FC"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Pr>
                <w:rFonts w:ascii="Arial" w:eastAsia="Times New Roman" w:hAnsi="Arial" w:cs="Arial"/>
                <w:b/>
                <w:bCs/>
                <w:sz w:val="20"/>
                <w:szCs w:val="20"/>
              </w:rPr>
              <w:t>2021</w:t>
            </w:r>
          </w:p>
        </w:tc>
        <w:tc>
          <w:tcPr>
            <w:tcW w:w="630" w:type="pct"/>
            <w:noWrap/>
            <w:hideMark/>
          </w:tcPr>
          <w:p w14:paraId="063E2712" w14:textId="53683F52"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Pr>
                <w:rFonts w:ascii="Arial" w:eastAsia="Times New Roman" w:hAnsi="Arial" w:cs="Arial"/>
                <w:b/>
                <w:bCs/>
                <w:sz w:val="20"/>
                <w:szCs w:val="20"/>
              </w:rPr>
              <w:t>2020</w:t>
            </w:r>
          </w:p>
        </w:tc>
        <w:tc>
          <w:tcPr>
            <w:tcW w:w="629" w:type="pct"/>
            <w:noWrap/>
            <w:hideMark/>
          </w:tcPr>
          <w:p w14:paraId="196D9B22" w14:textId="2412325D"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Pr>
                <w:rFonts w:ascii="Arial" w:eastAsia="Times New Roman" w:hAnsi="Arial" w:cs="Arial"/>
                <w:b/>
                <w:bCs/>
                <w:sz w:val="20"/>
                <w:szCs w:val="20"/>
              </w:rPr>
              <w:t>2019</w:t>
            </w:r>
          </w:p>
        </w:tc>
      </w:tr>
      <w:tr w:rsidR="0080204B" w:rsidRPr="0080204B" w14:paraId="0BF5F08A"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1E093442"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Altman Z-score</w:t>
            </w:r>
          </w:p>
        </w:tc>
        <w:tc>
          <w:tcPr>
            <w:tcW w:w="573" w:type="pct"/>
            <w:noWrap/>
            <w:hideMark/>
          </w:tcPr>
          <w:p w14:paraId="62267C0D"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3.66</w:t>
            </w:r>
          </w:p>
        </w:tc>
        <w:tc>
          <w:tcPr>
            <w:tcW w:w="1709" w:type="pct"/>
            <w:noWrap/>
            <w:hideMark/>
          </w:tcPr>
          <w:p w14:paraId="7971E1C6"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3.65</w:t>
            </w:r>
          </w:p>
        </w:tc>
        <w:tc>
          <w:tcPr>
            <w:tcW w:w="618" w:type="pct"/>
            <w:noWrap/>
            <w:hideMark/>
          </w:tcPr>
          <w:p w14:paraId="20EF6E14"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630" w:type="pct"/>
            <w:noWrap/>
            <w:hideMark/>
          </w:tcPr>
          <w:p w14:paraId="1C5EC691"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29" w:type="pct"/>
            <w:noWrap/>
            <w:hideMark/>
          </w:tcPr>
          <w:p w14:paraId="7AF45F38"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0204B" w:rsidRPr="0080204B" w14:paraId="248C2DC3"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7519A816"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WC / TA</w:t>
            </w:r>
          </w:p>
        </w:tc>
        <w:tc>
          <w:tcPr>
            <w:tcW w:w="573" w:type="pct"/>
            <w:noWrap/>
            <w:hideMark/>
          </w:tcPr>
          <w:p w14:paraId="7452388B"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0.66</w:t>
            </w:r>
          </w:p>
        </w:tc>
        <w:tc>
          <w:tcPr>
            <w:tcW w:w="1709" w:type="pct"/>
            <w:noWrap/>
            <w:hideMark/>
          </w:tcPr>
          <w:p w14:paraId="115023B6"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0.63</w:t>
            </w:r>
          </w:p>
        </w:tc>
        <w:tc>
          <w:tcPr>
            <w:tcW w:w="618" w:type="pct"/>
            <w:noWrap/>
            <w:hideMark/>
          </w:tcPr>
          <w:p w14:paraId="4A76B04B"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0.65</w:t>
            </w:r>
          </w:p>
        </w:tc>
        <w:tc>
          <w:tcPr>
            <w:tcW w:w="630" w:type="pct"/>
            <w:noWrap/>
            <w:hideMark/>
          </w:tcPr>
          <w:p w14:paraId="46560968"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0.62</w:t>
            </w:r>
          </w:p>
        </w:tc>
        <w:tc>
          <w:tcPr>
            <w:tcW w:w="629" w:type="pct"/>
            <w:noWrap/>
            <w:hideMark/>
          </w:tcPr>
          <w:p w14:paraId="6DB3C4A7"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0.59</w:t>
            </w:r>
          </w:p>
        </w:tc>
      </w:tr>
      <w:tr w:rsidR="0080204B" w:rsidRPr="0080204B" w14:paraId="79B0ED5B"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30C44551"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RE / TA</w:t>
            </w:r>
          </w:p>
        </w:tc>
        <w:tc>
          <w:tcPr>
            <w:tcW w:w="573" w:type="pct"/>
            <w:noWrap/>
            <w:hideMark/>
          </w:tcPr>
          <w:p w14:paraId="74A40618"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0.66</w:t>
            </w:r>
          </w:p>
        </w:tc>
        <w:tc>
          <w:tcPr>
            <w:tcW w:w="1709" w:type="pct"/>
            <w:noWrap/>
            <w:hideMark/>
          </w:tcPr>
          <w:p w14:paraId="538AC678"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0.65</w:t>
            </w:r>
          </w:p>
        </w:tc>
        <w:tc>
          <w:tcPr>
            <w:tcW w:w="618" w:type="pct"/>
            <w:noWrap/>
            <w:hideMark/>
          </w:tcPr>
          <w:p w14:paraId="0DECDE43"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0.68</w:t>
            </w:r>
          </w:p>
        </w:tc>
        <w:tc>
          <w:tcPr>
            <w:tcW w:w="630" w:type="pct"/>
            <w:noWrap/>
            <w:hideMark/>
          </w:tcPr>
          <w:p w14:paraId="53175CB2"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0.66</w:t>
            </w:r>
          </w:p>
        </w:tc>
        <w:tc>
          <w:tcPr>
            <w:tcW w:w="629" w:type="pct"/>
            <w:noWrap/>
            <w:hideMark/>
          </w:tcPr>
          <w:p w14:paraId="424C06E2"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0.62</w:t>
            </w:r>
          </w:p>
        </w:tc>
      </w:tr>
      <w:tr w:rsidR="0080204B" w:rsidRPr="0080204B" w14:paraId="50D3E3B6"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138EB36C"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EBIT /TA</w:t>
            </w:r>
          </w:p>
        </w:tc>
        <w:tc>
          <w:tcPr>
            <w:tcW w:w="573" w:type="pct"/>
            <w:noWrap/>
            <w:hideMark/>
          </w:tcPr>
          <w:p w14:paraId="6485F758"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0.09</w:t>
            </w:r>
          </w:p>
        </w:tc>
        <w:tc>
          <w:tcPr>
            <w:tcW w:w="1709" w:type="pct"/>
            <w:noWrap/>
            <w:hideMark/>
          </w:tcPr>
          <w:p w14:paraId="026EE541"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0.08</w:t>
            </w:r>
          </w:p>
        </w:tc>
        <w:tc>
          <w:tcPr>
            <w:tcW w:w="618" w:type="pct"/>
            <w:noWrap/>
            <w:hideMark/>
          </w:tcPr>
          <w:p w14:paraId="735DB2DF"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0.11</w:t>
            </w:r>
          </w:p>
        </w:tc>
        <w:tc>
          <w:tcPr>
            <w:tcW w:w="630" w:type="pct"/>
            <w:noWrap/>
            <w:hideMark/>
          </w:tcPr>
          <w:p w14:paraId="6CA4010F"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0.07</w:t>
            </w:r>
          </w:p>
        </w:tc>
        <w:tc>
          <w:tcPr>
            <w:tcW w:w="629" w:type="pct"/>
            <w:noWrap/>
            <w:hideMark/>
          </w:tcPr>
          <w:p w14:paraId="6AC98A84"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0.12</w:t>
            </w:r>
          </w:p>
        </w:tc>
      </w:tr>
      <w:tr w:rsidR="0080204B" w:rsidRPr="0080204B" w14:paraId="20656375"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6BD39D66"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MVE/TL</w:t>
            </w:r>
          </w:p>
        </w:tc>
        <w:tc>
          <w:tcPr>
            <w:tcW w:w="573" w:type="pct"/>
            <w:noWrap/>
            <w:hideMark/>
          </w:tcPr>
          <w:p w14:paraId="304A3B8E"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1.67</w:t>
            </w:r>
          </w:p>
        </w:tc>
        <w:tc>
          <w:tcPr>
            <w:tcW w:w="1709" w:type="pct"/>
            <w:noWrap/>
            <w:hideMark/>
          </w:tcPr>
          <w:p w14:paraId="2ADB86D6"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1.81</w:t>
            </w:r>
          </w:p>
        </w:tc>
        <w:tc>
          <w:tcPr>
            <w:tcW w:w="618" w:type="pct"/>
            <w:noWrap/>
            <w:hideMark/>
          </w:tcPr>
          <w:p w14:paraId="42D087D3"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0.00</w:t>
            </w:r>
          </w:p>
        </w:tc>
        <w:tc>
          <w:tcPr>
            <w:tcW w:w="630" w:type="pct"/>
            <w:noWrap/>
            <w:hideMark/>
          </w:tcPr>
          <w:p w14:paraId="54F77973"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0.00</w:t>
            </w:r>
          </w:p>
        </w:tc>
        <w:tc>
          <w:tcPr>
            <w:tcW w:w="629" w:type="pct"/>
            <w:noWrap/>
            <w:hideMark/>
          </w:tcPr>
          <w:p w14:paraId="34FB1BC7"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0.00</w:t>
            </w:r>
          </w:p>
        </w:tc>
      </w:tr>
      <w:tr w:rsidR="0080204B" w:rsidRPr="0080204B" w14:paraId="358A28DD" w14:textId="77777777" w:rsidTr="0080204B">
        <w:trPr>
          <w:trHeight w:val="255"/>
        </w:trPr>
        <w:tc>
          <w:tcPr>
            <w:cnfStyle w:val="001000000000" w:firstRow="0" w:lastRow="0" w:firstColumn="1" w:lastColumn="0" w:oddVBand="0" w:evenVBand="0" w:oddHBand="0" w:evenHBand="0" w:firstRowFirstColumn="0" w:firstRowLastColumn="0" w:lastRowFirstColumn="0" w:lastRowLastColumn="0"/>
            <w:tcW w:w="841" w:type="pct"/>
            <w:noWrap/>
            <w:hideMark/>
          </w:tcPr>
          <w:p w14:paraId="6CA541E3" w14:textId="77777777" w:rsidR="0080204B" w:rsidRPr="0080204B" w:rsidRDefault="0080204B" w:rsidP="0080204B">
            <w:pPr>
              <w:rPr>
                <w:rFonts w:ascii="Arial" w:eastAsia="Times New Roman" w:hAnsi="Arial" w:cs="Arial"/>
                <w:color w:val="000000"/>
                <w:sz w:val="20"/>
                <w:szCs w:val="20"/>
              </w:rPr>
            </w:pPr>
            <w:r w:rsidRPr="0080204B">
              <w:rPr>
                <w:rFonts w:ascii="Arial" w:eastAsia="Times New Roman" w:hAnsi="Arial" w:cs="Arial"/>
                <w:color w:val="000000"/>
                <w:sz w:val="20"/>
                <w:szCs w:val="20"/>
              </w:rPr>
              <w:t>Sales / TA</w:t>
            </w:r>
          </w:p>
        </w:tc>
        <w:tc>
          <w:tcPr>
            <w:tcW w:w="573" w:type="pct"/>
            <w:noWrap/>
            <w:hideMark/>
          </w:tcPr>
          <w:p w14:paraId="1ADD9F1F"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0.66</w:t>
            </w:r>
          </w:p>
        </w:tc>
        <w:tc>
          <w:tcPr>
            <w:tcW w:w="1709" w:type="pct"/>
            <w:noWrap/>
            <w:hideMark/>
          </w:tcPr>
          <w:p w14:paraId="432E3344"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0.64</w:t>
            </w:r>
          </w:p>
        </w:tc>
        <w:tc>
          <w:tcPr>
            <w:tcW w:w="618" w:type="pct"/>
            <w:noWrap/>
            <w:hideMark/>
          </w:tcPr>
          <w:p w14:paraId="5E718AB9"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0.64</w:t>
            </w:r>
          </w:p>
        </w:tc>
        <w:tc>
          <w:tcPr>
            <w:tcW w:w="630" w:type="pct"/>
            <w:noWrap/>
            <w:hideMark/>
          </w:tcPr>
          <w:p w14:paraId="44E3BEF0"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0.50</w:t>
            </w:r>
          </w:p>
        </w:tc>
        <w:tc>
          <w:tcPr>
            <w:tcW w:w="629" w:type="pct"/>
            <w:noWrap/>
            <w:hideMark/>
          </w:tcPr>
          <w:p w14:paraId="7020CDF5" w14:textId="77777777" w:rsidR="0080204B" w:rsidRPr="0080204B" w:rsidRDefault="0080204B" w:rsidP="0080204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80204B">
              <w:rPr>
                <w:rFonts w:ascii="Arial" w:eastAsia="Times New Roman" w:hAnsi="Arial" w:cs="Arial"/>
                <w:color w:val="000000"/>
                <w:sz w:val="20"/>
                <w:szCs w:val="20"/>
              </w:rPr>
              <w:t>0.65</w:t>
            </w:r>
          </w:p>
        </w:tc>
      </w:tr>
    </w:tbl>
    <w:p w14:paraId="639006AC" w14:textId="77777777" w:rsidR="00A606F4" w:rsidRDefault="00A606F4" w:rsidP="00923F6C">
      <w:pPr>
        <w:spacing w:after="0" w:line="360" w:lineRule="auto"/>
        <w:jc w:val="both"/>
        <w:rPr>
          <w:rFonts w:ascii="Calibri" w:hAnsi="Calibri" w:cs="Calibri"/>
          <w:color w:val="000000" w:themeColor="text1"/>
        </w:rPr>
      </w:pPr>
    </w:p>
    <w:p w14:paraId="30251BDD" w14:textId="50E79314" w:rsidR="00700326" w:rsidRDefault="00E050B7" w:rsidP="00E050B7">
      <w:pPr>
        <w:tabs>
          <w:tab w:val="left" w:pos="3255"/>
        </w:tabs>
        <w:spacing w:after="0" w:line="360" w:lineRule="auto"/>
        <w:jc w:val="both"/>
        <w:rPr>
          <w:rFonts w:ascii="Calibri" w:hAnsi="Calibri" w:cs="Calibri"/>
          <w:color w:val="000000" w:themeColor="text1"/>
        </w:rPr>
      </w:pPr>
      <w:r>
        <w:rPr>
          <w:rFonts w:ascii="Calibri" w:hAnsi="Calibri" w:cs="Calibri"/>
          <w:color w:val="000000" w:themeColor="text1"/>
        </w:rPr>
        <w:tab/>
      </w:r>
    </w:p>
    <w:tbl>
      <w:tblPr>
        <w:tblStyle w:val="GridTable1Light-Accent2"/>
        <w:tblW w:w="5000" w:type="pct"/>
        <w:tblLook w:val="04A0" w:firstRow="1" w:lastRow="0" w:firstColumn="1" w:lastColumn="0" w:noHBand="0" w:noVBand="1"/>
      </w:tblPr>
      <w:tblGrid>
        <w:gridCol w:w="2073"/>
        <w:gridCol w:w="1457"/>
        <w:gridCol w:w="1457"/>
        <w:gridCol w:w="1455"/>
        <w:gridCol w:w="1455"/>
        <w:gridCol w:w="1453"/>
      </w:tblGrid>
      <w:tr w:rsidR="00DE31EE" w:rsidRPr="00DE31EE" w14:paraId="37F274D5" w14:textId="77777777" w:rsidTr="00DE31E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F79FF"/>
            <w:noWrap/>
          </w:tcPr>
          <w:p w14:paraId="646C7DD0" w14:textId="77777777" w:rsidR="00DE31EE" w:rsidRPr="00DE31EE" w:rsidRDefault="00DE31EE" w:rsidP="00DE31EE">
            <w:pPr>
              <w:spacing w:line="360" w:lineRule="auto"/>
              <w:jc w:val="center"/>
              <w:rPr>
                <w:rFonts w:ascii="Arial" w:eastAsia="Times New Roman" w:hAnsi="Arial" w:cs="Arial"/>
                <w:sz w:val="20"/>
                <w:szCs w:val="20"/>
              </w:rPr>
            </w:pPr>
            <w:r w:rsidRPr="00DE31EE">
              <w:rPr>
                <w:rFonts w:ascii="Arial" w:eastAsia="Times New Roman" w:hAnsi="Arial" w:cs="Arial"/>
                <w:sz w:val="20"/>
                <w:szCs w:val="20"/>
              </w:rPr>
              <w:t>BERKELEY GROUP HOLDINGS</w:t>
            </w:r>
          </w:p>
          <w:p w14:paraId="48BDE477" w14:textId="11AD791E" w:rsidR="00DE31EE" w:rsidRPr="00DE31EE" w:rsidRDefault="00DE31EE" w:rsidP="00DE31EE">
            <w:pPr>
              <w:spacing w:line="360" w:lineRule="auto"/>
              <w:jc w:val="center"/>
              <w:rPr>
                <w:rFonts w:ascii="Arial" w:eastAsia="Times New Roman" w:hAnsi="Arial" w:cs="Arial"/>
                <w:b w:val="0"/>
                <w:bCs w:val="0"/>
                <w:sz w:val="20"/>
                <w:szCs w:val="20"/>
              </w:rPr>
            </w:pPr>
            <w:r w:rsidRPr="00DE31EE">
              <w:rPr>
                <w:rFonts w:ascii="Arial" w:eastAsia="Times New Roman" w:hAnsi="Arial" w:cs="Arial"/>
                <w:color w:val="FF0000"/>
                <w:sz w:val="20"/>
                <w:szCs w:val="20"/>
              </w:rPr>
              <w:t>ALTMAN Z - SCORE</w:t>
            </w:r>
          </w:p>
        </w:tc>
      </w:tr>
      <w:tr w:rsidR="00DE31EE" w:rsidRPr="00DE31EE" w14:paraId="23B23A10"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673D6444" w14:textId="16702BDB" w:rsidR="00DE31EE" w:rsidRPr="00DE31EE" w:rsidRDefault="00DE31EE" w:rsidP="00DE31EE">
            <w:pPr>
              <w:rPr>
                <w:rFonts w:ascii="Arial" w:eastAsia="Times New Roman" w:hAnsi="Arial" w:cs="Arial"/>
                <w:sz w:val="20"/>
                <w:szCs w:val="20"/>
              </w:rPr>
            </w:pPr>
          </w:p>
        </w:tc>
        <w:tc>
          <w:tcPr>
            <w:tcW w:w="779" w:type="pct"/>
            <w:noWrap/>
            <w:hideMark/>
          </w:tcPr>
          <w:p w14:paraId="393C8249"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DE31EE">
              <w:rPr>
                <w:rFonts w:ascii="Arial" w:eastAsia="Times New Roman" w:hAnsi="Arial" w:cs="Arial"/>
                <w:b/>
                <w:bCs/>
                <w:sz w:val="20"/>
                <w:szCs w:val="20"/>
              </w:rPr>
              <w:t>2023</w:t>
            </w:r>
          </w:p>
        </w:tc>
        <w:tc>
          <w:tcPr>
            <w:tcW w:w="779" w:type="pct"/>
            <w:noWrap/>
            <w:hideMark/>
          </w:tcPr>
          <w:p w14:paraId="615EEE7A"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DE31EE">
              <w:rPr>
                <w:rFonts w:ascii="Arial" w:eastAsia="Times New Roman" w:hAnsi="Arial" w:cs="Arial"/>
                <w:b/>
                <w:bCs/>
                <w:sz w:val="20"/>
                <w:szCs w:val="20"/>
              </w:rPr>
              <w:t>2022</w:t>
            </w:r>
          </w:p>
        </w:tc>
        <w:tc>
          <w:tcPr>
            <w:tcW w:w="778" w:type="pct"/>
            <w:noWrap/>
            <w:hideMark/>
          </w:tcPr>
          <w:p w14:paraId="11EFB4DC"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DE31EE">
              <w:rPr>
                <w:rFonts w:ascii="Arial" w:eastAsia="Times New Roman" w:hAnsi="Arial" w:cs="Arial"/>
                <w:b/>
                <w:bCs/>
                <w:sz w:val="20"/>
                <w:szCs w:val="20"/>
              </w:rPr>
              <w:t>2021</w:t>
            </w:r>
          </w:p>
        </w:tc>
        <w:tc>
          <w:tcPr>
            <w:tcW w:w="778" w:type="pct"/>
            <w:noWrap/>
            <w:hideMark/>
          </w:tcPr>
          <w:p w14:paraId="33FA1D09"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DE31EE">
              <w:rPr>
                <w:rFonts w:ascii="Arial" w:eastAsia="Times New Roman" w:hAnsi="Arial" w:cs="Arial"/>
                <w:b/>
                <w:bCs/>
                <w:sz w:val="20"/>
                <w:szCs w:val="20"/>
              </w:rPr>
              <w:t>2020</w:t>
            </w:r>
          </w:p>
        </w:tc>
        <w:tc>
          <w:tcPr>
            <w:tcW w:w="778" w:type="pct"/>
            <w:noWrap/>
            <w:hideMark/>
          </w:tcPr>
          <w:p w14:paraId="1D38B631"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0"/>
              </w:rPr>
            </w:pPr>
            <w:r w:rsidRPr="00DE31EE">
              <w:rPr>
                <w:rFonts w:ascii="Arial" w:eastAsia="Times New Roman" w:hAnsi="Arial" w:cs="Arial"/>
                <w:b/>
                <w:bCs/>
                <w:sz w:val="20"/>
                <w:szCs w:val="20"/>
              </w:rPr>
              <w:t>2019</w:t>
            </w:r>
          </w:p>
        </w:tc>
      </w:tr>
      <w:tr w:rsidR="00DE31EE" w:rsidRPr="00DE31EE" w14:paraId="60C831E5"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076A3D80"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Altman Z-score</w:t>
            </w:r>
          </w:p>
        </w:tc>
        <w:tc>
          <w:tcPr>
            <w:tcW w:w="779" w:type="pct"/>
            <w:noWrap/>
            <w:hideMark/>
          </w:tcPr>
          <w:p w14:paraId="11C60822"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2.90</w:t>
            </w:r>
          </w:p>
        </w:tc>
        <w:tc>
          <w:tcPr>
            <w:tcW w:w="779" w:type="pct"/>
            <w:noWrap/>
            <w:hideMark/>
          </w:tcPr>
          <w:p w14:paraId="7532AF67"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2.83</w:t>
            </w:r>
          </w:p>
        </w:tc>
        <w:tc>
          <w:tcPr>
            <w:tcW w:w="778" w:type="pct"/>
            <w:noWrap/>
            <w:hideMark/>
          </w:tcPr>
          <w:p w14:paraId="34800552"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778" w:type="pct"/>
            <w:noWrap/>
            <w:hideMark/>
          </w:tcPr>
          <w:p w14:paraId="2E58DADB"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78" w:type="pct"/>
            <w:noWrap/>
            <w:hideMark/>
          </w:tcPr>
          <w:p w14:paraId="21D0C2A6"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E31EE" w:rsidRPr="00DE31EE" w14:paraId="294E26C5"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7B2F04FD"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WC / TA</w:t>
            </w:r>
          </w:p>
        </w:tc>
        <w:tc>
          <w:tcPr>
            <w:tcW w:w="779" w:type="pct"/>
            <w:noWrap/>
            <w:hideMark/>
          </w:tcPr>
          <w:p w14:paraId="55DF6634"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0.67</w:t>
            </w:r>
          </w:p>
        </w:tc>
        <w:tc>
          <w:tcPr>
            <w:tcW w:w="779" w:type="pct"/>
            <w:noWrap/>
            <w:hideMark/>
          </w:tcPr>
          <w:p w14:paraId="7660C250"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0.64</w:t>
            </w:r>
          </w:p>
        </w:tc>
        <w:tc>
          <w:tcPr>
            <w:tcW w:w="778" w:type="pct"/>
            <w:noWrap/>
            <w:hideMark/>
          </w:tcPr>
          <w:p w14:paraId="790B66B4"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0.63</w:t>
            </w:r>
          </w:p>
        </w:tc>
        <w:tc>
          <w:tcPr>
            <w:tcW w:w="778" w:type="pct"/>
            <w:noWrap/>
            <w:hideMark/>
          </w:tcPr>
          <w:p w14:paraId="456FFA1B"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0.59</w:t>
            </w:r>
          </w:p>
        </w:tc>
        <w:tc>
          <w:tcPr>
            <w:tcW w:w="778" w:type="pct"/>
            <w:noWrap/>
            <w:hideMark/>
          </w:tcPr>
          <w:p w14:paraId="73DABB3E"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0.58</w:t>
            </w:r>
          </w:p>
        </w:tc>
      </w:tr>
      <w:tr w:rsidR="00DE31EE" w:rsidRPr="00DE31EE" w14:paraId="4FD6EA6D"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3632271D"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RE / TA</w:t>
            </w:r>
          </w:p>
        </w:tc>
        <w:tc>
          <w:tcPr>
            <w:tcW w:w="779" w:type="pct"/>
            <w:noWrap/>
            <w:hideMark/>
          </w:tcPr>
          <w:p w14:paraId="3D134B51"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0.48</w:t>
            </w:r>
          </w:p>
        </w:tc>
        <w:tc>
          <w:tcPr>
            <w:tcW w:w="779" w:type="pct"/>
            <w:noWrap/>
            <w:hideMark/>
          </w:tcPr>
          <w:p w14:paraId="283D3CB7"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0.47</w:t>
            </w:r>
          </w:p>
        </w:tc>
        <w:tc>
          <w:tcPr>
            <w:tcW w:w="778" w:type="pct"/>
            <w:noWrap/>
            <w:hideMark/>
          </w:tcPr>
          <w:p w14:paraId="504F0D99"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0.56</w:t>
            </w:r>
          </w:p>
        </w:tc>
        <w:tc>
          <w:tcPr>
            <w:tcW w:w="778" w:type="pct"/>
            <w:noWrap/>
            <w:hideMark/>
          </w:tcPr>
          <w:p w14:paraId="03C98D9D"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0.54</w:t>
            </w:r>
          </w:p>
        </w:tc>
        <w:tc>
          <w:tcPr>
            <w:tcW w:w="778" w:type="pct"/>
            <w:noWrap/>
            <w:hideMark/>
          </w:tcPr>
          <w:p w14:paraId="664A6A25"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0.59</w:t>
            </w:r>
          </w:p>
        </w:tc>
      </w:tr>
      <w:tr w:rsidR="00DE31EE" w:rsidRPr="00DE31EE" w14:paraId="2906EB7C"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02EC4167"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EBIT /TA</w:t>
            </w:r>
          </w:p>
        </w:tc>
        <w:tc>
          <w:tcPr>
            <w:tcW w:w="779" w:type="pct"/>
            <w:noWrap/>
            <w:hideMark/>
          </w:tcPr>
          <w:p w14:paraId="3C95ABD0"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0.08</w:t>
            </w:r>
          </w:p>
        </w:tc>
        <w:tc>
          <w:tcPr>
            <w:tcW w:w="779" w:type="pct"/>
            <w:noWrap/>
            <w:hideMark/>
          </w:tcPr>
          <w:p w14:paraId="54ED2886"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0.08</w:t>
            </w:r>
          </w:p>
        </w:tc>
        <w:tc>
          <w:tcPr>
            <w:tcW w:w="778" w:type="pct"/>
            <w:noWrap/>
            <w:hideMark/>
          </w:tcPr>
          <w:p w14:paraId="293884FB"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0.09</w:t>
            </w:r>
          </w:p>
        </w:tc>
        <w:tc>
          <w:tcPr>
            <w:tcW w:w="778" w:type="pct"/>
            <w:noWrap/>
            <w:hideMark/>
          </w:tcPr>
          <w:p w14:paraId="78526506"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0.08</w:t>
            </w:r>
          </w:p>
        </w:tc>
        <w:tc>
          <w:tcPr>
            <w:tcW w:w="778" w:type="pct"/>
            <w:noWrap/>
            <w:hideMark/>
          </w:tcPr>
          <w:p w14:paraId="0BFAA133"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0.16</w:t>
            </w:r>
          </w:p>
        </w:tc>
      </w:tr>
      <w:tr w:rsidR="00DE31EE" w:rsidRPr="00DE31EE" w14:paraId="6160044F"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0984B23E"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MVE/TL</w:t>
            </w:r>
          </w:p>
        </w:tc>
        <w:tc>
          <w:tcPr>
            <w:tcW w:w="779" w:type="pct"/>
            <w:noWrap/>
            <w:hideMark/>
          </w:tcPr>
          <w:p w14:paraId="42B69EDC"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1.36</w:t>
            </w:r>
          </w:p>
        </w:tc>
        <w:tc>
          <w:tcPr>
            <w:tcW w:w="779" w:type="pct"/>
            <w:noWrap/>
            <w:hideMark/>
          </w:tcPr>
          <w:p w14:paraId="72F92972"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1.32</w:t>
            </w:r>
          </w:p>
        </w:tc>
        <w:tc>
          <w:tcPr>
            <w:tcW w:w="778" w:type="pct"/>
            <w:noWrap/>
            <w:hideMark/>
          </w:tcPr>
          <w:p w14:paraId="5BB7FE36"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0.00</w:t>
            </w:r>
          </w:p>
        </w:tc>
        <w:tc>
          <w:tcPr>
            <w:tcW w:w="778" w:type="pct"/>
            <w:noWrap/>
            <w:hideMark/>
          </w:tcPr>
          <w:p w14:paraId="3CA04AF0"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0.00</w:t>
            </w:r>
          </w:p>
        </w:tc>
        <w:tc>
          <w:tcPr>
            <w:tcW w:w="778" w:type="pct"/>
            <w:noWrap/>
            <w:hideMark/>
          </w:tcPr>
          <w:p w14:paraId="6C67B38C"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0.00</w:t>
            </w:r>
          </w:p>
        </w:tc>
      </w:tr>
      <w:tr w:rsidR="00DE31EE" w:rsidRPr="00DE31EE" w14:paraId="5D1D1510" w14:textId="77777777" w:rsidTr="00DE31EE">
        <w:trPr>
          <w:trHeight w:val="255"/>
        </w:trPr>
        <w:tc>
          <w:tcPr>
            <w:cnfStyle w:val="001000000000" w:firstRow="0" w:lastRow="0" w:firstColumn="1" w:lastColumn="0" w:oddVBand="0" w:evenVBand="0" w:oddHBand="0" w:evenHBand="0" w:firstRowFirstColumn="0" w:firstRowLastColumn="0" w:lastRowFirstColumn="0" w:lastRowLastColumn="0"/>
            <w:tcW w:w="1109" w:type="pct"/>
            <w:noWrap/>
            <w:hideMark/>
          </w:tcPr>
          <w:p w14:paraId="3B922DAE" w14:textId="77777777" w:rsidR="00DE31EE" w:rsidRPr="00DE31EE" w:rsidRDefault="00DE31EE" w:rsidP="00DE31EE">
            <w:pPr>
              <w:rPr>
                <w:rFonts w:ascii="Arial" w:eastAsia="Times New Roman" w:hAnsi="Arial" w:cs="Arial"/>
                <w:color w:val="000000"/>
                <w:sz w:val="20"/>
                <w:szCs w:val="20"/>
              </w:rPr>
            </w:pPr>
            <w:r w:rsidRPr="00DE31EE">
              <w:rPr>
                <w:rFonts w:ascii="Arial" w:eastAsia="Times New Roman" w:hAnsi="Arial" w:cs="Arial"/>
                <w:color w:val="000000"/>
                <w:sz w:val="20"/>
                <w:szCs w:val="20"/>
              </w:rPr>
              <w:t>Sales / TA</w:t>
            </w:r>
          </w:p>
        </w:tc>
        <w:tc>
          <w:tcPr>
            <w:tcW w:w="779" w:type="pct"/>
            <w:noWrap/>
            <w:hideMark/>
          </w:tcPr>
          <w:p w14:paraId="71EF4406"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0.37</w:t>
            </w:r>
          </w:p>
        </w:tc>
        <w:tc>
          <w:tcPr>
            <w:tcW w:w="779" w:type="pct"/>
            <w:noWrap/>
            <w:hideMark/>
          </w:tcPr>
          <w:p w14:paraId="031195E4"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0.36</w:t>
            </w:r>
          </w:p>
        </w:tc>
        <w:tc>
          <w:tcPr>
            <w:tcW w:w="778" w:type="pct"/>
            <w:noWrap/>
            <w:hideMark/>
          </w:tcPr>
          <w:p w14:paraId="54AFFB1B"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0.40</w:t>
            </w:r>
          </w:p>
        </w:tc>
        <w:tc>
          <w:tcPr>
            <w:tcW w:w="778" w:type="pct"/>
            <w:noWrap/>
            <w:hideMark/>
          </w:tcPr>
          <w:p w14:paraId="7E412C40"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0.34</w:t>
            </w:r>
          </w:p>
        </w:tc>
        <w:tc>
          <w:tcPr>
            <w:tcW w:w="778" w:type="pct"/>
            <w:noWrap/>
            <w:hideMark/>
          </w:tcPr>
          <w:p w14:paraId="254B843E" w14:textId="77777777" w:rsidR="00DE31EE" w:rsidRPr="00DE31EE" w:rsidRDefault="00DE31EE" w:rsidP="00DE31E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DE31EE">
              <w:rPr>
                <w:rFonts w:ascii="Arial" w:eastAsia="Times New Roman" w:hAnsi="Arial" w:cs="Arial"/>
                <w:color w:val="000000"/>
                <w:sz w:val="20"/>
                <w:szCs w:val="20"/>
              </w:rPr>
              <w:t>0.60</w:t>
            </w:r>
          </w:p>
        </w:tc>
      </w:tr>
    </w:tbl>
    <w:p w14:paraId="0A453EA2" w14:textId="77777777" w:rsidR="00A606F4" w:rsidRDefault="00A606F4" w:rsidP="00923F6C">
      <w:pPr>
        <w:spacing w:after="0" w:line="360" w:lineRule="auto"/>
        <w:jc w:val="both"/>
        <w:rPr>
          <w:rFonts w:ascii="Calibri" w:hAnsi="Calibri" w:cs="Calibri"/>
          <w:color w:val="000000" w:themeColor="text1"/>
        </w:rPr>
      </w:pPr>
    </w:p>
    <w:p w14:paraId="4A33F003" w14:textId="77777777" w:rsidR="00700326" w:rsidRDefault="00700326" w:rsidP="00923F6C">
      <w:pPr>
        <w:spacing w:after="0" w:line="360" w:lineRule="auto"/>
        <w:jc w:val="both"/>
        <w:rPr>
          <w:rFonts w:ascii="Calibri" w:hAnsi="Calibri" w:cs="Calibri"/>
          <w:color w:val="000000" w:themeColor="text1"/>
        </w:rPr>
      </w:pPr>
    </w:p>
    <w:p w14:paraId="3F54E6C3" w14:textId="77777777" w:rsidR="00A606F4" w:rsidRDefault="00A606F4" w:rsidP="00923F6C">
      <w:pPr>
        <w:spacing w:after="0" w:line="360" w:lineRule="auto"/>
        <w:jc w:val="both"/>
        <w:rPr>
          <w:rFonts w:ascii="Calibri" w:hAnsi="Calibri" w:cs="Calibri"/>
          <w:color w:val="000000" w:themeColor="text1"/>
        </w:rPr>
      </w:pPr>
    </w:p>
    <w:p w14:paraId="25B01FC8" w14:textId="757AEBB6" w:rsidR="00786FE1" w:rsidRDefault="00786FE1" w:rsidP="00923F6C">
      <w:pPr>
        <w:spacing w:after="0" w:line="360" w:lineRule="auto"/>
        <w:jc w:val="both"/>
        <w:rPr>
          <w:rFonts w:ascii="Calibri" w:eastAsiaTheme="minorEastAsia" w:hAnsi="Calibri" w:cs="Calibri"/>
          <w:b/>
          <w:bCs/>
          <w:color w:val="000000" w:themeColor="text1"/>
        </w:rPr>
      </w:pPr>
      <w:r w:rsidRPr="001E39A8">
        <w:rPr>
          <w:rFonts w:ascii="Calibri" w:hAnsi="Calibri" w:cs="Calibri"/>
          <w:b/>
          <w:bCs/>
          <w:color w:val="FF0000"/>
          <w:sz w:val="24"/>
          <w:szCs w:val="24"/>
        </w:rPr>
        <w:t>ALTMAN Z - SCORE</w:t>
      </w:r>
      <w:r w:rsidRPr="00786FE1">
        <w:rPr>
          <w:rFonts w:ascii="Calibri" w:hAnsi="Calibri" w:cs="Calibri"/>
          <w:color w:val="FF0000"/>
          <w:sz w:val="24"/>
          <w:szCs w:val="24"/>
        </w:rPr>
        <w:t xml:space="preserve"> </w:t>
      </w:r>
      <w:r w:rsidRPr="00786FE1">
        <w:rPr>
          <w:rFonts w:ascii="Calibri" w:hAnsi="Calibri" w:cs="Calibri"/>
          <w:color w:val="000000" w:themeColor="text1"/>
          <w:sz w:val="24"/>
          <w:szCs w:val="24"/>
        </w:rPr>
        <w:t xml:space="preserve">= </w:t>
      </w:r>
      <m:oMath>
        <m:r>
          <m:rPr>
            <m:sty m:val="b"/>
          </m:rPr>
          <w:rPr>
            <w:rFonts w:ascii="Cambria Math" w:hAnsi="Cambria Math" w:cs="Calibri"/>
            <w:color w:val="000000" w:themeColor="text1"/>
          </w:rPr>
          <m:t>1.2 X (</m:t>
        </m:r>
        <m:f>
          <m:fPr>
            <m:ctrlPr>
              <w:rPr>
                <w:rFonts w:ascii="Cambria Math" w:hAnsi="Cambria Math" w:cs="Calibri"/>
                <w:b/>
                <w:bCs/>
                <w:color w:val="000000" w:themeColor="text1"/>
              </w:rPr>
            </m:ctrlPr>
          </m:fPr>
          <m:num>
            <m:r>
              <m:rPr>
                <m:sty m:val="b"/>
              </m:rPr>
              <w:rPr>
                <w:rFonts w:ascii="Cambria Math" w:hAnsi="Cambria Math" w:cs="Calibri"/>
                <w:color w:val="000000" w:themeColor="text1"/>
              </w:rPr>
              <m:t>WC</m:t>
            </m:r>
          </m:num>
          <m:den>
            <m:r>
              <m:rPr>
                <m:sty m:val="bi"/>
              </m:rPr>
              <w:rPr>
                <w:rFonts w:ascii="Cambria Math" w:hAnsi="Cambria Math" w:cs="Calibri"/>
                <w:color w:val="000000" w:themeColor="text1"/>
              </w:rPr>
              <m:t>TA</m:t>
            </m:r>
          </m:den>
        </m:f>
        <m:r>
          <m:rPr>
            <m:sty m:val="b"/>
          </m:rPr>
          <w:rPr>
            <w:rFonts w:ascii="Cambria Math" w:hAnsi="Cambria Math" w:cs="Calibri"/>
            <w:color w:val="000000" w:themeColor="text1"/>
          </w:rPr>
          <m:t>) + 1.4 X (</m:t>
        </m:r>
        <m:f>
          <m:fPr>
            <m:ctrlPr>
              <w:rPr>
                <w:rFonts w:ascii="Cambria Math" w:hAnsi="Cambria Math" w:cs="Calibri"/>
                <w:b/>
                <w:bCs/>
                <w:color w:val="000000" w:themeColor="text1"/>
              </w:rPr>
            </m:ctrlPr>
          </m:fPr>
          <m:num>
            <m:r>
              <m:rPr>
                <m:sty m:val="b"/>
              </m:rPr>
              <w:rPr>
                <w:rFonts w:ascii="Cambria Math" w:hAnsi="Cambria Math" w:cs="Calibri"/>
                <w:color w:val="000000" w:themeColor="text1"/>
              </w:rPr>
              <m:t>RE</m:t>
            </m:r>
          </m:num>
          <m:den>
            <m:r>
              <m:rPr>
                <m:sty m:val="bi"/>
              </m:rPr>
              <w:rPr>
                <w:rFonts w:ascii="Cambria Math" w:hAnsi="Cambria Math" w:cs="Calibri"/>
                <w:color w:val="000000" w:themeColor="text1"/>
              </w:rPr>
              <m:t>TA</m:t>
            </m:r>
          </m:den>
        </m:f>
        <m:r>
          <m:rPr>
            <m:sty m:val="b"/>
          </m:rPr>
          <w:rPr>
            <w:rFonts w:ascii="Cambria Math" w:hAnsi="Cambria Math" w:cs="Calibri"/>
            <w:color w:val="000000" w:themeColor="text1"/>
          </w:rPr>
          <m:t>) + 3.3 X (</m:t>
        </m:r>
        <m:f>
          <m:fPr>
            <m:ctrlPr>
              <w:rPr>
                <w:rFonts w:ascii="Cambria Math" w:hAnsi="Cambria Math" w:cs="Calibri"/>
                <w:b/>
                <w:bCs/>
                <w:color w:val="000000" w:themeColor="text1"/>
              </w:rPr>
            </m:ctrlPr>
          </m:fPr>
          <m:num>
            <m:r>
              <m:rPr>
                <m:sty m:val="b"/>
              </m:rPr>
              <w:rPr>
                <w:rFonts w:ascii="Cambria Math" w:hAnsi="Cambria Math" w:cs="Calibri"/>
                <w:color w:val="000000" w:themeColor="text1"/>
              </w:rPr>
              <m:t>EBIT</m:t>
            </m:r>
          </m:num>
          <m:den>
            <m:r>
              <m:rPr>
                <m:sty m:val="bi"/>
              </m:rPr>
              <w:rPr>
                <w:rFonts w:ascii="Cambria Math" w:hAnsi="Cambria Math" w:cs="Calibri"/>
                <w:color w:val="000000" w:themeColor="text1"/>
              </w:rPr>
              <m:t>TA</m:t>
            </m:r>
          </m:den>
        </m:f>
        <m:r>
          <m:rPr>
            <m:sty m:val="b"/>
          </m:rPr>
          <w:rPr>
            <w:rFonts w:ascii="Cambria Math" w:hAnsi="Cambria Math" w:cs="Calibri"/>
            <w:color w:val="000000" w:themeColor="text1"/>
          </w:rPr>
          <m:t>) + 0.6 X (</m:t>
        </m:r>
        <m:f>
          <m:fPr>
            <m:ctrlPr>
              <w:rPr>
                <w:rFonts w:ascii="Cambria Math" w:hAnsi="Cambria Math" w:cs="Calibri"/>
                <w:b/>
                <w:bCs/>
                <w:color w:val="000000" w:themeColor="text1"/>
              </w:rPr>
            </m:ctrlPr>
          </m:fPr>
          <m:num>
            <m:r>
              <m:rPr>
                <m:sty m:val="b"/>
              </m:rPr>
              <w:rPr>
                <w:rFonts w:ascii="Cambria Math" w:hAnsi="Cambria Math" w:cs="Calibri"/>
                <w:color w:val="000000" w:themeColor="text1"/>
              </w:rPr>
              <m:t>MVE</m:t>
            </m:r>
          </m:num>
          <m:den>
            <m:r>
              <m:rPr>
                <m:sty m:val="bi"/>
              </m:rPr>
              <w:rPr>
                <w:rFonts w:ascii="Cambria Math" w:hAnsi="Cambria Math" w:cs="Calibri"/>
                <w:color w:val="000000" w:themeColor="text1"/>
              </w:rPr>
              <m:t>TL</m:t>
            </m:r>
          </m:den>
        </m:f>
        <m:r>
          <m:rPr>
            <m:sty m:val="b"/>
          </m:rPr>
          <w:rPr>
            <w:rFonts w:ascii="Cambria Math" w:hAnsi="Cambria Math" w:cs="Calibri"/>
            <w:color w:val="000000" w:themeColor="text1"/>
          </w:rPr>
          <m:t>) + 0.999 X (</m:t>
        </m:r>
        <m:f>
          <m:fPr>
            <m:ctrlPr>
              <w:rPr>
                <w:rFonts w:ascii="Cambria Math" w:hAnsi="Cambria Math" w:cs="Calibri"/>
                <w:b/>
                <w:bCs/>
                <w:color w:val="000000" w:themeColor="text1"/>
              </w:rPr>
            </m:ctrlPr>
          </m:fPr>
          <m:num>
            <m:r>
              <m:rPr>
                <m:sty m:val="bi"/>
              </m:rPr>
              <w:rPr>
                <w:rFonts w:ascii="Cambria Math" w:hAnsi="Cambria Math" w:cs="Calibri"/>
                <w:color w:val="000000" w:themeColor="text1"/>
              </w:rPr>
              <m:t>Sales</m:t>
            </m:r>
          </m:num>
          <m:den>
            <m:r>
              <m:rPr>
                <m:sty m:val="bi"/>
              </m:rPr>
              <w:rPr>
                <w:rFonts w:ascii="Cambria Math" w:hAnsi="Cambria Math" w:cs="Calibri"/>
                <w:color w:val="000000" w:themeColor="text1"/>
              </w:rPr>
              <m:t>TA</m:t>
            </m:r>
          </m:den>
        </m:f>
        <m:r>
          <m:rPr>
            <m:sty m:val="b"/>
          </m:rPr>
          <w:rPr>
            <w:rFonts w:ascii="Cambria Math" w:hAnsi="Cambria Math" w:cs="Calibri"/>
            <w:color w:val="000000" w:themeColor="text1"/>
          </w:rPr>
          <m:t>)</m:t>
        </m:r>
      </m:oMath>
    </w:p>
    <w:p w14:paraId="15D10AC7" w14:textId="77777777" w:rsidR="00700326" w:rsidRDefault="00700326" w:rsidP="00923F6C">
      <w:pPr>
        <w:spacing w:after="0" w:line="360" w:lineRule="auto"/>
        <w:jc w:val="both"/>
        <w:rPr>
          <w:rFonts w:ascii="Calibri" w:eastAsiaTheme="minorEastAsia" w:hAnsi="Calibri" w:cs="Calibri"/>
          <w:color w:val="000000" w:themeColor="text1"/>
          <w:sz w:val="28"/>
          <w:szCs w:val="28"/>
        </w:rPr>
      </w:pPr>
    </w:p>
    <w:p w14:paraId="4044438E" w14:textId="77777777" w:rsidR="001E39A8" w:rsidRPr="001E39A8" w:rsidRDefault="001E39A8" w:rsidP="00923F6C">
      <w:pPr>
        <w:spacing w:after="0" w:line="360" w:lineRule="auto"/>
        <w:jc w:val="both"/>
        <w:rPr>
          <w:rFonts w:ascii="Calibri" w:hAnsi="Calibri" w:cs="Calibri"/>
          <w:color w:val="000000" w:themeColor="text1"/>
          <w:sz w:val="24"/>
          <w:szCs w:val="24"/>
        </w:rPr>
      </w:pPr>
    </w:p>
    <w:p w14:paraId="5FDBDFCC" w14:textId="06C3EEE3" w:rsidR="00A606F4" w:rsidRPr="00786FE1" w:rsidRDefault="002012B4" w:rsidP="00786FE1">
      <w:pPr>
        <w:spacing w:after="0" w:line="360" w:lineRule="auto"/>
        <w:jc w:val="both"/>
        <w:rPr>
          <w:rFonts w:ascii="Calibri" w:hAnsi="Calibri" w:cs="Calibri"/>
          <w:sz w:val="24"/>
          <w:szCs w:val="24"/>
        </w:rPr>
      </w:pPr>
      <w:r w:rsidRPr="00786FE1">
        <w:rPr>
          <w:rFonts w:ascii="Calibri" w:hAnsi="Calibri" w:cs="Calibri"/>
          <w:sz w:val="24"/>
          <w:szCs w:val="24"/>
        </w:rPr>
        <w:t>Altman Z - score above 3.0 indicates that the company is in a safe zone and unlikely to go bankrupt in the next two years. Barratt Development PLC is in good financial condition and has a low risk of bankruptcy. However, Berkeley Group Holding PLC is in a relatively weaker financial condition compared to Barratt Development PLC and may be at a higher risk of financial distress.</w:t>
      </w:r>
    </w:p>
    <w:p w14:paraId="2335BD83" w14:textId="77777777" w:rsidR="00A606F4" w:rsidRDefault="00A606F4" w:rsidP="00923F6C">
      <w:pPr>
        <w:spacing w:after="0" w:line="360" w:lineRule="auto"/>
        <w:jc w:val="both"/>
        <w:rPr>
          <w:rFonts w:ascii="Calibri" w:hAnsi="Calibri" w:cs="Calibri"/>
          <w:color w:val="000000" w:themeColor="text1"/>
        </w:rPr>
      </w:pPr>
    </w:p>
    <w:p w14:paraId="00F1D3E0" w14:textId="77777777" w:rsidR="00A606F4" w:rsidRDefault="00A606F4" w:rsidP="00923F6C">
      <w:pPr>
        <w:spacing w:after="0" w:line="360" w:lineRule="auto"/>
        <w:jc w:val="both"/>
        <w:rPr>
          <w:rFonts w:ascii="Calibri" w:hAnsi="Calibri" w:cs="Calibri"/>
          <w:color w:val="000000" w:themeColor="text1"/>
        </w:rPr>
      </w:pPr>
    </w:p>
    <w:p w14:paraId="1A52273C" w14:textId="77777777" w:rsidR="00A606F4" w:rsidRDefault="00A606F4" w:rsidP="00923F6C">
      <w:pPr>
        <w:spacing w:after="0" w:line="360" w:lineRule="auto"/>
        <w:jc w:val="both"/>
        <w:rPr>
          <w:rFonts w:ascii="Calibri" w:hAnsi="Calibri" w:cs="Calibri"/>
          <w:color w:val="000000" w:themeColor="text1"/>
        </w:rPr>
      </w:pPr>
    </w:p>
    <w:p w14:paraId="63A889FF" w14:textId="77777777" w:rsidR="00A606F4" w:rsidRDefault="00A606F4" w:rsidP="00923F6C">
      <w:pPr>
        <w:spacing w:after="0" w:line="360" w:lineRule="auto"/>
        <w:jc w:val="both"/>
        <w:rPr>
          <w:rFonts w:ascii="Calibri" w:hAnsi="Calibri" w:cs="Calibri"/>
          <w:color w:val="000000" w:themeColor="text1"/>
        </w:rPr>
      </w:pPr>
    </w:p>
    <w:p w14:paraId="0674F2FC" w14:textId="3FAD68DD" w:rsidR="00682E7A" w:rsidRPr="00682E7A" w:rsidRDefault="00265EA6" w:rsidP="00682E7A">
      <w:pPr>
        <w:pStyle w:val="Heading1"/>
        <w:numPr>
          <w:ilvl w:val="0"/>
          <w:numId w:val="27"/>
        </w:numPr>
        <w:spacing w:line="480" w:lineRule="auto"/>
        <w:rPr>
          <w:rFonts w:asciiTheme="minorHAnsi" w:hAnsiTheme="minorHAnsi" w:cstheme="minorHAnsi"/>
          <w:b/>
          <w:bCs/>
          <w:sz w:val="40"/>
          <w:szCs w:val="40"/>
        </w:rPr>
      </w:pPr>
      <w:bookmarkStart w:id="61" w:name="_Toc165495791"/>
      <w:bookmarkStart w:id="62" w:name="_Toc165496516"/>
      <w:r w:rsidRPr="00265EA6">
        <w:rPr>
          <w:rFonts w:asciiTheme="minorHAnsi" w:hAnsiTheme="minorHAnsi" w:cstheme="minorHAnsi"/>
          <w:b/>
          <w:bCs/>
          <w:sz w:val="40"/>
          <w:szCs w:val="40"/>
        </w:rPr>
        <w:lastRenderedPageBreak/>
        <w:t>REFERENCES</w:t>
      </w:r>
      <w:bookmarkStart w:id="63" w:name="_Hlk165374843"/>
      <w:bookmarkEnd w:id="61"/>
      <w:bookmarkEnd w:id="62"/>
    </w:p>
    <w:p w14:paraId="705AF6EB" w14:textId="44A61E7F" w:rsidR="00682E7A" w:rsidRDefault="00682E7A" w:rsidP="00682E7A">
      <w:pPr>
        <w:pStyle w:val="NormalWeb"/>
        <w:spacing w:before="0" w:beforeAutospacing="0" w:after="0" w:afterAutospacing="0" w:line="480" w:lineRule="auto"/>
        <w:ind w:left="720" w:hanging="720"/>
        <w:rPr>
          <w:rFonts w:ascii="Calibri" w:hAnsi="Calibri" w:cs="Calibri"/>
        </w:rPr>
      </w:pPr>
      <w:r w:rsidRPr="00682E7A">
        <w:rPr>
          <w:rFonts w:ascii="Calibri" w:hAnsi="Calibri" w:cs="Calibri"/>
        </w:rPr>
        <w:t xml:space="preserve">Barratt Developments PLC (2024). </w:t>
      </w:r>
      <w:hyperlink r:id="rId24" w:history="1">
        <w:r w:rsidRPr="00682E7A">
          <w:rPr>
            <w:rStyle w:val="Hyperlink"/>
            <w:rFonts w:ascii="Calibri" w:hAnsi="Calibri" w:cs="Calibri"/>
          </w:rPr>
          <w:t>https://www.ft.com/stream/1f4d3644-8aef-4381-86af-b35b1d13f6be</w:t>
        </w:r>
      </w:hyperlink>
      <w:r w:rsidRPr="00682E7A">
        <w:rPr>
          <w:rFonts w:ascii="Calibri" w:hAnsi="Calibri" w:cs="Calibri"/>
        </w:rPr>
        <w:t xml:space="preserve">. (Accessed: 9 </w:t>
      </w:r>
      <w:proofErr w:type="gramStart"/>
      <w:r w:rsidRPr="00682E7A">
        <w:rPr>
          <w:rFonts w:ascii="Calibri" w:hAnsi="Calibri" w:cs="Calibri"/>
        </w:rPr>
        <w:t>April,</w:t>
      </w:r>
      <w:proofErr w:type="gramEnd"/>
      <w:r w:rsidRPr="00682E7A">
        <w:rPr>
          <w:rFonts w:ascii="Calibri" w:hAnsi="Calibri" w:cs="Calibri"/>
        </w:rPr>
        <w:t xml:space="preserve"> 2024)</w:t>
      </w:r>
    </w:p>
    <w:p w14:paraId="105AC640" w14:textId="4F9A5FD3" w:rsidR="0063115B" w:rsidRDefault="0063115B"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Berkeley Group Holdings PLC (2024). </w:t>
      </w:r>
      <w:hyperlink r:id="rId25" w:history="1">
        <w:r w:rsidRPr="00111D1C">
          <w:rPr>
            <w:rStyle w:val="Hyperlink"/>
            <w:rFonts w:ascii="Calibri" w:eastAsiaTheme="majorEastAsia" w:hAnsi="Calibri" w:cs="Calibri"/>
          </w:rPr>
          <w:t>https://www.ft.com/stream/a7dbba36-2846-4005-8169-1fad7840b846</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9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0BDBF536" w14:textId="5CCA2FEE" w:rsidR="0063115B" w:rsidRPr="00111D1C" w:rsidRDefault="0063115B"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Boyte-White, C. (2024) Gearing ratios: What is a good ratio, and how to calculate it. </w:t>
      </w:r>
      <w:hyperlink r:id="rId26" w:history="1">
        <w:r w:rsidRPr="00111D1C">
          <w:rPr>
            <w:rStyle w:val="Hyperlink"/>
            <w:rFonts w:ascii="Calibri" w:eastAsiaTheme="majorEastAsia" w:hAnsi="Calibri" w:cs="Calibri"/>
          </w:rPr>
          <w:t>https://www.investopedia.com/ask/answers/121814/what-good-gearing-ratio.asp</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w:t>
      </w:r>
      <w:r w:rsidR="006A0411">
        <w:rPr>
          <w:rFonts w:ascii="Calibri" w:hAnsi="Calibri" w:cs="Calibri"/>
        </w:rPr>
        <w:t>9</w:t>
      </w:r>
      <w:r w:rsidR="00F374C3" w:rsidRPr="00111D1C">
        <w:rPr>
          <w:rFonts w:ascii="Calibri" w:hAnsi="Calibri" w:cs="Calibri"/>
        </w:rPr>
        <w:t xml:space="preserve">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66034586" w14:textId="11183C89" w:rsidR="0063115B" w:rsidRPr="00111D1C" w:rsidRDefault="0063115B" w:rsidP="00682E7A">
      <w:pPr>
        <w:spacing w:after="0" w:line="480" w:lineRule="auto"/>
        <w:ind w:left="720" w:hanging="720"/>
        <w:jc w:val="both"/>
        <w:rPr>
          <w:rFonts w:ascii="Calibri" w:eastAsia="Times New Roman" w:hAnsi="Calibri" w:cs="Calibri"/>
          <w:sz w:val="24"/>
          <w:szCs w:val="24"/>
        </w:rPr>
      </w:pPr>
      <w:r w:rsidRPr="00111D1C">
        <w:rPr>
          <w:rFonts w:ascii="Calibri" w:eastAsia="Times New Roman" w:hAnsi="Calibri" w:cs="Calibri"/>
          <w:sz w:val="24"/>
          <w:szCs w:val="24"/>
        </w:rPr>
        <w:t>Bragg, S. (2023, November 27). The difference between vertical analysis and horizontal analysis AccountingTools.</w:t>
      </w:r>
      <w:hyperlink r:id="rId27" w:history="1">
        <w:r w:rsidRPr="00111D1C">
          <w:rPr>
            <w:rStyle w:val="Hyperlink"/>
            <w:rFonts w:ascii="Calibri" w:eastAsia="Times New Roman" w:hAnsi="Calibri" w:cs="Calibri"/>
            <w:sz w:val="24"/>
            <w:szCs w:val="24"/>
          </w:rPr>
          <w:t>https://www.accountingtools.com/articles/the-difference-between-vertical-analysis-and-horizontal-analysis</w:t>
        </w:r>
      </w:hyperlink>
      <w:r w:rsidRPr="00111D1C">
        <w:rPr>
          <w:rFonts w:ascii="Calibri" w:eastAsia="Times New Roman" w:hAnsi="Calibri" w:cs="Calibri"/>
          <w:sz w:val="24"/>
          <w:szCs w:val="24"/>
        </w:rPr>
        <w:t>.</w:t>
      </w:r>
      <w:r w:rsidR="00F374C3">
        <w:rPr>
          <w:rFonts w:ascii="Calibri" w:eastAsia="Times New Roman" w:hAnsi="Calibri" w:cs="Calibri"/>
          <w:sz w:val="24"/>
          <w:szCs w:val="24"/>
        </w:rPr>
        <w:t xml:space="preserve"> </w:t>
      </w:r>
      <w:r w:rsidR="00F374C3" w:rsidRPr="00111D1C">
        <w:rPr>
          <w:rFonts w:ascii="Calibri" w:eastAsia="Times New Roman" w:hAnsi="Calibri" w:cs="Calibri"/>
          <w:sz w:val="24"/>
          <w:szCs w:val="24"/>
        </w:rPr>
        <w:t xml:space="preserve">(Accessed: </w:t>
      </w:r>
      <w:r w:rsidR="006A0411">
        <w:rPr>
          <w:rFonts w:ascii="Calibri" w:eastAsia="Times New Roman" w:hAnsi="Calibri" w:cs="Calibri"/>
          <w:sz w:val="24"/>
          <w:szCs w:val="24"/>
        </w:rPr>
        <w:t>13</w:t>
      </w:r>
      <w:r w:rsidR="00F374C3" w:rsidRPr="00111D1C">
        <w:rPr>
          <w:rFonts w:ascii="Calibri" w:eastAsia="Times New Roman" w:hAnsi="Calibri" w:cs="Calibri"/>
          <w:sz w:val="24"/>
          <w:szCs w:val="24"/>
        </w:rPr>
        <w:t xml:space="preserve"> </w:t>
      </w:r>
      <w:proofErr w:type="gramStart"/>
      <w:r w:rsidR="006A0411">
        <w:rPr>
          <w:rFonts w:ascii="Calibri" w:eastAsia="Times New Roman" w:hAnsi="Calibri" w:cs="Calibri"/>
          <w:sz w:val="24"/>
          <w:szCs w:val="24"/>
        </w:rPr>
        <w:t>April</w:t>
      </w:r>
      <w:r w:rsidR="00F374C3" w:rsidRPr="00111D1C">
        <w:rPr>
          <w:rFonts w:ascii="Calibri" w:eastAsia="Times New Roman" w:hAnsi="Calibri" w:cs="Calibri"/>
          <w:sz w:val="24"/>
          <w:szCs w:val="24"/>
        </w:rPr>
        <w:t>,</w:t>
      </w:r>
      <w:proofErr w:type="gramEnd"/>
      <w:r w:rsidR="00F374C3" w:rsidRPr="00111D1C">
        <w:rPr>
          <w:rFonts w:ascii="Calibri" w:eastAsia="Times New Roman" w:hAnsi="Calibri" w:cs="Calibri"/>
          <w:sz w:val="24"/>
          <w:szCs w:val="24"/>
        </w:rPr>
        <w:t xml:space="preserve"> 202</w:t>
      </w:r>
      <w:r w:rsidR="006A0411">
        <w:rPr>
          <w:rFonts w:ascii="Calibri" w:eastAsia="Times New Roman" w:hAnsi="Calibri" w:cs="Calibri"/>
          <w:sz w:val="24"/>
          <w:szCs w:val="24"/>
        </w:rPr>
        <w:t>4</w:t>
      </w:r>
      <w:r w:rsidR="00F374C3" w:rsidRPr="00111D1C">
        <w:rPr>
          <w:rFonts w:ascii="Calibri" w:eastAsia="Times New Roman" w:hAnsi="Calibri" w:cs="Calibri"/>
          <w:sz w:val="24"/>
          <w:szCs w:val="24"/>
        </w:rPr>
        <w:t>)</w:t>
      </w:r>
    </w:p>
    <w:p w14:paraId="1EB6BC06" w14:textId="39C45B1D" w:rsidR="0063115B" w:rsidRDefault="0063115B"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Chas (2024) '3 Challenges facing the UK construction industry in 2024,' CHAS, 15 January. </w:t>
      </w:r>
      <w:hyperlink r:id="rId28" w:history="1">
        <w:r w:rsidR="00F374C3" w:rsidRPr="00864AAF">
          <w:rPr>
            <w:rStyle w:val="Hyperlink"/>
            <w:rFonts w:ascii="Calibri" w:eastAsiaTheme="majorEastAsia" w:hAnsi="Calibri" w:cs="Calibri"/>
          </w:rPr>
          <w:t>https://www.chas.co.uk/blog/3-challenges-facing-the-uk-construction-industry-in-2024/</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w:t>
      </w:r>
      <w:r w:rsidR="006A0411">
        <w:rPr>
          <w:rFonts w:ascii="Calibri" w:hAnsi="Calibri" w:cs="Calibri"/>
        </w:rPr>
        <w:t>13</w:t>
      </w:r>
      <w:r w:rsidR="00F374C3" w:rsidRPr="00111D1C">
        <w:rPr>
          <w:rFonts w:ascii="Calibri" w:hAnsi="Calibri" w:cs="Calibri"/>
        </w:rPr>
        <w:t xml:space="preserve">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75DB843B" w14:textId="4CCC46ED" w:rsidR="00533B23" w:rsidRPr="00533B23" w:rsidRDefault="00533B23" w:rsidP="00682E7A">
      <w:pPr>
        <w:spacing w:after="0" w:line="480" w:lineRule="auto"/>
        <w:ind w:left="720" w:hanging="720"/>
        <w:jc w:val="both"/>
        <w:rPr>
          <w:rFonts w:ascii="Calibri" w:eastAsia="Times New Roman" w:hAnsi="Calibri" w:cs="Calibri"/>
          <w:sz w:val="24"/>
          <w:szCs w:val="24"/>
        </w:rPr>
      </w:pPr>
      <w:r w:rsidRPr="00533B23">
        <w:rPr>
          <w:rFonts w:ascii="Calibri" w:hAnsi="Calibri" w:cs="Calibri"/>
          <w:sz w:val="24"/>
          <w:szCs w:val="24"/>
        </w:rPr>
        <w:t xml:space="preserve">Financial Reporting Council. 2018. The UK Corporate Governance Code (2018). </w:t>
      </w:r>
      <w:hyperlink r:id="rId29" w:history="1">
        <w:r w:rsidRPr="003C752A">
          <w:rPr>
            <w:rStyle w:val="Hyperlink"/>
            <w:rFonts w:ascii="Calibri" w:hAnsi="Calibri" w:cs="Calibri"/>
            <w:sz w:val="24"/>
            <w:szCs w:val="24"/>
          </w:rPr>
          <w:t>https://www.frc.org.uk/document-library/corporate-governance/2018/uk-corporate-governance-code-2018</w:t>
        </w:r>
      </w:hyperlink>
      <w:r>
        <w:rPr>
          <w:rFonts w:ascii="Calibri" w:hAnsi="Calibri" w:cs="Calibri"/>
          <w:sz w:val="24"/>
          <w:szCs w:val="24"/>
        </w:rPr>
        <w:t xml:space="preserve">. </w:t>
      </w:r>
      <w:r w:rsidRPr="00533B23">
        <w:rPr>
          <w:rFonts w:ascii="Calibri" w:hAnsi="Calibri" w:cs="Calibri"/>
          <w:sz w:val="24"/>
          <w:szCs w:val="24"/>
        </w:rPr>
        <w:t xml:space="preserve"> </w:t>
      </w:r>
      <w:r w:rsidRPr="00111D1C">
        <w:rPr>
          <w:rFonts w:ascii="Calibri" w:eastAsia="Times New Roman" w:hAnsi="Calibri" w:cs="Calibri"/>
          <w:sz w:val="24"/>
          <w:szCs w:val="24"/>
        </w:rPr>
        <w:t xml:space="preserve">(Accessed: </w:t>
      </w:r>
      <w:r>
        <w:rPr>
          <w:rFonts w:ascii="Calibri" w:eastAsia="Times New Roman" w:hAnsi="Calibri" w:cs="Calibri"/>
          <w:sz w:val="24"/>
          <w:szCs w:val="24"/>
        </w:rPr>
        <w:t>16</w:t>
      </w:r>
      <w:r w:rsidRPr="00111D1C">
        <w:rPr>
          <w:rFonts w:ascii="Calibri" w:eastAsia="Times New Roman" w:hAnsi="Calibri" w:cs="Calibri"/>
          <w:sz w:val="24"/>
          <w:szCs w:val="24"/>
        </w:rPr>
        <w:t xml:space="preserve"> </w:t>
      </w:r>
      <w:proofErr w:type="gramStart"/>
      <w:r>
        <w:rPr>
          <w:rFonts w:ascii="Calibri" w:eastAsia="Times New Roman" w:hAnsi="Calibri" w:cs="Calibri"/>
          <w:sz w:val="24"/>
          <w:szCs w:val="24"/>
        </w:rPr>
        <w:t>April</w:t>
      </w:r>
      <w:r w:rsidRPr="00111D1C">
        <w:rPr>
          <w:rFonts w:ascii="Calibri" w:eastAsia="Times New Roman" w:hAnsi="Calibri" w:cs="Calibri"/>
          <w:sz w:val="24"/>
          <w:szCs w:val="24"/>
        </w:rPr>
        <w:t>,</w:t>
      </w:r>
      <w:proofErr w:type="gramEnd"/>
      <w:r w:rsidRPr="00111D1C">
        <w:rPr>
          <w:rFonts w:ascii="Calibri" w:eastAsia="Times New Roman" w:hAnsi="Calibri" w:cs="Calibri"/>
          <w:sz w:val="24"/>
          <w:szCs w:val="24"/>
        </w:rPr>
        <w:t xml:space="preserve"> 202</w:t>
      </w:r>
      <w:r>
        <w:rPr>
          <w:rFonts w:ascii="Calibri" w:eastAsia="Times New Roman" w:hAnsi="Calibri" w:cs="Calibri"/>
          <w:sz w:val="24"/>
          <w:szCs w:val="24"/>
        </w:rPr>
        <w:t>4</w:t>
      </w:r>
      <w:r w:rsidRPr="00111D1C">
        <w:rPr>
          <w:rFonts w:ascii="Calibri" w:eastAsia="Times New Roman" w:hAnsi="Calibri" w:cs="Calibri"/>
          <w:sz w:val="24"/>
          <w:szCs w:val="24"/>
        </w:rPr>
        <w:t>)</w:t>
      </w:r>
    </w:p>
    <w:p w14:paraId="589A37B4" w14:textId="4E42DD23" w:rsidR="0063115B" w:rsidRPr="00111D1C" w:rsidRDefault="0063115B" w:rsidP="00682E7A">
      <w:pPr>
        <w:spacing w:after="0" w:line="480" w:lineRule="auto"/>
        <w:ind w:left="720" w:hanging="720"/>
        <w:rPr>
          <w:rFonts w:ascii="Calibri" w:eastAsia="Times New Roman" w:hAnsi="Calibri" w:cs="Calibri"/>
          <w:sz w:val="24"/>
          <w:szCs w:val="24"/>
        </w:rPr>
      </w:pPr>
      <w:proofErr w:type="spellStart"/>
      <w:r w:rsidRPr="00111D1C">
        <w:rPr>
          <w:rFonts w:ascii="Calibri" w:eastAsia="Times New Roman" w:hAnsi="Calibri" w:cs="Calibri"/>
          <w:sz w:val="24"/>
          <w:szCs w:val="24"/>
        </w:rPr>
        <w:t>Frm</w:t>
      </w:r>
      <w:proofErr w:type="spellEnd"/>
      <w:r w:rsidRPr="00111D1C">
        <w:rPr>
          <w:rFonts w:ascii="Calibri" w:eastAsia="Times New Roman" w:hAnsi="Calibri" w:cs="Calibri"/>
          <w:sz w:val="24"/>
          <w:szCs w:val="24"/>
        </w:rPr>
        <w:t xml:space="preserve">, D. V. C. (2023, December 6). Vertical Analysis Formula. </w:t>
      </w:r>
      <w:proofErr w:type="spellStart"/>
      <w:r w:rsidRPr="00111D1C">
        <w:rPr>
          <w:rFonts w:ascii="Calibri" w:eastAsia="Times New Roman" w:hAnsi="Calibri" w:cs="Calibri"/>
          <w:sz w:val="24"/>
          <w:szCs w:val="24"/>
        </w:rPr>
        <w:t>WallStreetMojo</w:t>
      </w:r>
      <w:proofErr w:type="spellEnd"/>
      <w:r w:rsidRPr="00111D1C">
        <w:rPr>
          <w:rFonts w:ascii="Calibri" w:eastAsia="Times New Roman" w:hAnsi="Calibri" w:cs="Calibri"/>
          <w:sz w:val="24"/>
          <w:szCs w:val="24"/>
        </w:rPr>
        <w:t xml:space="preserve">. </w:t>
      </w:r>
      <w:hyperlink r:id="rId30" w:history="1">
        <w:r w:rsidRPr="00111D1C">
          <w:rPr>
            <w:rStyle w:val="Hyperlink"/>
            <w:rFonts w:ascii="Calibri" w:eastAsia="Times New Roman" w:hAnsi="Calibri" w:cs="Calibri"/>
            <w:sz w:val="24"/>
            <w:szCs w:val="24"/>
          </w:rPr>
          <w:t>https://www.wallstreetmojo.com/vertical-analysis-formula/</w:t>
        </w:r>
      </w:hyperlink>
      <w:r w:rsidR="00F374C3">
        <w:rPr>
          <w:rStyle w:val="Hyperlink"/>
          <w:rFonts w:ascii="Calibri" w:eastAsia="Times New Roman" w:hAnsi="Calibri" w:cs="Calibri"/>
          <w:sz w:val="24"/>
          <w:szCs w:val="24"/>
        </w:rPr>
        <w:t xml:space="preserve"> </w:t>
      </w:r>
      <w:r w:rsidR="00F374C3" w:rsidRPr="00111D1C">
        <w:rPr>
          <w:rFonts w:ascii="Calibri" w:eastAsia="Times New Roman" w:hAnsi="Calibri" w:cs="Calibri"/>
          <w:sz w:val="24"/>
          <w:szCs w:val="24"/>
        </w:rPr>
        <w:t xml:space="preserve">(Accessed: </w:t>
      </w:r>
      <w:r w:rsidR="006A0411">
        <w:rPr>
          <w:rFonts w:ascii="Calibri" w:eastAsia="Times New Roman" w:hAnsi="Calibri" w:cs="Calibri"/>
          <w:sz w:val="24"/>
          <w:szCs w:val="24"/>
        </w:rPr>
        <w:t xml:space="preserve">14 </w:t>
      </w:r>
      <w:proofErr w:type="gramStart"/>
      <w:r w:rsidR="006A0411">
        <w:rPr>
          <w:rFonts w:ascii="Calibri" w:eastAsia="Times New Roman" w:hAnsi="Calibri" w:cs="Calibri"/>
          <w:sz w:val="24"/>
          <w:szCs w:val="24"/>
        </w:rPr>
        <w:t>April</w:t>
      </w:r>
      <w:r w:rsidR="00F374C3" w:rsidRPr="00111D1C">
        <w:rPr>
          <w:rFonts w:ascii="Calibri" w:eastAsia="Times New Roman" w:hAnsi="Calibri" w:cs="Calibri"/>
          <w:sz w:val="24"/>
          <w:szCs w:val="24"/>
        </w:rPr>
        <w:t>,</w:t>
      </w:r>
      <w:proofErr w:type="gramEnd"/>
      <w:r w:rsidR="00F374C3" w:rsidRPr="00111D1C">
        <w:rPr>
          <w:rFonts w:ascii="Calibri" w:eastAsia="Times New Roman" w:hAnsi="Calibri" w:cs="Calibri"/>
          <w:sz w:val="24"/>
          <w:szCs w:val="24"/>
        </w:rPr>
        <w:t xml:space="preserve"> 202</w:t>
      </w:r>
      <w:r w:rsidR="006A0411">
        <w:rPr>
          <w:rFonts w:ascii="Calibri" w:eastAsia="Times New Roman" w:hAnsi="Calibri" w:cs="Calibri"/>
          <w:sz w:val="24"/>
          <w:szCs w:val="24"/>
        </w:rPr>
        <w:t>4</w:t>
      </w:r>
      <w:r w:rsidR="00F374C3" w:rsidRPr="00111D1C">
        <w:rPr>
          <w:rFonts w:ascii="Calibri" w:eastAsia="Times New Roman" w:hAnsi="Calibri" w:cs="Calibri"/>
          <w:sz w:val="24"/>
          <w:szCs w:val="24"/>
        </w:rPr>
        <w:t>)</w:t>
      </w:r>
    </w:p>
    <w:p w14:paraId="1FEE3A68" w14:textId="77777777" w:rsidR="00682E7A" w:rsidRDefault="00682E7A" w:rsidP="00682E7A">
      <w:pPr>
        <w:spacing w:after="0" w:line="480" w:lineRule="auto"/>
        <w:ind w:left="720" w:hanging="720"/>
        <w:jc w:val="both"/>
        <w:rPr>
          <w:rFonts w:ascii="Calibri" w:eastAsia="Times New Roman" w:hAnsi="Calibri" w:cs="Calibri"/>
          <w:sz w:val="24"/>
          <w:szCs w:val="24"/>
        </w:rPr>
      </w:pPr>
    </w:p>
    <w:p w14:paraId="60EB3AD1" w14:textId="77777777" w:rsidR="00682E7A" w:rsidRDefault="00682E7A" w:rsidP="00682E7A">
      <w:pPr>
        <w:spacing w:after="0" w:line="480" w:lineRule="auto"/>
        <w:ind w:left="720" w:hanging="720"/>
        <w:jc w:val="both"/>
        <w:rPr>
          <w:rFonts w:ascii="Calibri" w:eastAsia="Times New Roman" w:hAnsi="Calibri" w:cs="Calibri"/>
          <w:sz w:val="24"/>
          <w:szCs w:val="24"/>
        </w:rPr>
      </w:pPr>
    </w:p>
    <w:p w14:paraId="3D584696" w14:textId="114360F4" w:rsidR="0063115B" w:rsidRPr="00111D1C" w:rsidRDefault="0063115B" w:rsidP="00682E7A">
      <w:pPr>
        <w:spacing w:after="0" w:line="480" w:lineRule="auto"/>
        <w:ind w:left="720" w:hanging="720"/>
        <w:jc w:val="both"/>
        <w:rPr>
          <w:rStyle w:val="Hyperlink"/>
          <w:rFonts w:ascii="Calibri" w:eastAsia="Times New Roman" w:hAnsi="Calibri" w:cs="Calibri"/>
          <w:sz w:val="24"/>
          <w:szCs w:val="24"/>
        </w:rPr>
      </w:pPr>
      <w:proofErr w:type="spellStart"/>
      <w:r w:rsidRPr="00111D1C">
        <w:rPr>
          <w:rFonts w:ascii="Calibri" w:eastAsia="Times New Roman" w:hAnsi="Calibri" w:cs="Calibri"/>
          <w:sz w:val="24"/>
          <w:szCs w:val="24"/>
        </w:rPr>
        <w:lastRenderedPageBreak/>
        <w:t>FutureLearn</w:t>
      </w:r>
      <w:proofErr w:type="spellEnd"/>
      <w:r w:rsidRPr="00111D1C">
        <w:rPr>
          <w:rFonts w:ascii="Calibri" w:eastAsia="Times New Roman" w:hAnsi="Calibri" w:cs="Calibri"/>
          <w:sz w:val="24"/>
          <w:szCs w:val="24"/>
        </w:rPr>
        <w:t xml:space="preserve">. (2022, October 25). Updates, Insights, and News from </w:t>
      </w:r>
      <w:proofErr w:type="spellStart"/>
      <w:r w:rsidRPr="00111D1C">
        <w:rPr>
          <w:rFonts w:ascii="Calibri" w:eastAsia="Times New Roman" w:hAnsi="Calibri" w:cs="Calibri"/>
          <w:sz w:val="24"/>
          <w:szCs w:val="24"/>
        </w:rPr>
        <w:t>FutureLearn</w:t>
      </w:r>
      <w:proofErr w:type="spellEnd"/>
      <w:r w:rsidRPr="00111D1C">
        <w:rPr>
          <w:rFonts w:ascii="Calibri" w:eastAsia="Times New Roman" w:hAnsi="Calibri" w:cs="Calibri"/>
          <w:sz w:val="24"/>
          <w:szCs w:val="24"/>
        </w:rPr>
        <w:t xml:space="preserve"> | Online Learning for You. </w:t>
      </w:r>
      <w:proofErr w:type="spellStart"/>
      <w:r w:rsidRPr="00111D1C">
        <w:rPr>
          <w:rFonts w:ascii="Calibri" w:eastAsia="Times New Roman" w:hAnsi="Calibri" w:cs="Calibri"/>
          <w:sz w:val="24"/>
          <w:szCs w:val="24"/>
        </w:rPr>
        <w:t>FutureLearn</w:t>
      </w:r>
      <w:proofErr w:type="spellEnd"/>
      <w:r w:rsidRPr="00111D1C">
        <w:rPr>
          <w:rFonts w:ascii="Calibri" w:eastAsia="Times New Roman" w:hAnsi="Calibri" w:cs="Calibri"/>
          <w:sz w:val="24"/>
          <w:szCs w:val="24"/>
        </w:rPr>
        <w:t xml:space="preserve">. </w:t>
      </w:r>
      <w:hyperlink r:id="rId31" w:history="1">
        <w:r w:rsidRPr="00111D1C">
          <w:rPr>
            <w:rStyle w:val="Hyperlink"/>
            <w:rFonts w:ascii="Calibri" w:eastAsia="Times New Roman" w:hAnsi="Calibri" w:cs="Calibri"/>
            <w:sz w:val="24"/>
            <w:szCs w:val="24"/>
          </w:rPr>
          <w:t>https://www.futurelearn.com/info/courses/financial-analysis-for-business-decisions-intro-data-analysis-tools-sc/0/steps/314851</w:t>
        </w:r>
      </w:hyperlink>
      <w:r w:rsidR="00F374C3">
        <w:rPr>
          <w:rStyle w:val="Hyperlink"/>
          <w:rFonts w:ascii="Calibri" w:eastAsia="Times New Roman" w:hAnsi="Calibri" w:cs="Calibri"/>
          <w:sz w:val="24"/>
          <w:szCs w:val="24"/>
        </w:rPr>
        <w:t xml:space="preserve"> </w:t>
      </w:r>
      <w:r w:rsidR="00F374C3" w:rsidRPr="00111D1C">
        <w:rPr>
          <w:rFonts w:ascii="Calibri" w:eastAsia="Times New Roman" w:hAnsi="Calibri" w:cs="Calibri"/>
          <w:sz w:val="24"/>
          <w:szCs w:val="24"/>
        </w:rPr>
        <w:t xml:space="preserve">(Accessed: </w:t>
      </w:r>
      <w:r w:rsidR="006A0411">
        <w:rPr>
          <w:rFonts w:ascii="Calibri" w:eastAsia="Times New Roman" w:hAnsi="Calibri" w:cs="Calibri"/>
          <w:sz w:val="24"/>
          <w:szCs w:val="24"/>
        </w:rPr>
        <w:t>14</w:t>
      </w:r>
      <w:r w:rsidR="00F374C3" w:rsidRPr="00111D1C">
        <w:rPr>
          <w:rFonts w:ascii="Calibri" w:eastAsia="Times New Roman" w:hAnsi="Calibri" w:cs="Calibri"/>
          <w:sz w:val="24"/>
          <w:szCs w:val="24"/>
        </w:rPr>
        <w:t xml:space="preserve"> </w:t>
      </w:r>
      <w:proofErr w:type="gramStart"/>
      <w:r w:rsidR="006A0411">
        <w:rPr>
          <w:rFonts w:ascii="Calibri" w:eastAsia="Times New Roman" w:hAnsi="Calibri" w:cs="Calibri"/>
          <w:sz w:val="24"/>
          <w:szCs w:val="24"/>
        </w:rPr>
        <w:t>April,</w:t>
      </w:r>
      <w:proofErr w:type="gramEnd"/>
      <w:r w:rsidR="00F374C3" w:rsidRPr="00111D1C">
        <w:rPr>
          <w:rFonts w:ascii="Calibri" w:eastAsia="Times New Roman" w:hAnsi="Calibri" w:cs="Calibri"/>
          <w:sz w:val="24"/>
          <w:szCs w:val="24"/>
        </w:rPr>
        <w:t xml:space="preserve"> 202</w:t>
      </w:r>
      <w:r w:rsidR="006A0411">
        <w:rPr>
          <w:rFonts w:ascii="Calibri" w:eastAsia="Times New Roman" w:hAnsi="Calibri" w:cs="Calibri"/>
          <w:sz w:val="24"/>
          <w:szCs w:val="24"/>
        </w:rPr>
        <w:t>4</w:t>
      </w:r>
      <w:r w:rsidR="00F374C3" w:rsidRPr="00111D1C">
        <w:rPr>
          <w:rFonts w:ascii="Calibri" w:eastAsia="Times New Roman" w:hAnsi="Calibri" w:cs="Calibri"/>
          <w:sz w:val="24"/>
          <w:szCs w:val="24"/>
        </w:rPr>
        <w:t>)</w:t>
      </w:r>
    </w:p>
    <w:p w14:paraId="56C6FF9A" w14:textId="6A7E7D8C" w:rsidR="00923F6C" w:rsidRPr="00111D1C" w:rsidRDefault="00923F6C"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O’Malley, A. (2023) UK housebuilders: the key challenges and opportunities. </w:t>
      </w:r>
      <w:hyperlink r:id="rId32" w:history="1">
        <w:r w:rsidR="00F374C3" w:rsidRPr="00864AAF">
          <w:rPr>
            <w:rStyle w:val="Hyperlink"/>
            <w:rFonts w:ascii="Calibri" w:hAnsi="Calibri" w:cs="Calibri"/>
          </w:rPr>
          <w:t>https://www.planradar.com/gb/uk-housebuilders-key-challenges-and-opportunities/</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w:t>
      </w:r>
      <w:r w:rsidR="006A0411">
        <w:rPr>
          <w:rFonts w:ascii="Calibri" w:hAnsi="Calibri" w:cs="Calibri"/>
        </w:rPr>
        <w:t xml:space="preserve">15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194C07AD" w14:textId="4A29243C" w:rsidR="00923F6C" w:rsidRPr="00111D1C" w:rsidRDefault="00923F6C"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People, I.B. (2023) What’s driving growth in the UK housebuilding market? </w:t>
      </w:r>
      <w:hyperlink r:id="rId33" w:history="1">
        <w:r w:rsidR="0063115B" w:rsidRPr="00111D1C">
          <w:rPr>
            <w:rStyle w:val="Hyperlink"/>
            <w:rFonts w:ascii="Calibri" w:eastAsiaTheme="majorEastAsia" w:hAnsi="Calibri" w:cs="Calibri"/>
          </w:rPr>
          <w:t>https://itsconstruction.co.uk/resources/blog/whats-driving-growth-in-the-uk-housebuilding-market/</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w:t>
      </w:r>
      <w:r w:rsidR="006A0411">
        <w:rPr>
          <w:rFonts w:ascii="Calibri" w:hAnsi="Calibri" w:cs="Calibri"/>
        </w:rPr>
        <w:t>16</w:t>
      </w:r>
      <w:r w:rsidR="00F374C3" w:rsidRPr="00111D1C">
        <w:rPr>
          <w:rFonts w:ascii="Calibri" w:hAnsi="Calibri" w:cs="Calibri"/>
        </w:rPr>
        <w:t xml:space="preserve">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29FB8843" w14:textId="62B5D2F2" w:rsidR="00533B23" w:rsidRPr="00533B23" w:rsidRDefault="0063115B"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color w:val="000000" w:themeColor="text1"/>
        </w:rPr>
        <w:t xml:space="preserve">People, I.B. (2023) The construction industry in 2024: What can we expect? </w:t>
      </w:r>
      <w:hyperlink r:id="rId34" w:history="1">
        <w:r w:rsidRPr="00111D1C">
          <w:rPr>
            <w:rStyle w:val="Hyperlink"/>
            <w:rFonts w:ascii="Calibri" w:hAnsi="Calibri" w:cs="Calibri"/>
          </w:rPr>
          <w:t>https://itsconstruction.co.uk/resources/blog/the-construction-industry-in-2024-what-can-we-expect/</w:t>
        </w:r>
      </w:hyperlink>
      <w:r w:rsidRPr="00111D1C">
        <w:rPr>
          <w:rFonts w:ascii="Calibri" w:hAnsi="Calibri" w:cs="Calibri"/>
          <w:color w:val="000000" w:themeColor="text1"/>
        </w:rPr>
        <w:t>.</w:t>
      </w:r>
      <w:r w:rsidR="00F374C3">
        <w:rPr>
          <w:rFonts w:ascii="Calibri" w:hAnsi="Calibri" w:cs="Calibri"/>
          <w:color w:val="000000" w:themeColor="text1"/>
        </w:rPr>
        <w:t xml:space="preserve"> </w:t>
      </w:r>
      <w:r w:rsidR="00F374C3" w:rsidRPr="00111D1C">
        <w:rPr>
          <w:rFonts w:ascii="Calibri" w:hAnsi="Calibri" w:cs="Calibri"/>
        </w:rPr>
        <w:t xml:space="preserve">(Accessed: </w:t>
      </w:r>
      <w:r w:rsidR="006A0411">
        <w:rPr>
          <w:rFonts w:ascii="Calibri" w:hAnsi="Calibri" w:cs="Calibri"/>
        </w:rPr>
        <w:t>16</w:t>
      </w:r>
      <w:r w:rsidR="00F374C3" w:rsidRPr="00111D1C">
        <w:rPr>
          <w:rFonts w:ascii="Calibri" w:hAnsi="Calibri" w:cs="Calibri"/>
        </w:rPr>
        <w:t xml:space="preserve">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1885F3DF" w14:textId="0859A609" w:rsidR="00923F6C" w:rsidRPr="00111D1C" w:rsidRDefault="00923F6C" w:rsidP="00682E7A">
      <w:pPr>
        <w:pStyle w:val="NormalWeb"/>
        <w:spacing w:before="0" w:beforeAutospacing="0" w:after="0" w:afterAutospacing="0" w:line="480" w:lineRule="auto"/>
        <w:ind w:left="720" w:hanging="720"/>
        <w:rPr>
          <w:rFonts w:ascii="Calibri" w:hAnsi="Calibri" w:cs="Calibri"/>
        </w:rPr>
      </w:pPr>
      <w:r w:rsidRPr="00111D1C">
        <w:rPr>
          <w:rFonts w:ascii="Calibri" w:hAnsi="Calibri" w:cs="Calibri"/>
        </w:rPr>
        <w:t xml:space="preserve">Research Prospect (2023) Corporate Finance Report on Barratt Developments plc - </w:t>
      </w:r>
      <w:proofErr w:type="spellStart"/>
      <w:r w:rsidRPr="00111D1C">
        <w:rPr>
          <w:rFonts w:ascii="Calibri" w:hAnsi="Calibri" w:cs="Calibri"/>
        </w:rPr>
        <w:t>ResearchProspect</w:t>
      </w:r>
      <w:proofErr w:type="spellEnd"/>
      <w:r w:rsidRPr="00111D1C">
        <w:rPr>
          <w:rFonts w:ascii="Calibri" w:hAnsi="Calibri" w:cs="Calibri"/>
        </w:rPr>
        <w:t xml:space="preserve">. </w:t>
      </w:r>
      <w:hyperlink r:id="rId35" w:history="1">
        <w:r w:rsidR="002359C1" w:rsidRPr="00111D1C">
          <w:rPr>
            <w:rStyle w:val="Hyperlink"/>
            <w:rFonts w:ascii="Calibri" w:eastAsiaTheme="majorEastAsia" w:hAnsi="Calibri" w:cs="Calibri"/>
          </w:rPr>
          <w:t>https://www.researchprospect.com/corporate-finance-report-on-barratt-developments-plc/</w:t>
        </w:r>
      </w:hyperlink>
      <w:r w:rsidRPr="00111D1C">
        <w:rPr>
          <w:rFonts w:ascii="Calibri" w:hAnsi="Calibri" w:cs="Calibri"/>
        </w:rPr>
        <w:t>.</w:t>
      </w:r>
      <w:r w:rsidR="00F374C3">
        <w:rPr>
          <w:rFonts w:ascii="Calibri" w:hAnsi="Calibri" w:cs="Calibri"/>
        </w:rPr>
        <w:t xml:space="preserve"> </w:t>
      </w:r>
      <w:r w:rsidR="00F374C3" w:rsidRPr="00111D1C">
        <w:rPr>
          <w:rFonts w:ascii="Calibri" w:hAnsi="Calibri" w:cs="Calibri"/>
        </w:rPr>
        <w:t xml:space="preserve">(Accessed: </w:t>
      </w:r>
      <w:r w:rsidR="006A0411">
        <w:rPr>
          <w:rFonts w:ascii="Calibri" w:hAnsi="Calibri" w:cs="Calibri"/>
        </w:rPr>
        <w:t>16</w:t>
      </w:r>
      <w:r w:rsidR="00F374C3" w:rsidRPr="00111D1C">
        <w:rPr>
          <w:rFonts w:ascii="Calibri" w:hAnsi="Calibri" w:cs="Calibri"/>
        </w:rPr>
        <w:t xml:space="preserve"> </w:t>
      </w:r>
      <w:proofErr w:type="gramStart"/>
      <w:r w:rsidR="006A0411">
        <w:rPr>
          <w:rFonts w:ascii="Calibri" w:hAnsi="Calibri" w:cs="Calibri"/>
        </w:rPr>
        <w:t>April</w:t>
      </w:r>
      <w:r w:rsidR="00F374C3" w:rsidRPr="00111D1C">
        <w:rPr>
          <w:rFonts w:ascii="Calibri" w:hAnsi="Calibri" w:cs="Calibri"/>
        </w:rPr>
        <w:t>,</w:t>
      </w:r>
      <w:proofErr w:type="gramEnd"/>
      <w:r w:rsidR="00F374C3" w:rsidRPr="00111D1C">
        <w:rPr>
          <w:rFonts w:ascii="Calibri" w:hAnsi="Calibri" w:cs="Calibri"/>
        </w:rPr>
        <w:t xml:space="preserve"> 202</w:t>
      </w:r>
      <w:r w:rsidR="006A0411">
        <w:rPr>
          <w:rFonts w:ascii="Calibri" w:hAnsi="Calibri" w:cs="Calibri"/>
        </w:rPr>
        <w:t>4</w:t>
      </w:r>
      <w:r w:rsidR="00F374C3" w:rsidRPr="00111D1C">
        <w:rPr>
          <w:rFonts w:ascii="Calibri" w:hAnsi="Calibri" w:cs="Calibri"/>
        </w:rPr>
        <w:t>)</w:t>
      </w:r>
    </w:p>
    <w:p w14:paraId="239B95F3" w14:textId="5AAFC80C" w:rsidR="009652FF" w:rsidRDefault="00C0319B" w:rsidP="00682E7A">
      <w:pPr>
        <w:spacing w:after="0" w:line="480" w:lineRule="auto"/>
        <w:ind w:left="720" w:hanging="720"/>
        <w:jc w:val="both"/>
        <w:rPr>
          <w:rFonts w:ascii="Calibri" w:eastAsia="Times New Roman" w:hAnsi="Calibri" w:cs="Calibri"/>
          <w:sz w:val="24"/>
          <w:szCs w:val="24"/>
        </w:rPr>
      </w:pPr>
      <w:proofErr w:type="spellStart"/>
      <w:r w:rsidRPr="00111D1C">
        <w:rPr>
          <w:rFonts w:ascii="Calibri" w:eastAsia="Times New Roman" w:hAnsi="Calibri" w:cs="Calibri"/>
          <w:sz w:val="24"/>
          <w:szCs w:val="24"/>
        </w:rPr>
        <w:t>Tuovila</w:t>
      </w:r>
      <w:proofErr w:type="spellEnd"/>
      <w:r w:rsidRPr="00111D1C">
        <w:rPr>
          <w:rFonts w:ascii="Calibri" w:eastAsia="Times New Roman" w:hAnsi="Calibri" w:cs="Calibri"/>
          <w:sz w:val="24"/>
          <w:szCs w:val="24"/>
        </w:rPr>
        <w:t xml:space="preserve">, A. (2023, August 28). Horizontal Analysis: What It Is vs. Vertical Analysis. Investopedia. </w:t>
      </w:r>
      <w:hyperlink r:id="rId36" w:history="1">
        <w:r w:rsidRPr="00111D1C">
          <w:rPr>
            <w:rStyle w:val="Hyperlink"/>
            <w:rFonts w:ascii="Calibri" w:eastAsia="Times New Roman" w:hAnsi="Calibri" w:cs="Calibri"/>
            <w:sz w:val="24"/>
            <w:szCs w:val="24"/>
          </w:rPr>
          <w:t>https://www.investopedia.com/terms/h/horizontalanalysis.asp</w:t>
        </w:r>
      </w:hyperlink>
      <w:r w:rsidRPr="00111D1C">
        <w:rPr>
          <w:rFonts w:ascii="Calibri" w:eastAsia="Times New Roman" w:hAnsi="Calibri" w:cs="Calibri"/>
          <w:sz w:val="24"/>
          <w:szCs w:val="24"/>
        </w:rPr>
        <w:t xml:space="preserve">. (Accessed: </w:t>
      </w:r>
      <w:r w:rsidR="006A0411">
        <w:rPr>
          <w:rFonts w:ascii="Calibri" w:eastAsia="Times New Roman" w:hAnsi="Calibri" w:cs="Calibri"/>
          <w:sz w:val="24"/>
          <w:szCs w:val="24"/>
        </w:rPr>
        <w:t>14</w:t>
      </w:r>
      <w:r w:rsidRPr="00111D1C">
        <w:rPr>
          <w:rFonts w:ascii="Calibri" w:eastAsia="Times New Roman" w:hAnsi="Calibri" w:cs="Calibri"/>
          <w:sz w:val="24"/>
          <w:szCs w:val="24"/>
        </w:rPr>
        <w:t xml:space="preserve"> </w:t>
      </w:r>
      <w:proofErr w:type="gramStart"/>
      <w:r w:rsidR="006A0411">
        <w:rPr>
          <w:rFonts w:ascii="Calibri" w:eastAsia="Times New Roman" w:hAnsi="Calibri" w:cs="Calibri"/>
          <w:sz w:val="24"/>
          <w:szCs w:val="24"/>
        </w:rPr>
        <w:t>April</w:t>
      </w:r>
      <w:r w:rsidRPr="00111D1C">
        <w:rPr>
          <w:rFonts w:ascii="Calibri" w:eastAsia="Times New Roman" w:hAnsi="Calibri" w:cs="Calibri"/>
          <w:sz w:val="24"/>
          <w:szCs w:val="24"/>
        </w:rPr>
        <w:t>,</w:t>
      </w:r>
      <w:proofErr w:type="gramEnd"/>
      <w:r w:rsidRPr="00111D1C">
        <w:rPr>
          <w:rFonts w:ascii="Calibri" w:eastAsia="Times New Roman" w:hAnsi="Calibri" w:cs="Calibri"/>
          <w:sz w:val="24"/>
          <w:szCs w:val="24"/>
        </w:rPr>
        <w:t xml:space="preserve"> 202</w:t>
      </w:r>
      <w:r w:rsidR="006A0411">
        <w:rPr>
          <w:rFonts w:ascii="Calibri" w:eastAsia="Times New Roman" w:hAnsi="Calibri" w:cs="Calibri"/>
          <w:sz w:val="24"/>
          <w:szCs w:val="24"/>
        </w:rPr>
        <w:t>4</w:t>
      </w:r>
      <w:r w:rsidRPr="00111D1C">
        <w:rPr>
          <w:rFonts w:ascii="Calibri" w:eastAsia="Times New Roman" w:hAnsi="Calibri" w:cs="Calibri"/>
          <w:sz w:val="24"/>
          <w:szCs w:val="24"/>
        </w:rPr>
        <w:t>)</w:t>
      </w:r>
      <w:bookmarkEnd w:id="63"/>
    </w:p>
    <w:sectPr w:rsidR="009652FF" w:rsidSect="00DA7ED7">
      <w:headerReference w:type="defaul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8F3A2" w14:textId="77777777" w:rsidR="00DA7ED7" w:rsidRDefault="00DA7ED7">
      <w:pPr>
        <w:spacing w:after="0" w:line="240" w:lineRule="auto"/>
      </w:pPr>
      <w:r>
        <w:separator/>
      </w:r>
    </w:p>
  </w:endnote>
  <w:endnote w:type="continuationSeparator" w:id="0">
    <w:p w14:paraId="22D5E652" w14:textId="77777777" w:rsidR="00DA7ED7" w:rsidRDefault="00DA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D4C92" w14:textId="77777777" w:rsidR="00DA7ED7" w:rsidRDefault="00DA7ED7">
      <w:pPr>
        <w:spacing w:after="0" w:line="240" w:lineRule="auto"/>
      </w:pPr>
      <w:r>
        <w:separator/>
      </w:r>
    </w:p>
  </w:footnote>
  <w:footnote w:type="continuationSeparator" w:id="0">
    <w:p w14:paraId="767248F6" w14:textId="77777777" w:rsidR="00DA7ED7" w:rsidRDefault="00DA7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295103815"/>
      <w:docPartObj>
        <w:docPartGallery w:val="Page Numbers (Top of Page)"/>
        <w:docPartUnique/>
      </w:docPartObj>
    </w:sdtPr>
    <w:sdtEndPr>
      <w:rPr>
        <w:b/>
        <w:bCs/>
        <w:noProof/>
        <w:color w:val="auto"/>
        <w:spacing w:val="0"/>
      </w:rPr>
    </w:sdtEndPr>
    <w:sdtContent>
      <w:p w14:paraId="5322F2B7" w14:textId="77777777" w:rsidR="00DE0CB0" w:rsidRDefault="0094616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EC64200" w14:textId="77777777" w:rsidR="00DE0CB0" w:rsidRDefault="00DE0C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1C7AB2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850"/>
      </v:shape>
    </w:pict>
  </w:numPicBullet>
  <w:abstractNum w:abstractNumId="0" w15:restartNumberingAfterBreak="0">
    <w:nsid w:val="01EB3A05"/>
    <w:multiLevelType w:val="multilevel"/>
    <w:tmpl w:val="19BA7B1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8C5343"/>
    <w:multiLevelType w:val="hybridMultilevel"/>
    <w:tmpl w:val="E6EC8664"/>
    <w:lvl w:ilvl="0" w:tplc="2DC2DBD4">
      <w:start w:val="1"/>
      <w:numFmt w:val="bullet"/>
      <w:lvlText w:val=""/>
      <w:lvlJc w:val="left"/>
      <w:pPr>
        <w:ind w:left="720" w:hanging="360"/>
      </w:pPr>
      <w:rPr>
        <w:rFonts w:ascii="Symbol" w:hAnsi="Symbol" w:hint="default"/>
      </w:rPr>
    </w:lvl>
    <w:lvl w:ilvl="1" w:tplc="D14E45C4" w:tentative="1">
      <w:start w:val="1"/>
      <w:numFmt w:val="bullet"/>
      <w:lvlText w:val="o"/>
      <w:lvlJc w:val="left"/>
      <w:pPr>
        <w:ind w:left="1440" w:hanging="360"/>
      </w:pPr>
      <w:rPr>
        <w:rFonts w:ascii="Courier New" w:hAnsi="Courier New" w:cs="Courier New" w:hint="default"/>
      </w:rPr>
    </w:lvl>
    <w:lvl w:ilvl="2" w:tplc="EB20EE94" w:tentative="1">
      <w:start w:val="1"/>
      <w:numFmt w:val="bullet"/>
      <w:lvlText w:val=""/>
      <w:lvlJc w:val="left"/>
      <w:pPr>
        <w:ind w:left="2160" w:hanging="360"/>
      </w:pPr>
      <w:rPr>
        <w:rFonts w:ascii="Wingdings" w:hAnsi="Wingdings" w:hint="default"/>
      </w:rPr>
    </w:lvl>
    <w:lvl w:ilvl="3" w:tplc="606EB3BE" w:tentative="1">
      <w:start w:val="1"/>
      <w:numFmt w:val="bullet"/>
      <w:lvlText w:val=""/>
      <w:lvlJc w:val="left"/>
      <w:pPr>
        <w:ind w:left="2880" w:hanging="360"/>
      </w:pPr>
      <w:rPr>
        <w:rFonts w:ascii="Symbol" w:hAnsi="Symbol" w:hint="default"/>
      </w:rPr>
    </w:lvl>
    <w:lvl w:ilvl="4" w:tplc="2DF6B19A" w:tentative="1">
      <w:start w:val="1"/>
      <w:numFmt w:val="bullet"/>
      <w:lvlText w:val="o"/>
      <w:lvlJc w:val="left"/>
      <w:pPr>
        <w:ind w:left="3600" w:hanging="360"/>
      </w:pPr>
      <w:rPr>
        <w:rFonts w:ascii="Courier New" w:hAnsi="Courier New" w:cs="Courier New" w:hint="default"/>
      </w:rPr>
    </w:lvl>
    <w:lvl w:ilvl="5" w:tplc="01B84326" w:tentative="1">
      <w:start w:val="1"/>
      <w:numFmt w:val="bullet"/>
      <w:lvlText w:val=""/>
      <w:lvlJc w:val="left"/>
      <w:pPr>
        <w:ind w:left="4320" w:hanging="360"/>
      </w:pPr>
      <w:rPr>
        <w:rFonts w:ascii="Wingdings" w:hAnsi="Wingdings" w:hint="default"/>
      </w:rPr>
    </w:lvl>
    <w:lvl w:ilvl="6" w:tplc="590ECADA" w:tentative="1">
      <w:start w:val="1"/>
      <w:numFmt w:val="bullet"/>
      <w:lvlText w:val=""/>
      <w:lvlJc w:val="left"/>
      <w:pPr>
        <w:ind w:left="5040" w:hanging="360"/>
      </w:pPr>
      <w:rPr>
        <w:rFonts w:ascii="Symbol" w:hAnsi="Symbol" w:hint="default"/>
      </w:rPr>
    </w:lvl>
    <w:lvl w:ilvl="7" w:tplc="CA0EF988" w:tentative="1">
      <w:start w:val="1"/>
      <w:numFmt w:val="bullet"/>
      <w:lvlText w:val="o"/>
      <w:lvlJc w:val="left"/>
      <w:pPr>
        <w:ind w:left="5760" w:hanging="360"/>
      </w:pPr>
      <w:rPr>
        <w:rFonts w:ascii="Courier New" w:hAnsi="Courier New" w:cs="Courier New" w:hint="default"/>
      </w:rPr>
    </w:lvl>
    <w:lvl w:ilvl="8" w:tplc="57A61780" w:tentative="1">
      <w:start w:val="1"/>
      <w:numFmt w:val="bullet"/>
      <w:lvlText w:val=""/>
      <w:lvlJc w:val="left"/>
      <w:pPr>
        <w:ind w:left="6480" w:hanging="360"/>
      </w:pPr>
      <w:rPr>
        <w:rFonts w:ascii="Wingdings" w:hAnsi="Wingdings" w:hint="default"/>
      </w:rPr>
    </w:lvl>
  </w:abstractNum>
  <w:abstractNum w:abstractNumId="2" w15:restartNumberingAfterBreak="0">
    <w:nsid w:val="0DA94926"/>
    <w:multiLevelType w:val="hybridMultilevel"/>
    <w:tmpl w:val="FB0E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26118"/>
    <w:multiLevelType w:val="hybridMultilevel"/>
    <w:tmpl w:val="4E18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93DB4"/>
    <w:multiLevelType w:val="hybridMultilevel"/>
    <w:tmpl w:val="570A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7E7744"/>
    <w:multiLevelType w:val="hybridMultilevel"/>
    <w:tmpl w:val="883E4F18"/>
    <w:lvl w:ilvl="0" w:tplc="1B40B90A">
      <w:start w:val="1"/>
      <w:numFmt w:val="bullet"/>
      <w:lvlText w:val=""/>
      <w:lvlJc w:val="left"/>
      <w:pPr>
        <w:ind w:left="720" w:hanging="360"/>
      </w:pPr>
      <w:rPr>
        <w:rFonts w:ascii="Symbol" w:hAnsi="Symbol" w:hint="default"/>
      </w:rPr>
    </w:lvl>
    <w:lvl w:ilvl="1" w:tplc="34D892B8" w:tentative="1">
      <w:start w:val="1"/>
      <w:numFmt w:val="bullet"/>
      <w:lvlText w:val="o"/>
      <w:lvlJc w:val="left"/>
      <w:pPr>
        <w:ind w:left="1440" w:hanging="360"/>
      </w:pPr>
      <w:rPr>
        <w:rFonts w:ascii="Courier New" w:hAnsi="Courier New" w:cs="Courier New" w:hint="default"/>
      </w:rPr>
    </w:lvl>
    <w:lvl w:ilvl="2" w:tplc="27F2E1F4" w:tentative="1">
      <w:start w:val="1"/>
      <w:numFmt w:val="bullet"/>
      <w:lvlText w:val=""/>
      <w:lvlJc w:val="left"/>
      <w:pPr>
        <w:ind w:left="2160" w:hanging="360"/>
      </w:pPr>
      <w:rPr>
        <w:rFonts w:ascii="Wingdings" w:hAnsi="Wingdings" w:hint="default"/>
      </w:rPr>
    </w:lvl>
    <w:lvl w:ilvl="3" w:tplc="D35C3140" w:tentative="1">
      <w:start w:val="1"/>
      <w:numFmt w:val="bullet"/>
      <w:lvlText w:val=""/>
      <w:lvlJc w:val="left"/>
      <w:pPr>
        <w:ind w:left="2880" w:hanging="360"/>
      </w:pPr>
      <w:rPr>
        <w:rFonts w:ascii="Symbol" w:hAnsi="Symbol" w:hint="default"/>
      </w:rPr>
    </w:lvl>
    <w:lvl w:ilvl="4" w:tplc="AD7032AA" w:tentative="1">
      <w:start w:val="1"/>
      <w:numFmt w:val="bullet"/>
      <w:lvlText w:val="o"/>
      <w:lvlJc w:val="left"/>
      <w:pPr>
        <w:ind w:left="3600" w:hanging="360"/>
      </w:pPr>
      <w:rPr>
        <w:rFonts w:ascii="Courier New" w:hAnsi="Courier New" w:cs="Courier New" w:hint="default"/>
      </w:rPr>
    </w:lvl>
    <w:lvl w:ilvl="5" w:tplc="2D40366A" w:tentative="1">
      <w:start w:val="1"/>
      <w:numFmt w:val="bullet"/>
      <w:lvlText w:val=""/>
      <w:lvlJc w:val="left"/>
      <w:pPr>
        <w:ind w:left="4320" w:hanging="360"/>
      </w:pPr>
      <w:rPr>
        <w:rFonts w:ascii="Wingdings" w:hAnsi="Wingdings" w:hint="default"/>
      </w:rPr>
    </w:lvl>
    <w:lvl w:ilvl="6" w:tplc="F800C0D2" w:tentative="1">
      <w:start w:val="1"/>
      <w:numFmt w:val="bullet"/>
      <w:lvlText w:val=""/>
      <w:lvlJc w:val="left"/>
      <w:pPr>
        <w:ind w:left="5040" w:hanging="360"/>
      </w:pPr>
      <w:rPr>
        <w:rFonts w:ascii="Symbol" w:hAnsi="Symbol" w:hint="default"/>
      </w:rPr>
    </w:lvl>
    <w:lvl w:ilvl="7" w:tplc="C0F61F72" w:tentative="1">
      <w:start w:val="1"/>
      <w:numFmt w:val="bullet"/>
      <w:lvlText w:val="o"/>
      <w:lvlJc w:val="left"/>
      <w:pPr>
        <w:ind w:left="5760" w:hanging="360"/>
      </w:pPr>
      <w:rPr>
        <w:rFonts w:ascii="Courier New" w:hAnsi="Courier New" w:cs="Courier New" w:hint="default"/>
      </w:rPr>
    </w:lvl>
    <w:lvl w:ilvl="8" w:tplc="E39A226C" w:tentative="1">
      <w:start w:val="1"/>
      <w:numFmt w:val="bullet"/>
      <w:lvlText w:val=""/>
      <w:lvlJc w:val="left"/>
      <w:pPr>
        <w:ind w:left="6480" w:hanging="360"/>
      </w:pPr>
      <w:rPr>
        <w:rFonts w:ascii="Wingdings" w:hAnsi="Wingdings" w:hint="default"/>
      </w:rPr>
    </w:lvl>
  </w:abstractNum>
  <w:abstractNum w:abstractNumId="6" w15:restartNumberingAfterBreak="0">
    <w:nsid w:val="243654BA"/>
    <w:multiLevelType w:val="hybridMultilevel"/>
    <w:tmpl w:val="A1C8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45604"/>
    <w:multiLevelType w:val="hybridMultilevel"/>
    <w:tmpl w:val="3140D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B1690"/>
    <w:multiLevelType w:val="hybridMultilevel"/>
    <w:tmpl w:val="F9E450E0"/>
    <w:lvl w:ilvl="0" w:tplc="72AA479A">
      <w:start w:val="1"/>
      <w:numFmt w:val="bullet"/>
      <w:lvlText w:val=""/>
      <w:lvlJc w:val="left"/>
      <w:pPr>
        <w:ind w:left="360" w:hanging="360"/>
      </w:pPr>
      <w:rPr>
        <w:rFonts w:ascii="Wingdings" w:hAnsi="Wingdings" w:hint="default"/>
      </w:rPr>
    </w:lvl>
    <w:lvl w:ilvl="1" w:tplc="53CC4568" w:tentative="1">
      <w:start w:val="1"/>
      <w:numFmt w:val="bullet"/>
      <w:lvlText w:val="o"/>
      <w:lvlJc w:val="left"/>
      <w:pPr>
        <w:ind w:left="1080" w:hanging="360"/>
      </w:pPr>
      <w:rPr>
        <w:rFonts w:ascii="Courier New" w:hAnsi="Courier New" w:cs="Courier New" w:hint="default"/>
      </w:rPr>
    </w:lvl>
    <w:lvl w:ilvl="2" w:tplc="3B326CE6" w:tentative="1">
      <w:start w:val="1"/>
      <w:numFmt w:val="bullet"/>
      <w:lvlText w:val=""/>
      <w:lvlJc w:val="left"/>
      <w:pPr>
        <w:ind w:left="1800" w:hanging="360"/>
      </w:pPr>
      <w:rPr>
        <w:rFonts w:ascii="Wingdings" w:hAnsi="Wingdings" w:hint="default"/>
      </w:rPr>
    </w:lvl>
    <w:lvl w:ilvl="3" w:tplc="48DA5CF4" w:tentative="1">
      <w:start w:val="1"/>
      <w:numFmt w:val="bullet"/>
      <w:lvlText w:val=""/>
      <w:lvlJc w:val="left"/>
      <w:pPr>
        <w:ind w:left="2520" w:hanging="360"/>
      </w:pPr>
      <w:rPr>
        <w:rFonts w:ascii="Symbol" w:hAnsi="Symbol" w:hint="default"/>
      </w:rPr>
    </w:lvl>
    <w:lvl w:ilvl="4" w:tplc="6A96944E" w:tentative="1">
      <w:start w:val="1"/>
      <w:numFmt w:val="bullet"/>
      <w:lvlText w:val="o"/>
      <w:lvlJc w:val="left"/>
      <w:pPr>
        <w:ind w:left="3240" w:hanging="360"/>
      </w:pPr>
      <w:rPr>
        <w:rFonts w:ascii="Courier New" w:hAnsi="Courier New" w:cs="Courier New" w:hint="default"/>
      </w:rPr>
    </w:lvl>
    <w:lvl w:ilvl="5" w:tplc="F72AAE8A" w:tentative="1">
      <w:start w:val="1"/>
      <w:numFmt w:val="bullet"/>
      <w:lvlText w:val=""/>
      <w:lvlJc w:val="left"/>
      <w:pPr>
        <w:ind w:left="3960" w:hanging="360"/>
      </w:pPr>
      <w:rPr>
        <w:rFonts w:ascii="Wingdings" w:hAnsi="Wingdings" w:hint="default"/>
      </w:rPr>
    </w:lvl>
    <w:lvl w:ilvl="6" w:tplc="572A7814" w:tentative="1">
      <w:start w:val="1"/>
      <w:numFmt w:val="bullet"/>
      <w:lvlText w:val=""/>
      <w:lvlJc w:val="left"/>
      <w:pPr>
        <w:ind w:left="4680" w:hanging="360"/>
      </w:pPr>
      <w:rPr>
        <w:rFonts w:ascii="Symbol" w:hAnsi="Symbol" w:hint="default"/>
      </w:rPr>
    </w:lvl>
    <w:lvl w:ilvl="7" w:tplc="1B028FAC" w:tentative="1">
      <w:start w:val="1"/>
      <w:numFmt w:val="bullet"/>
      <w:lvlText w:val="o"/>
      <w:lvlJc w:val="left"/>
      <w:pPr>
        <w:ind w:left="5400" w:hanging="360"/>
      </w:pPr>
      <w:rPr>
        <w:rFonts w:ascii="Courier New" w:hAnsi="Courier New" w:cs="Courier New" w:hint="default"/>
      </w:rPr>
    </w:lvl>
    <w:lvl w:ilvl="8" w:tplc="64F8F6CE" w:tentative="1">
      <w:start w:val="1"/>
      <w:numFmt w:val="bullet"/>
      <w:lvlText w:val=""/>
      <w:lvlJc w:val="left"/>
      <w:pPr>
        <w:ind w:left="6120" w:hanging="360"/>
      </w:pPr>
      <w:rPr>
        <w:rFonts w:ascii="Wingdings" w:hAnsi="Wingdings" w:hint="default"/>
      </w:rPr>
    </w:lvl>
  </w:abstractNum>
  <w:abstractNum w:abstractNumId="9" w15:restartNumberingAfterBreak="0">
    <w:nsid w:val="3C38644C"/>
    <w:multiLevelType w:val="hybridMultilevel"/>
    <w:tmpl w:val="F60EFF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CD8663A"/>
    <w:multiLevelType w:val="hybridMultilevel"/>
    <w:tmpl w:val="031C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94C5E"/>
    <w:multiLevelType w:val="hybridMultilevel"/>
    <w:tmpl w:val="782A73FC"/>
    <w:lvl w:ilvl="0" w:tplc="08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4505DE"/>
    <w:multiLevelType w:val="hybridMultilevel"/>
    <w:tmpl w:val="E30E30B8"/>
    <w:lvl w:ilvl="0" w:tplc="08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DF2039"/>
    <w:multiLevelType w:val="hybridMultilevel"/>
    <w:tmpl w:val="B326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D5E76"/>
    <w:multiLevelType w:val="hybridMultilevel"/>
    <w:tmpl w:val="0FB4D698"/>
    <w:lvl w:ilvl="0" w:tplc="08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A26203"/>
    <w:multiLevelType w:val="multilevel"/>
    <w:tmpl w:val="E474F10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61B1704"/>
    <w:multiLevelType w:val="hybridMultilevel"/>
    <w:tmpl w:val="EE02667A"/>
    <w:lvl w:ilvl="0" w:tplc="F050D7D0">
      <w:numFmt w:val="bullet"/>
      <w:lvlText w:val="-"/>
      <w:lvlJc w:val="left"/>
      <w:pPr>
        <w:ind w:left="720" w:hanging="360"/>
      </w:pPr>
      <w:rPr>
        <w:rFonts w:ascii="Arial" w:eastAsiaTheme="minorHAnsi" w:hAnsi="Arial" w:cs="Arial" w:hint="default"/>
      </w:rPr>
    </w:lvl>
    <w:lvl w:ilvl="1" w:tplc="FB76A79E" w:tentative="1">
      <w:start w:val="1"/>
      <w:numFmt w:val="bullet"/>
      <w:lvlText w:val="o"/>
      <w:lvlJc w:val="left"/>
      <w:pPr>
        <w:ind w:left="1440" w:hanging="360"/>
      </w:pPr>
      <w:rPr>
        <w:rFonts w:ascii="Courier New" w:hAnsi="Courier New" w:cs="Courier New" w:hint="default"/>
      </w:rPr>
    </w:lvl>
    <w:lvl w:ilvl="2" w:tplc="D298BA12" w:tentative="1">
      <w:start w:val="1"/>
      <w:numFmt w:val="bullet"/>
      <w:lvlText w:val=""/>
      <w:lvlJc w:val="left"/>
      <w:pPr>
        <w:ind w:left="2160" w:hanging="360"/>
      </w:pPr>
      <w:rPr>
        <w:rFonts w:ascii="Wingdings" w:hAnsi="Wingdings" w:hint="default"/>
      </w:rPr>
    </w:lvl>
    <w:lvl w:ilvl="3" w:tplc="B4A814E2" w:tentative="1">
      <w:start w:val="1"/>
      <w:numFmt w:val="bullet"/>
      <w:lvlText w:val=""/>
      <w:lvlJc w:val="left"/>
      <w:pPr>
        <w:ind w:left="2880" w:hanging="360"/>
      </w:pPr>
      <w:rPr>
        <w:rFonts w:ascii="Symbol" w:hAnsi="Symbol" w:hint="default"/>
      </w:rPr>
    </w:lvl>
    <w:lvl w:ilvl="4" w:tplc="9B242D6E" w:tentative="1">
      <w:start w:val="1"/>
      <w:numFmt w:val="bullet"/>
      <w:lvlText w:val="o"/>
      <w:lvlJc w:val="left"/>
      <w:pPr>
        <w:ind w:left="3600" w:hanging="360"/>
      </w:pPr>
      <w:rPr>
        <w:rFonts w:ascii="Courier New" w:hAnsi="Courier New" w:cs="Courier New" w:hint="default"/>
      </w:rPr>
    </w:lvl>
    <w:lvl w:ilvl="5" w:tplc="464C30F4" w:tentative="1">
      <w:start w:val="1"/>
      <w:numFmt w:val="bullet"/>
      <w:lvlText w:val=""/>
      <w:lvlJc w:val="left"/>
      <w:pPr>
        <w:ind w:left="4320" w:hanging="360"/>
      </w:pPr>
      <w:rPr>
        <w:rFonts w:ascii="Wingdings" w:hAnsi="Wingdings" w:hint="default"/>
      </w:rPr>
    </w:lvl>
    <w:lvl w:ilvl="6" w:tplc="7EBEB57A" w:tentative="1">
      <w:start w:val="1"/>
      <w:numFmt w:val="bullet"/>
      <w:lvlText w:val=""/>
      <w:lvlJc w:val="left"/>
      <w:pPr>
        <w:ind w:left="5040" w:hanging="360"/>
      </w:pPr>
      <w:rPr>
        <w:rFonts w:ascii="Symbol" w:hAnsi="Symbol" w:hint="default"/>
      </w:rPr>
    </w:lvl>
    <w:lvl w:ilvl="7" w:tplc="83E0B892" w:tentative="1">
      <w:start w:val="1"/>
      <w:numFmt w:val="bullet"/>
      <w:lvlText w:val="o"/>
      <w:lvlJc w:val="left"/>
      <w:pPr>
        <w:ind w:left="5760" w:hanging="360"/>
      </w:pPr>
      <w:rPr>
        <w:rFonts w:ascii="Courier New" w:hAnsi="Courier New" w:cs="Courier New" w:hint="default"/>
      </w:rPr>
    </w:lvl>
    <w:lvl w:ilvl="8" w:tplc="6EE22BAA" w:tentative="1">
      <w:start w:val="1"/>
      <w:numFmt w:val="bullet"/>
      <w:lvlText w:val=""/>
      <w:lvlJc w:val="left"/>
      <w:pPr>
        <w:ind w:left="6480" w:hanging="360"/>
      </w:pPr>
      <w:rPr>
        <w:rFonts w:ascii="Wingdings" w:hAnsi="Wingdings" w:hint="default"/>
      </w:rPr>
    </w:lvl>
  </w:abstractNum>
  <w:abstractNum w:abstractNumId="17" w15:restartNumberingAfterBreak="0">
    <w:nsid w:val="5D5E3A7F"/>
    <w:multiLevelType w:val="hybridMultilevel"/>
    <w:tmpl w:val="AAAC0912"/>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7208E7"/>
    <w:multiLevelType w:val="hybridMultilevel"/>
    <w:tmpl w:val="A0681C52"/>
    <w:lvl w:ilvl="0" w:tplc="CDD61CE4">
      <w:numFmt w:val="bullet"/>
      <w:lvlText w:val="-"/>
      <w:lvlJc w:val="left"/>
      <w:pPr>
        <w:ind w:left="3240" w:hanging="360"/>
      </w:pPr>
      <w:rPr>
        <w:rFonts w:ascii="Arial" w:eastAsiaTheme="minorHAnsi" w:hAnsi="Arial" w:cs="Arial" w:hint="default"/>
      </w:rPr>
    </w:lvl>
    <w:lvl w:ilvl="1" w:tplc="B6125DC0" w:tentative="1">
      <w:start w:val="1"/>
      <w:numFmt w:val="bullet"/>
      <w:lvlText w:val="o"/>
      <w:lvlJc w:val="left"/>
      <w:pPr>
        <w:ind w:left="3960" w:hanging="360"/>
      </w:pPr>
      <w:rPr>
        <w:rFonts w:ascii="Courier New" w:hAnsi="Courier New" w:cs="Courier New" w:hint="default"/>
      </w:rPr>
    </w:lvl>
    <w:lvl w:ilvl="2" w:tplc="0324C480" w:tentative="1">
      <w:start w:val="1"/>
      <w:numFmt w:val="bullet"/>
      <w:lvlText w:val=""/>
      <w:lvlJc w:val="left"/>
      <w:pPr>
        <w:ind w:left="4680" w:hanging="360"/>
      </w:pPr>
      <w:rPr>
        <w:rFonts w:ascii="Wingdings" w:hAnsi="Wingdings" w:hint="default"/>
      </w:rPr>
    </w:lvl>
    <w:lvl w:ilvl="3" w:tplc="D90AF0B4" w:tentative="1">
      <w:start w:val="1"/>
      <w:numFmt w:val="bullet"/>
      <w:lvlText w:val=""/>
      <w:lvlJc w:val="left"/>
      <w:pPr>
        <w:ind w:left="5400" w:hanging="360"/>
      </w:pPr>
      <w:rPr>
        <w:rFonts w:ascii="Symbol" w:hAnsi="Symbol" w:hint="default"/>
      </w:rPr>
    </w:lvl>
    <w:lvl w:ilvl="4" w:tplc="B43612E0" w:tentative="1">
      <w:start w:val="1"/>
      <w:numFmt w:val="bullet"/>
      <w:lvlText w:val="o"/>
      <w:lvlJc w:val="left"/>
      <w:pPr>
        <w:ind w:left="6120" w:hanging="360"/>
      </w:pPr>
      <w:rPr>
        <w:rFonts w:ascii="Courier New" w:hAnsi="Courier New" w:cs="Courier New" w:hint="default"/>
      </w:rPr>
    </w:lvl>
    <w:lvl w:ilvl="5" w:tplc="76A28516" w:tentative="1">
      <w:start w:val="1"/>
      <w:numFmt w:val="bullet"/>
      <w:lvlText w:val=""/>
      <w:lvlJc w:val="left"/>
      <w:pPr>
        <w:ind w:left="6840" w:hanging="360"/>
      </w:pPr>
      <w:rPr>
        <w:rFonts w:ascii="Wingdings" w:hAnsi="Wingdings" w:hint="default"/>
      </w:rPr>
    </w:lvl>
    <w:lvl w:ilvl="6" w:tplc="09484D04" w:tentative="1">
      <w:start w:val="1"/>
      <w:numFmt w:val="bullet"/>
      <w:lvlText w:val=""/>
      <w:lvlJc w:val="left"/>
      <w:pPr>
        <w:ind w:left="7560" w:hanging="360"/>
      </w:pPr>
      <w:rPr>
        <w:rFonts w:ascii="Symbol" w:hAnsi="Symbol" w:hint="default"/>
      </w:rPr>
    </w:lvl>
    <w:lvl w:ilvl="7" w:tplc="F37ED0AE" w:tentative="1">
      <w:start w:val="1"/>
      <w:numFmt w:val="bullet"/>
      <w:lvlText w:val="o"/>
      <w:lvlJc w:val="left"/>
      <w:pPr>
        <w:ind w:left="8280" w:hanging="360"/>
      </w:pPr>
      <w:rPr>
        <w:rFonts w:ascii="Courier New" w:hAnsi="Courier New" w:cs="Courier New" w:hint="default"/>
      </w:rPr>
    </w:lvl>
    <w:lvl w:ilvl="8" w:tplc="41724454" w:tentative="1">
      <w:start w:val="1"/>
      <w:numFmt w:val="bullet"/>
      <w:lvlText w:val=""/>
      <w:lvlJc w:val="left"/>
      <w:pPr>
        <w:ind w:left="9000" w:hanging="360"/>
      </w:pPr>
      <w:rPr>
        <w:rFonts w:ascii="Wingdings" w:hAnsi="Wingdings" w:hint="default"/>
      </w:rPr>
    </w:lvl>
  </w:abstractNum>
  <w:abstractNum w:abstractNumId="19" w15:restartNumberingAfterBreak="0">
    <w:nsid w:val="61053AAB"/>
    <w:multiLevelType w:val="hybridMultilevel"/>
    <w:tmpl w:val="8FDA377E"/>
    <w:lvl w:ilvl="0" w:tplc="08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54F4AC8"/>
    <w:multiLevelType w:val="hybridMultilevel"/>
    <w:tmpl w:val="5E987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12186A"/>
    <w:multiLevelType w:val="hybridMultilevel"/>
    <w:tmpl w:val="02F23CB6"/>
    <w:lvl w:ilvl="0" w:tplc="7B947E2E">
      <w:start w:val="1"/>
      <w:numFmt w:val="bullet"/>
      <w:lvlText w:val=""/>
      <w:lvlJc w:val="left"/>
      <w:pPr>
        <w:ind w:left="360" w:hanging="360"/>
      </w:pPr>
      <w:rPr>
        <w:rFonts w:ascii="Wingdings" w:hAnsi="Wingdings" w:hint="default"/>
      </w:rPr>
    </w:lvl>
    <w:lvl w:ilvl="1" w:tplc="1B18A9B8" w:tentative="1">
      <w:start w:val="1"/>
      <w:numFmt w:val="bullet"/>
      <w:lvlText w:val="o"/>
      <w:lvlJc w:val="left"/>
      <w:pPr>
        <w:ind w:left="1080" w:hanging="360"/>
      </w:pPr>
      <w:rPr>
        <w:rFonts w:ascii="Courier New" w:hAnsi="Courier New" w:cs="Courier New" w:hint="default"/>
      </w:rPr>
    </w:lvl>
    <w:lvl w:ilvl="2" w:tplc="615A20F0" w:tentative="1">
      <w:start w:val="1"/>
      <w:numFmt w:val="bullet"/>
      <w:lvlText w:val=""/>
      <w:lvlJc w:val="left"/>
      <w:pPr>
        <w:ind w:left="1800" w:hanging="360"/>
      </w:pPr>
      <w:rPr>
        <w:rFonts w:ascii="Wingdings" w:hAnsi="Wingdings" w:hint="default"/>
      </w:rPr>
    </w:lvl>
    <w:lvl w:ilvl="3" w:tplc="F06E76A4" w:tentative="1">
      <w:start w:val="1"/>
      <w:numFmt w:val="bullet"/>
      <w:lvlText w:val=""/>
      <w:lvlJc w:val="left"/>
      <w:pPr>
        <w:ind w:left="2520" w:hanging="360"/>
      </w:pPr>
      <w:rPr>
        <w:rFonts w:ascii="Symbol" w:hAnsi="Symbol" w:hint="default"/>
      </w:rPr>
    </w:lvl>
    <w:lvl w:ilvl="4" w:tplc="CD8AB602" w:tentative="1">
      <w:start w:val="1"/>
      <w:numFmt w:val="bullet"/>
      <w:lvlText w:val="o"/>
      <w:lvlJc w:val="left"/>
      <w:pPr>
        <w:ind w:left="3240" w:hanging="360"/>
      </w:pPr>
      <w:rPr>
        <w:rFonts w:ascii="Courier New" w:hAnsi="Courier New" w:cs="Courier New" w:hint="default"/>
      </w:rPr>
    </w:lvl>
    <w:lvl w:ilvl="5" w:tplc="E9202384" w:tentative="1">
      <w:start w:val="1"/>
      <w:numFmt w:val="bullet"/>
      <w:lvlText w:val=""/>
      <w:lvlJc w:val="left"/>
      <w:pPr>
        <w:ind w:left="3960" w:hanging="360"/>
      </w:pPr>
      <w:rPr>
        <w:rFonts w:ascii="Wingdings" w:hAnsi="Wingdings" w:hint="default"/>
      </w:rPr>
    </w:lvl>
    <w:lvl w:ilvl="6" w:tplc="EA5E984E" w:tentative="1">
      <w:start w:val="1"/>
      <w:numFmt w:val="bullet"/>
      <w:lvlText w:val=""/>
      <w:lvlJc w:val="left"/>
      <w:pPr>
        <w:ind w:left="4680" w:hanging="360"/>
      </w:pPr>
      <w:rPr>
        <w:rFonts w:ascii="Symbol" w:hAnsi="Symbol" w:hint="default"/>
      </w:rPr>
    </w:lvl>
    <w:lvl w:ilvl="7" w:tplc="5858BC22" w:tentative="1">
      <w:start w:val="1"/>
      <w:numFmt w:val="bullet"/>
      <w:lvlText w:val="o"/>
      <w:lvlJc w:val="left"/>
      <w:pPr>
        <w:ind w:left="5400" w:hanging="360"/>
      </w:pPr>
      <w:rPr>
        <w:rFonts w:ascii="Courier New" w:hAnsi="Courier New" w:cs="Courier New" w:hint="default"/>
      </w:rPr>
    </w:lvl>
    <w:lvl w:ilvl="8" w:tplc="E0FEFFEC" w:tentative="1">
      <w:start w:val="1"/>
      <w:numFmt w:val="bullet"/>
      <w:lvlText w:val=""/>
      <w:lvlJc w:val="left"/>
      <w:pPr>
        <w:ind w:left="6120" w:hanging="360"/>
      </w:pPr>
      <w:rPr>
        <w:rFonts w:ascii="Wingdings" w:hAnsi="Wingdings" w:hint="default"/>
      </w:rPr>
    </w:lvl>
  </w:abstractNum>
  <w:abstractNum w:abstractNumId="22" w15:restartNumberingAfterBreak="0">
    <w:nsid w:val="678F1DDA"/>
    <w:multiLevelType w:val="hybridMultilevel"/>
    <w:tmpl w:val="BB9A7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08729D"/>
    <w:multiLevelType w:val="hybridMultilevel"/>
    <w:tmpl w:val="A57E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5622E0"/>
    <w:multiLevelType w:val="hybridMultilevel"/>
    <w:tmpl w:val="B7723686"/>
    <w:lvl w:ilvl="0" w:tplc="7D2440F0">
      <w:numFmt w:val="bullet"/>
      <w:lvlText w:val="-"/>
      <w:lvlJc w:val="left"/>
      <w:pPr>
        <w:ind w:left="720" w:hanging="360"/>
      </w:pPr>
      <w:rPr>
        <w:rFonts w:ascii="Arial" w:eastAsiaTheme="minorHAnsi" w:hAnsi="Arial" w:cs="Arial" w:hint="default"/>
      </w:rPr>
    </w:lvl>
    <w:lvl w:ilvl="1" w:tplc="C1FC5B14" w:tentative="1">
      <w:start w:val="1"/>
      <w:numFmt w:val="bullet"/>
      <w:lvlText w:val="o"/>
      <w:lvlJc w:val="left"/>
      <w:pPr>
        <w:ind w:left="1440" w:hanging="360"/>
      </w:pPr>
      <w:rPr>
        <w:rFonts w:ascii="Courier New" w:hAnsi="Courier New" w:cs="Courier New" w:hint="default"/>
      </w:rPr>
    </w:lvl>
    <w:lvl w:ilvl="2" w:tplc="659A3DF6" w:tentative="1">
      <w:start w:val="1"/>
      <w:numFmt w:val="bullet"/>
      <w:lvlText w:val=""/>
      <w:lvlJc w:val="left"/>
      <w:pPr>
        <w:ind w:left="2160" w:hanging="360"/>
      </w:pPr>
      <w:rPr>
        <w:rFonts w:ascii="Wingdings" w:hAnsi="Wingdings" w:hint="default"/>
      </w:rPr>
    </w:lvl>
    <w:lvl w:ilvl="3" w:tplc="5734CAE6" w:tentative="1">
      <w:start w:val="1"/>
      <w:numFmt w:val="bullet"/>
      <w:lvlText w:val=""/>
      <w:lvlJc w:val="left"/>
      <w:pPr>
        <w:ind w:left="2880" w:hanging="360"/>
      </w:pPr>
      <w:rPr>
        <w:rFonts w:ascii="Symbol" w:hAnsi="Symbol" w:hint="default"/>
      </w:rPr>
    </w:lvl>
    <w:lvl w:ilvl="4" w:tplc="889A265C" w:tentative="1">
      <w:start w:val="1"/>
      <w:numFmt w:val="bullet"/>
      <w:lvlText w:val="o"/>
      <w:lvlJc w:val="left"/>
      <w:pPr>
        <w:ind w:left="3600" w:hanging="360"/>
      </w:pPr>
      <w:rPr>
        <w:rFonts w:ascii="Courier New" w:hAnsi="Courier New" w:cs="Courier New" w:hint="default"/>
      </w:rPr>
    </w:lvl>
    <w:lvl w:ilvl="5" w:tplc="194E24DA" w:tentative="1">
      <w:start w:val="1"/>
      <w:numFmt w:val="bullet"/>
      <w:lvlText w:val=""/>
      <w:lvlJc w:val="left"/>
      <w:pPr>
        <w:ind w:left="4320" w:hanging="360"/>
      </w:pPr>
      <w:rPr>
        <w:rFonts w:ascii="Wingdings" w:hAnsi="Wingdings" w:hint="default"/>
      </w:rPr>
    </w:lvl>
    <w:lvl w:ilvl="6" w:tplc="141CCC60" w:tentative="1">
      <w:start w:val="1"/>
      <w:numFmt w:val="bullet"/>
      <w:lvlText w:val=""/>
      <w:lvlJc w:val="left"/>
      <w:pPr>
        <w:ind w:left="5040" w:hanging="360"/>
      </w:pPr>
      <w:rPr>
        <w:rFonts w:ascii="Symbol" w:hAnsi="Symbol" w:hint="default"/>
      </w:rPr>
    </w:lvl>
    <w:lvl w:ilvl="7" w:tplc="1048DF26" w:tentative="1">
      <w:start w:val="1"/>
      <w:numFmt w:val="bullet"/>
      <w:lvlText w:val="o"/>
      <w:lvlJc w:val="left"/>
      <w:pPr>
        <w:ind w:left="5760" w:hanging="360"/>
      </w:pPr>
      <w:rPr>
        <w:rFonts w:ascii="Courier New" w:hAnsi="Courier New" w:cs="Courier New" w:hint="default"/>
      </w:rPr>
    </w:lvl>
    <w:lvl w:ilvl="8" w:tplc="33720AD2" w:tentative="1">
      <w:start w:val="1"/>
      <w:numFmt w:val="bullet"/>
      <w:lvlText w:val=""/>
      <w:lvlJc w:val="left"/>
      <w:pPr>
        <w:ind w:left="6480" w:hanging="360"/>
      </w:pPr>
      <w:rPr>
        <w:rFonts w:ascii="Wingdings" w:hAnsi="Wingdings" w:hint="default"/>
      </w:rPr>
    </w:lvl>
  </w:abstractNum>
  <w:abstractNum w:abstractNumId="25" w15:restartNumberingAfterBreak="0">
    <w:nsid w:val="7A170B87"/>
    <w:multiLevelType w:val="hybridMultilevel"/>
    <w:tmpl w:val="DDC6B7D6"/>
    <w:lvl w:ilvl="0" w:tplc="A134AFB2">
      <w:start w:val="1"/>
      <w:numFmt w:val="bullet"/>
      <w:lvlText w:val=""/>
      <w:lvlJc w:val="left"/>
      <w:pPr>
        <w:ind w:left="720" w:hanging="360"/>
      </w:pPr>
      <w:rPr>
        <w:rFonts w:ascii="Symbol" w:hAnsi="Symbol" w:hint="default"/>
      </w:rPr>
    </w:lvl>
    <w:lvl w:ilvl="1" w:tplc="BF4ECA08" w:tentative="1">
      <w:start w:val="1"/>
      <w:numFmt w:val="bullet"/>
      <w:lvlText w:val="o"/>
      <w:lvlJc w:val="left"/>
      <w:pPr>
        <w:ind w:left="1440" w:hanging="360"/>
      </w:pPr>
      <w:rPr>
        <w:rFonts w:ascii="Courier New" w:hAnsi="Courier New" w:cs="Courier New" w:hint="default"/>
      </w:rPr>
    </w:lvl>
    <w:lvl w:ilvl="2" w:tplc="1BA6F220" w:tentative="1">
      <w:start w:val="1"/>
      <w:numFmt w:val="bullet"/>
      <w:lvlText w:val=""/>
      <w:lvlJc w:val="left"/>
      <w:pPr>
        <w:ind w:left="2160" w:hanging="360"/>
      </w:pPr>
      <w:rPr>
        <w:rFonts w:ascii="Wingdings" w:hAnsi="Wingdings" w:hint="default"/>
      </w:rPr>
    </w:lvl>
    <w:lvl w:ilvl="3" w:tplc="5D1C88DE" w:tentative="1">
      <w:start w:val="1"/>
      <w:numFmt w:val="bullet"/>
      <w:lvlText w:val=""/>
      <w:lvlJc w:val="left"/>
      <w:pPr>
        <w:ind w:left="2880" w:hanging="360"/>
      </w:pPr>
      <w:rPr>
        <w:rFonts w:ascii="Symbol" w:hAnsi="Symbol" w:hint="default"/>
      </w:rPr>
    </w:lvl>
    <w:lvl w:ilvl="4" w:tplc="27A2DDF0" w:tentative="1">
      <w:start w:val="1"/>
      <w:numFmt w:val="bullet"/>
      <w:lvlText w:val="o"/>
      <w:lvlJc w:val="left"/>
      <w:pPr>
        <w:ind w:left="3600" w:hanging="360"/>
      </w:pPr>
      <w:rPr>
        <w:rFonts w:ascii="Courier New" w:hAnsi="Courier New" w:cs="Courier New" w:hint="default"/>
      </w:rPr>
    </w:lvl>
    <w:lvl w:ilvl="5" w:tplc="E36C64E6" w:tentative="1">
      <w:start w:val="1"/>
      <w:numFmt w:val="bullet"/>
      <w:lvlText w:val=""/>
      <w:lvlJc w:val="left"/>
      <w:pPr>
        <w:ind w:left="4320" w:hanging="360"/>
      </w:pPr>
      <w:rPr>
        <w:rFonts w:ascii="Wingdings" w:hAnsi="Wingdings" w:hint="default"/>
      </w:rPr>
    </w:lvl>
    <w:lvl w:ilvl="6" w:tplc="4D6452A8" w:tentative="1">
      <w:start w:val="1"/>
      <w:numFmt w:val="bullet"/>
      <w:lvlText w:val=""/>
      <w:lvlJc w:val="left"/>
      <w:pPr>
        <w:ind w:left="5040" w:hanging="360"/>
      </w:pPr>
      <w:rPr>
        <w:rFonts w:ascii="Symbol" w:hAnsi="Symbol" w:hint="default"/>
      </w:rPr>
    </w:lvl>
    <w:lvl w:ilvl="7" w:tplc="4E42AB28" w:tentative="1">
      <w:start w:val="1"/>
      <w:numFmt w:val="bullet"/>
      <w:lvlText w:val="o"/>
      <w:lvlJc w:val="left"/>
      <w:pPr>
        <w:ind w:left="5760" w:hanging="360"/>
      </w:pPr>
      <w:rPr>
        <w:rFonts w:ascii="Courier New" w:hAnsi="Courier New" w:cs="Courier New" w:hint="default"/>
      </w:rPr>
    </w:lvl>
    <w:lvl w:ilvl="8" w:tplc="B8680356" w:tentative="1">
      <w:start w:val="1"/>
      <w:numFmt w:val="bullet"/>
      <w:lvlText w:val=""/>
      <w:lvlJc w:val="left"/>
      <w:pPr>
        <w:ind w:left="6480" w:hanging="360"/>
      </w:pPr>
      <w:rPr>
        <w:rFonts w:ascii="Wingdings" w:hAnsi="Wingdings" w:hint="default"/>
      </w:rPr>
    </w:lvl>
  </w:abstractNum>
  <w:abstractNum w:abstractNumId="26" w15:restartNumberingAfterBreak="0">
    <w:nsid w:val="7D056CBB"/>
    <w:multiLevelType w:val="hybridMultilevel"/>
    <w:tmpl w:val="405A366A"/>
    <w:lvl w:ilvl="0" w:tplc="08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FB92741"/>
    <w:multiLevelType w:val="hybridMultilevel"/>
    <w:tmpl w:val="696AA556"/>
    <w:lvl w:ilvl="0" w:tplc="A3A0A558">
      <w:start w:val="1"/>
      <w:numFmt w:val="bullet"/>
      <w:lvlText w:val=""/>
      <w:lvlJc w:val="left"/>
      <w:pPr>
        <w:ind w:left="720" w:hanging="360"/>
      </w:pPr>
      <w:rPr>
        <w:rFonts w:ascii="Symbol" w:hAnsi="Symbol" w:hint="default"/>
      </w:rPr>
    </w:lvl>
    <w:lvl w:ilvl="1" w:tplc="CC460FC8" w:tentative="1">
      <w:start w:val="1"/>
      <w:numFmt w:val="bullet"/>
      <w:lvlText w:val="o"/>
      <w:lvlJc w:val="left"/>
      <w:pPr>
        <w:ind w:left="1440" w:hanging="360"/>
      </w:pPr>
      <w:rPr>
        <w:rFonts w:ascii="Courier New" w:hAnsi="Courier New" w:cs="Courier New" w:hint="default"/>
      </w:rPr>
    </w:lvl>
    <w:lvl w:ilvl="2" w:tplc="D4729390" w:tentative="1">
      <w:start w:val="1"/>
      <w:numFmt w:val="bullet"/>
      <w:lvlText w:val=""/>
      <w:lvlJc w:val="left"/>
      <w:pPr>
        <w:ind w:left="2160" w:hanging="360"/>
      </w:pPr>
      <w:rPr>
        <w:rFonts w:ascii="Wingdings" w:hAnsi="Wingdings" w:hint="default"/>
      </w:rPr>
    </w:lvl>
    <w:lvl w:ilvl="3" w:tplc="A09AD8B2" w:tentative="1">
      <w:start w:val="1"/>
      <w:numFmt w:val="bullet"/>
      <w:lvlText w:val=""/>
      <w:lvlJc w:val="left"/>
      <w:pPr>
        <w:ind w:left="2880" w:hanging="360"/>
      </w:pPr>
      <w:rPr>
        <w:rFonts w:ascii="Symbol" w:hAnsi="Symbol" w:hint="default"/>
      </w:rPr>
    </w:lvl>
    <w:lvl w:ilvl="4" w:tplc="B1B60D22" w:tentative="1">
      <w:start w:val="1"/>
      <w:numFmt w:val="bullet"/>
      <w:lvlText w:val="o"/>
      <w:lvlJc w:val="left"/>
      <w:pPr>
        <w:ind w:left="3600" w:hanging="360"/>
      </w:pPr>
      <w:rPr>
        <w:rFonts w:ascii="Courier New" w:hAnsi="Courier New" w:cs="Courier New" w:hint="default"/>
      </w:rPr>
    </w:lvl>
    <w:lvl w:ilvl="5" w:tplc="3628F7D4" w:tentative="1">
      <w:start w:val="1"/>
      <w:numFmt w:val="bullet"/>
      <w:lvlText w:val=""/>
      <w:lvlJc w:val="left"/>
      <w:pPr>
        <w:ind w:left="4320" w:hanging="360"/>
      </w:pPr>
      <w:rPr>
        <w:rFonts w:ascii="Wingdings" w:hAnsi="Wingdings" w:hint="default"/>
      </w:rPr>
    </w:lvl>
    <w:lvl w:ilvl="6" w:tplc="219A6BF6" w:tentative="1">
      <w:start w:val="1"/>
      <w:numFmt w:val="bullet"/>
      <w:lvlText w:val=""/>
      <w:lvlJc w:val="left"/>
      <w:pPr>
        <w:ind w:left="5040" w:hanging="360"/>
      </w:pPr>
      <w:rPr>
        <w:rFonts w:ascii="Symbol" w:hAnsi="Symbol" w:hint="default"/>
      </w:rPr>
    </w:lvl>
    <w:lvl w:ilvl="7" w:tplc="3892CBCE" w:tentative="1">
      <w:start w:val="1"/>
      <w:numFmt w:val="bullet"/>
      <w:lvlText w:val="o"/>
      <w:lvlJc w:val="left"/>
      <w:pPr>
        <w:ind w:left="5760" w:hanging="360"/>
      </w:pPr>
      <w:rPr>
        <w:rFonts w:ascii="Courier New" w:hAnsi="Courier New" w:cs="Courier New" w:hint="default"/>
      </w:rPr>
    </w:lvl>
    <w:lvl w:ilvl="8" w:tplc="37760D80" w:tentative="1">
      <w:start w:val="1"/>
      <w:numFmt w:val="bullet"/>
      <w:lvlText w:val=""/>
      <w:lvlJc w:val="left"/>
      <w:pPr>
        <w:ind w:left="6480" w:hanging="360"/>
      </w:pPr>
      <w:rPr>
        <w:rFonts w:ascii="Wingdings" w:hAnsi="Wingdings" w:hint="default"/>
      </w:rPr>
    </w:lvl>
  </w:abstractNum>
  <w:num w:numId="1" w16cid:durableId="1268197036">
    <w:abstractNumId w:val="8"/>
  </w:num>
  <w:num w:numId="2" w16cid:durableId="2035034186">
    <w:abstractNumId w:val="21"/>
  </w:num>
  <w:num w:numId="3" w16cid:durableId="1867911265">
    <w:abstractNumId w:val="16"/>
  </w:num>
  <w:num w:numId="4" w16cid:durableId="1714188652">
    <w:abstractNumId w:val="24"/>
  </w:num>
  <w:num w:numId="5" w16cid:durableId="1808859914">
    <w:abstractNumId w:val="5"/>
  </w:num>
  <w:num w:numId="6" w16cid:durableId="1075471803">
    <w:abstractNumId w:val="18"/>
  </w:num>
  <w:num w:numId="7" w16cid:durableId="149375282">
    <w:abstractNumId w:val="27"/>
  </w:num>
  <w:num w:numId="8" w16cid:durableId="1944723746">
    <w:abstractNumId w:val="1"/>
  </w:num>
  <w:num w:numId="9" w16cid:durableId="1508520664">
    <w:abstractNumId w:val="25"/>
  </w:num>
  <w:num w:numId="10" w16cid:durableId="25108390">
    <w:abstractNumId w:val="17"/>
  </w:num>
  <w:num w:numId="11" w16cid:durableId="622620485">
    <w:abstractNumId w:val="22"/>
  </w:num>
  <w:num w:numId="12" w16cid:durableId="153185261">
    <w:abstractNumId w:val="9"/>
  </w:num>
  <w:num w:numId="13" w16cid:durableId="716441036">
    <w:abstractNumId w:val="4"/>
  </w:num>
  <w:num w:numId="14" w16cid:durableId="133262361">
    <w:abstractNumId w:val="10"/>
  </w:num>
  <w:num w:numId="15" w16cid:durableId="812723350">
    <w:abstractNumId w:val="7"/>
  </w:num>
  <w:num w:numId="16" w16cid:durableId="215430037">
    <w:abstractNumId w:val="2"/>
  </w:num>
  <w:num w:numId="17" w16cid:durableId="1797285470">
    <w:abstractNumId w:val="20"/>
  </w:num>
  <w:num w:numId="18" w16cid:durableId="859127167">
    <w:abstractNumId w:val="26"/>
  </w:num>
  <w:num w:numId="19" w16cid:durableId="1812209237">
    <w:abstractNumId w:val="19"/>
  </w:num>
  <w:num w:numId="20" w16cid:durableId="1927180093">
    <w:abstractNumId w:val="12"/>
  </w:num>
  <w:num w:numId="21" w16cid:durableId="1359891722">
    <w:abstractNumId w:val="11"/>
  </w:num>
  <w:num w:numId="22" w16cid:durableId="972516642">
    <w:abstractNumId w:val="3"/>
  </w:num>
  <w:num w:numId="23" w16cid:durableId="605045335">
    <w:abstractNumId w:val="14"/>
  </w:num>
  <w:num w:numId="24" w16cid:durableId="396977639">
    <w:abstractNumId w:val="6"/>
  </w:num>
  <w:num w:numId="25" w16cid:durableId="398556329">
    <w:abstractNumId w:val="13"/>
  </w:num>
  <w:num w:numId="26" w16cid:durableId="1814836013">
    <w:abstractNumId w:val="23"/>
  </w:num>
  <w:num w:numId="27" w16cid:durableId="1761678346">
    <w:abstractNumId w:val="15"/>
  </w:num>
  <w:num w:numId="28" w16cid:durableId="1523938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9FE"/>
    <w:rsid w:val="000004D0"/>
    <w:rsid w:val="00001BFF"/>
    <w:rsid w:val="00011F86"/>
    <w:rsid w:val="00013384"/>
    <w:rsid w:val="00013C4B"/>
    <w:rsid w:val="0002471C"/>
    <w:rsid w:val="00026385"/>
    <w:rsid w:val="00033A55"/>
    <w:rsid w:val="00036507"/>
    <w:rsid w:val="00053171"/>
    <w:rsid w:val="00053556"/>
    <w:rsid w:val="000544C0"/>
    <w:rsid w:val="000566EA"/>
    <w:rsid w:val="0006083E"/>
    <w:rsid w:val="00064D79"/>
    <w:rsid w:val="000674B4"/>
    <w:rsid w:val="000758FF"/>
    <w:rsid w:val="0008195D"/>
    <w:rsid w:val="000978C2"/>
    <w:rsid w:val="000A0398"/>
    <w:rsid w:val="000A3F7C"/>
    <w:rsid w:val="000A5837"/>
    <w:rsid w:val="000A7725"/>
    <w:rsid w:val="000B0353"/>
    <w:rsid w:val="000C4665"/>
    <w:rsid w:val="000D2062"/>
    <w:rsid w:val="000D565B"/>
    <w:rsid w:val="000E65C9"/>
    <w:rsid w:val="000E78D3"/>
    <w:rsid w:val="000F4F8B"/>
    <w:rsid w:val="00105E65"/>
    <w:rsid w:val="00111D1C"/>
    <w:rsid w:val="0011389E"/>
    <w:rsid w:val="00124483"/>
    <w:rsid w:val="00130582"/>
    <w:rsid w:val="00132F22"/>
    <w:rsid w:val="00135532"/>
    <w:rsid w:val="00135E51"/>
    <w:rsid w:val="00140B4B"/>
    <w:rsid w:val="00141E83"/>
    <w:rsid w:val="00162BFD"/>
    <w:rsid w:val="00166E56"/>
    <w:rsid w:val="00181E25"/>
    <w:rsid w:val="001916B3"/>
    <w:rsid w:val="001A3677"/>
    <w:rsid w:val="001A6D62"/>
    <w:rsid w:val="001B098F"/>
    <w:rsid w:val="001D1E06"/>
    <w:rsid w:val="001E0036"/>
    <w:rsid w:val="001E39A8"/>
    <w:rsid w:val="001F514D"/>
    <w:rsid w:val="001F51C4"/>
    <w:rsid w:val="002012B4"/>
    <w:rsid w:val="002071F5"/>
    <w:rsid w:val="002077D2"/>
    <w:rsid w:val="0022472C"/>
    <w:rsid w:val="00227284"/>
    <w:rsid w:val="002359C1"/>
    <w:rsid w:val="00241E6E"/>
    <w:rsid w:val="00242F6D"/>
    <w:rsid w:val="00246028"/>
    <w:rsid w:val="0025543D"/>
    <w:rsid w:val="00265EA6"/>
    <w:rsid w:val="00282144"/>
    <w:rsid w:val="0028270C"/>
    <w:rsid w:val="00282AE6"/>
    <w:rsid w:val="00283B2C"/>
    <w:rsid w:val="00284515"/>
    <w:rsid w:val="00285397"/>
    <w:rsid w:val="00287D6C"/>
    <w:rsid w:val="002910C5"/>
    <w:rsid w:val="00291775"/>
    <w:rsid w:val="002A03B3"/>
    <w:rsid w:val="002A0D7C"/>
    <w:rsid w:val="002A1BE3"/>
    <w:rsid w:val="002A47FA"/>
    <w:rsid w:val="002B28D4"/>
    <w:rsid w:val="002B379C"/>
    <w:rsid w:val="002B5766"/>
    <w:rsid w:val="002C0A76"/>
    <w:rsid w:val="002C4F91"/>
    <w:rsid w:val="002C5AC0"/>
    <w:rsid w:val="002D1219"/>
    <w:rsid w:val="002D2DD5"/>
    <w:rsid w:val="002F316F"/>
    <w:rsid w:val="00315E8B"/>
    <w:rsid w:val="00331124"/>
    <w:rsid w:val="00334754"/>
    <w:rsid w:val="00336FB6"/>
    <w:rsid w:val="00344BC0"/>
    <w:rsid w:val="00345495"/>
    <w:rsid w:val="003544C2"/>
    <w:rsid w:val="00362314"/>
    <w:rsid w:val="00392AAA"/>
    <w:rsid w:val="003A3C96"/>
    <w:rsid w:val="003A494B"/>
    <w:rsid w:val="003B048F"/>
    <w:rsid w:val="003C0BF5"/>
    <w:rsid w:val="003D22E8"/>
    <w:rsid w:val="003D315C"/>
    <w:rsid w:val="004042C2"/>
    <w:rsid w:val="00404E9E"/>
    <w:rsid w:val="0041348C"/>
    <w:rsid w:val="004215A3"/>
    <w:rsid w:val="004240FF"/>
    <w:rsid w:val="00426D97"/>
    <w:rsid w:val="00437B08"/>
    <w:rsid w:val="00437C32"/>
    <w:rsid w:val="0045454B"/>
    <w:rsid w:val="004607AA"/>
    <w:rsid w:val="0046087F"/>
    <w:rsid w:val="00460F0F"/>
    <w:rsid w:val="00465F01"/>
    <w:rsid w:val="004822FF"/>
    <w:rsid w:val="004825F9"/>
    <w:rsid w:val="004857D1"/>
    <w:rsid w:val="004936F9"/>
    <w:rsid w:val="00494266"/>
    <w:rsid w:val="004C1C9F"/>
    <w:rsid w:val="004C4BB8"/>
    <w:rsid w:val="004C7BF0"/>
    <w:rsid w:val="004E3460"/>
    <w:rsid w:val="004E3A94"/>
    <w:rsid w:val="004E6CC4"/>
    <w:rsid w:val="004E79C8"/>
    <w:rsid w:val="004F3D37"/>
    <w:rsid w:val="004F4E0B"/>
    <w:rsid w:val="004F6B55"/>
    <w:rsid w:val="004F6D88"/>
    <w:rsid w:val="00500B9A"/>
    <w:rsid w:val="005067E7"/>
    <w:rsid w:val="005137E1"/>
    <w:rsid w:val="005140BD"/>
    <w:rsid w:val="005160E1"/>
    <w:rsid w:val="00520157"/>
    <w:rsid w:val="005274A0"/>
    <w:rsid w:val="00533B23"/>
    <w:rsid w:val="00550DAC"/>
    <w:rsid w:val="005611F8"/>
    <w:rsid w:val="005706ED"/>
    <w:rsid w:val="00574AE3"/>
    <w:rsid w:val="00575CA5"/>
    <w:rsid w:val="00577CAC"/>
    <w:rsid w:val="00593517"/>
    <w:rsid w:val="00594B91"/>
    <w:rsid w:val="005B006D"/>
    <w:rsid w:val="005B086E"/>
    <w:rsid w:val="005B1F06"/>
    <w:rsid w:val="005C41A4"/>
    <w:rsid w:val="005C5EBE"/>
    <w:rsid w:val="005D0D92"/>
    <w:rsid w:val="005D4892"/>
    <w:rsid w:val="005E14D3"/>
    <w:rsid w:val="005E3DF5"/>
    <w:rsid w:val="005E5B6E"/>
    <w:rsid w:val="005E667A"/>
    <w:rsid w:val="005F24B2"/>
    <w:rsid w:val="00605941"/>
    <w:rsid w:val="00606217"/>
    <w:rsid w:val="006116AC"/>
    <w:rsid w:val="00611BB3"/>
    <w:rsid w:val="00616699"/>
    <w:rsid w:val="0063115B"/>
    <w:rsid w:val="00637306"/>
    <w:rsid w:val="006555C8"/>
    <w:rsid w:val="0066228B"/>
    <w:rsid w:val="00665BA5"/>
    <w:rsid w:val="00682E7A"/>
    <w:rsid w:val="0069528C"/>
    <w:rsid w:val="006A0411"/>
    <w:rsid w:val="006A4802"/>
    <w:rsid w:val="006A7CB5"/>
    <w:rsid w:val="006B1720"/>
    <w:rsid w:val="006B5056"/>
    <w:rsid w:val="006C3F8B"/>
    <w:rsid w:val="006C4A7B"/>
    <w:rsid w:val="006C5961"/>
    <w:rsid w:val="006C6706"/>
    <w:rsid w:val="006E7B74"/>
    <w:rsid w:val="006F4F6C"/>
    <w:rsid w:val="00700326"/>
    <w:rsid w:val="00703A01"/>
    <w:rsid w:val="00715054"/>
    <w:rsid w:val="00715FFA"/>
    <w:rsid w:val="007260D9"/>
    <w:rsid w:val="00734CF0"/>
    <w:rsid w:val="00745512"/>
    <w:rsid w:val="00745DBF"/>
    <w:rsid w:val="00746B89"/>
    <w:rsid w:val="00754D65"/>
    <w:rsid w:val="00760237"/>
    <w:rsid w:val="00770330"/>
    <w:rsid w:val="007751F2"/>
    <w:rsid w:val="00777775"/>
    <w:rsid w:val="00786251"/>
    <w:rsid w:val="00786FE1"/>
    <w:rsid w:val="0079431D"/>
    <w:rsid w:val="007A60DB"/>
    <w:rsid w:val="007B257B"/>
    <w:rsid w:val="007C7332"/>
    <w:rsid w:val="007D7E9D"/>
    <w:rsid w:val="007F43D9"/>
    <w:rsid w:val="00801154"/>
    <w:rsid w:val="0080204B"/>
    <w:rsid w:val="0080558A"/>
    <w:rsid w:val="00807931"/>
    <w:rsid w:val="00816681"/>
    <w:rsid w:val="008200EB"/>
    <w:rsid w:val="0082056A"/>
    <w:rsid w:val="00823D1B"/>
    <w:rsid w:val="008514B4"/>
    <w:rsid w:val="008625D1"/>
    <w:rsid w:val="00863BBC"/>
    <w:rsid w:val="0086624F"/>
    <w:rsid w:val="0087209B"/>
    <w:rsid w:val="00876DA9"/>
    <w:rsid w:val="00883143"/>
    <w:rsid w:val="00883C9C"/>
    <w:rsid w:val="00885C02"/>
    <w:rsid w:val="008909A0"/>
    <w:rsid w:val="00892C11"/>
    <w:rsid w:val="008A1570"/>
    <w:rsid w:val="008A299F"/>
    <w:rsid w:val="008A5CC8"/>
    <w:rsid w:val="008C7C08"/>
    <w:rsid w:val="008E13DE"/>
    <w:rsid w:val="008E3DF5"/>
    <w:rsid w:val="008F0BF8"/>
    <w:rsid w:val="00902BDC"/>
    <w:rsid w:val="0090489C"/>
    <w:rsid w:val="00906DA3"/>
    <w:rsid w:val="00910B16"/>
    <w:rsid w:val="00923F6C"/>
    <w:rsid w:val="00931B74"/>
    <w:rsid w:val="009329D9"/>
    <w:rsid w:val="00937682"/>
    <w:rsid w:val="00941401"/>
    <w:rsid w:val="0094616F"/>
    <w:rsid w:val="00951CBA"/>
    <w:rsid w:val="009553FF"/>
    <w:rsid w:val="00963397"/>
    <w:rsid w:val="0096356C"/>
    <w:rsid w:val="00964031"/>
    <w:rsid w:val="00964A26"/>
    <w:rsid w:val="009652FF"/>
    <w:rsid w:val="009729FE"/>
    <w:rsid w:val="00975D44"/>
    <w:rsid w:val="00993E2B"/>
    <w:rsid w:val="009B6BDA"/>
    <w:rsid w:val="009B7E3B"/>
    <w:rsid w:val="009C4165"/>
    <w:rsid w:val="009D5B5E"/>
    <w:rsid w:val="009D5F65"/>
    <w:rsid w:val="009D7419"/>
    <w:rsid w:val="009E09AB"/>
    <w:rsid w:val="00A016A3"/>
    <w:rsid w:val="00A05476"/>
    <w:rsid w:val="00A209C3"/>
    <w:rsid w:val="00A2341A"/>
    <w:rsid w:val="00A50B13"/>
    <w:rsid w:val="00A554F5"/>
    <w:rsid w:val="00A57A5A"/>
    <w:rsid w:val="00A606F4"/>
    <w:rsid w:val="00A60B47"/>
    <w:rsid w:val="00A6219C"/>
    <w:rsid w:val="00A70751"/>
    <w:rsid w:val="00A71142"/>
    <w:rsid w:val="00A8500E"/>
    <w:rsid w:val="00AA3C6F"/>
    <w:rsid w:val="00AA735F"/>
    <w:rsid w:val="00AA785F"/>
    <w:rsid w:val="00AA7EED"/>
    <w:rsid w:val="00AC027D"/>
    <w:rsid w:val="00AE52B4"/>
    <w:rsid w:val="00AE6A95"/>
    <w:rsid w:val="00AF13D9"/>
    <w:rsid w:val="00AF646D"/>
    <w:rsid w:val="00B00849"/>
    <w:rsid w:val="00B00B2F"/>
    <w:rsid w:val="00B03AAF"/>
    <w:rsid w:val="00B1376A"/>
    <w:rsid w:val="00B142EF"/>
    <w:rsid w:val="00B15455"/>
    <w:rsid w:val="00B178F4"/>
    <w:rsid w:val="00B30DAB"/>
    <w:rsid w:val="00B31C5F"/>
    <w:rsid w:val="00B343D4"/>
    <w:rsid w:val="00B3527E"/>
    <w:rsid w:val="00B366B4"/>
    <w:rsid w:val="00B43643"/>
    <w:rsid w:val="00B46394"/>
    <w:rsid w:val="00B65903"/>
    <w:rsid w:val="00B65C2F"/>
    <w:rsid w:val="00B903F3"/>
    <w:rsid w:val="00B9057A"/>
    <w:rsid w:val="00B95A4F"/>
    <w:rsid w:val="00BA0F29"/>
    <w:rsid w:val="00BB0E3A"/>
    <w:rsid w:val="00BD0B6C"/>
    <w:rsid w:val="00BE242B"/>
    <w:rsid w:val="00BE5B79"/>
    <w:rsid w:val="00BE7432"/>
    <w:rsid w:val="00C00C49"/>
    <w:rsid w:val="00C0319B"/>
    <w:rsid w:val="00C13F7B"/>
    <w:rsid w:val="00C20494"/>
    <w:rsid w:val="00C24969"/>
    <w:rsid w:val="00C25278"/>
    <w:rsid w:val="00C277E6"/>
    <w:rsid w:val="00C40501"/>
    <w:rsid w:val="00C53FD5"/>
    <w:rsid w:val="00C557CA"/>
    <w:rsid w:val="00C62C97"/>
    <w:rsid w:val="00C64D05"/>
    <w:rsid w:val="00C653ED"/>
    <w:rsid w:val="00C6633D"/>
    <w:rsid w:val="00C74185"/>
    <w:rsid w:val="00C74B4D"/>
    <w:rsid w:val="00C756B0"/>
    <w:rsid w:val="00C800DE"/>
    <w:rsid w:val="00C8459C"/>
    <w:rsid w:val="00C85FBD"/>
    <w:rsid w:val="00C96211"/>
    <w:rsid w:val="00CA0037"/>
    <w:rsid w:val="00CA03F0"/>
    <w:rsid w:val="00CA180A"/>
    <w:rsid w:val="00CA4097"/>
    <w:rsid w:val="00CA6694"/>
    <w:rsid w:val="00CC0EC8"/>
    <w:rsid w:val="00CC1569"/>
    <w:rsid w:val="00CC3149"/>
    <w:rsid w:val="00CC3540"/>
    <w:rsid w:val="00CC358B"/>
    <w:rsid w:val="00CC3882"/>
    <w:rsid w:val="00CD4C4E"/>
    <w:rsid w:val="00CF6468"/>
    <w:rsid w:val="00D05E7C"/>
    <w:rsid w:val="00D1313C"/>
    <w:rsid w:val="00D15E97"/>
    <w:rsid w:val="00D35760"/>
    <w:rsid w:val="00D42A0C"/>
    <w:rsid w:val="00D459F1"/>
    <w:rsid w:val="00D51F3E"/>
    <w:rsid w:val="00D54665"/>
    <w:rsid w:val="00D54F75"/>
    <w:rsid w:val="00D64220"/>
    <w:rsid w:val="00D7607A"/>
    <w:rsid w:val="00D8146B"/>
    <w:rsid w:val="00D820EE"/>
    <w:rsid w:val="00D83AB0"/>
    <w:rsid w:val="00D932A3"/>
    <w:rsid w:val="00DA509F"/>
    <w:rsid w:val="00DA7ED7"/>
    <w:rsid w:val="00DB38C6"/>
    <w:rsid w:val="00DB6374"/>
    <w:rsid w:val="00DC420C"/>
    <w:rsid w:val="00DD2977"/>
    <w:rsid w:val="00DD7D93"/>
    <w:rsid w:val="00DE0CB0"/>
    <w:rsid w:val="00DE31EE"/>
    <w:rsid w:val="00DF175C"/>
    <w:rsid w:val="00DF5A8F"/>
    <w:rsid w:val="00E02600"/>
    <w:rsid w:val="00E02CA0"/>
    <w:rsid w:val="00E050B7"/>
    <w:rsid w:val="00E1755F"/>
    <w:rsid w:val="00E17FB8"/>
    <w:rsid w:val="00E24066"/>
    <w:rsid w:val="00E255C1"/>
    <w:rsid w:val="00E324E5"/>
    <w:rsid w:val="00E36134"/>
    <w:rsid w:val="00E425D6"/>
    <w:rsid w:val="00E56FCD"/>
    <w:rsid w:val="00E73844"/>
    <w:rsid w:val="00E771BA"/>
    <w:rsid w:val="00E77CFA"/>
    <w:rsid w:val="00E83EF5"/>
    <w:rsid w:val="00E85843"/>
    <w:rsid w:val="00E94C34"/>
    <w:rsid w:val="00E97A4F"/>
    <w:rsid w:val="00EA2285"/>
    <w:rsid w:val="00EB56D9"/>
    <w:rsid w:val="00EE28E6"/>
    <w:rsid w:val="00EE37CF"/>
    <w:rsid w:val="00EE3AFA"/>
    <w:rsid w:val="00EF3DE9"/>
    <w:rsid w:val="00EF7E2C"/>
    <w:rsid w:val="00F10DCF"/>
    <w:rsid w:val="00F175F0"/>
    <w:rsid w:val="00F20A6A"/>
    <w:rsid w:val="00F235F0"/>
    <w:rsid w:val="00F23EFE"/>
    <w:rsid w:val="00F23FF9"/>
    <w:rsid w:val="00F374C3"/>
    <w:rsid w:val="00F454D5"/>
    <w:rsid w:val="00F5461E"/>
    <w:rsid w:val="00F56B83"/>
    <w:rsid w:val="00F72D62"/>
    <w:rsid w:val="00F73143"/>
    <w:rsid w:val="00F73D31"/>
    <w:rsid w:val="00F8441D"/>
    <w:rsid w:val="00F84918"/>
    <w:rsid w:val="00F852D1"/>
    <w:rsid w:val="00F96A32"/>
    <w:rsid w:val="00F976FC"/>
    <w:rsid w:val="00FA560A"/>
    <w:rsid w:val="00FB647C"/>
    <w:rsid w:val="00FB6DF2"/>
    <w:rsid w:val="00FC52BB"/>
    <w:rsid w:val="00FD0DD0"/>
    <w:rsid w:val="00FD3FA8"/>
    <w:rsid w:val="00FE7215"/>
    <w:rsid w:val="00FE74F5"/>
    <w:rsid w:val="00FE7A1B"/>
    <w:rsid w:val="00FE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3BC53CA"/>
  <w15:chartTrackingRefBased/>
  <w15:docId w15:val="{FEE040C5-9726-4CCA-B7C9-4EBE0EA7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02"/>
  </w:style>
  <w:style w:type="paragraph" w:styleId="Heading1">
    <w:name w:val="heading 1"/>
    <w:basedOn w:val="Normal"/>
    <w:next w:val="Normal"/>
    <w:link w:val="Heading1Char"/>
    <w:uiPriority w:val="9"/>
    <w:qFormat/>
    <w:rsid w:val="00B178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78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C4B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42A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3F6C"/>
    <w:pPr>
      <w:keepNext/>
      <w:keepLines/>
      <w:spacing w:before="80" w:after="40"/>
      <w:outlineLvl w:val="4"/>
    </w:pPr>
    <w:rPr>
      <w:rFonts w:eastAsiaTheme="majorEastAsia"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23F6C"/>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23F6C"/>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23F6C"/>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23F6C"/>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9F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29FE"/>
    <w:pPr>
      <w:ind w:left="720"/>
      <w:contextualSpacing/>
    </w:pPr>
  </w:style>
  <w:style w:type="table" w:styleId="TableGrid">
    <w:name w:val="Table Grid"/>
    <w:basedOn w:val="TableNormal"/>
    <w:uiPriority w:val="39"/>
    <w:rsid w:val="00CC1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7BF0"/>
    <w:rPr>
      <w:color w:val="0563C1" w:themeColor="hyperlink"/>
      <w:u w:val="single"/>
    </w:rPr>
  </w:style>
  <w:style w:type="character" w:styleId="UnresolvedMention">
    <w:name w:val="Unresolved Mention"/>
    <w:basedOn w:val="DefaultParagraphFont"/>
    <w:uiPriority w:val="99"/>
    <w:semiHidden/>
    <w:unhideWhenUsed/>
    <w:rsid w:val="004C7BF0"/>
    <w:rPr>
      <w:color w:val="605E5C"/>
      <w:shd w:val="clear" w:color="auto" w:fill="E1DFDD"/>
    </w:rPr>
  </w:style>
  <w:style w:type="character" w:styleId="FollowedHyperlink">
    <w:name w:val="FollowedHyperlink"/>
    <w:basedOn w:val="DefaultParagraphFont"/>
    <w:uiPriority w:val="99"/>
    <w:semiHidden/>
    <w:unhideWhenUsed/>
    <w:rsid w:val="004C7BF0"/>
    <w:rPr>
      <w:color w:val="954F72" w:themeColor="followedHyperlink"/>
      <w:u w:val="single"/>
    </w:rPr>
  </w:style>
  <w:style w:type="character" w:customStyle="1" w:styleId="mord">
    <w:name w:val="mord"/>
    <w:basedOn w:val="DefaultParagraphFont"/>
    <w:rsid w:val="00A209C3"/>
  </w:style>
  <w:style w:type="character" w:customStyle="1" w:styleId="vlist-s">
    <w:name w:val="vlist-s"/>
    <w:basedOn w:val="DefaultParagraphFont"/>
    <w:rsid w:val="00A209C3"/>
  </w:style>
  <w:style w:type="character" w:customStyle="1" w:styleId="mrel">
    <w:name w:val="mrel"/>
    <w:basedOn w:val="DefaultParagraphFont"/>
    <w:rsid w:val="00A209C3"/>
  </w:style>
  <w:style w:type="character" w:customStyle="1" w:styleId="mopen">
    <w:name w:val="mopen"/>
    <w:basedOn w:val="DefaultParagraphFont"/>
    <w:rsid w:val="00A209C3"/>
  </w:style>
  <w:style w:type="character" w:customStyle="1" w:styleId="mop">
    <w:name w:val="mop"/>
    <w:basedOn w:val="DefaultParagraphFont"/>
    <w:rsid w:val="00A209C3"/>
  </w:style>
  <w:style w:type="character" w:customStyle="1" w:styleId="mclose">
    <w:name w:val="mclose"/>
    <w:basedOn w:val="DefaultParagraphFont"/>
    <w:rsid w:val="00A209C3"/>
  </w:style>
  <w:style w:type="paragraph" w:styleId="Header">
    <w:name w:val="header"/>
    <w:basedOn w:val="Normal"/>
    <w:link w:val="HeaderChar"/>
    <w:uiPriority w:val="99"/>
    <w:unhideWhenUsed/>
    <w:rsid w:val="00777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775"/>
  </w:style>
  <w:style w:type="paragraph" w:styleId="Footer">
    <w:name w:val="footer"/>
    <w:basedOn w:val="Normal"/>
    <w:link w:val="FooterChar"/>
    <w:uiPriority w:val="99"/>
    <w:unhideWhenUsed/>
    <w:rsid w:val="00777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775"/>
  </w:style>
  <w:style w:type="table" w:styleId="GridTable4-Accent4">
    <w:name w:val="Grid Table 4 Accent 4"/>
    <w:basedOn w:val="TableNormal"/>
    <w:uiPriority w:val="49"/>
    <w:rsid w:val="00130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B905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033A5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2">
    <w:name w:val="Grid Table 4 Accent 2"/>
    <w:basedOn w:val="TableNormal"/>
    <w:uiPriority w:val="49"/>
    <w:rsid w:val="00CC314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CC314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6">
    <w:name w:val="List Table 4 Accent 6"/>
    <w:basedOn w:val="TableNormal"/>
    <w:uiPriority w:val="49"/>
    <w:rsid w:val="00CC31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D51F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242F6D"/>
    <w:pPr>
      <w:spacing w:after="0" w:line="240" w:lineRule="auto"/>
    </w:pPr>
    <w:rPr>
      <w:color w:val="44546A" w:themeColor="text2"/>
      <w:sz w:val="20"/>
      <w:szCs w:val="20"/>
    </w:rPr>
  </w:style>
  <w:style w:type="character" w:customStyle="1" w:styleId="Heading3Char">
    <w:name w:val="Heading 3 Char"/>
    <w:basedOn w:val="DefaultParagraphFont"/>
    <w:link w:val="Heading3"/>
    <w:uiPriority w:val="9"/>
    <w:rsid w:val="004C4B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B178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78F4"/>
    <w:rPr>
      <w:rFonts w:asciiTheme="majorHAnsi" w:eastAsiaTheme="majorEastAsia" w:hAnsiTheme="majorHAnsi" w:cstheme="majorBidi"/>
      <w:color w:val="2F5496" w:themeColor="accent1" w:themeShade="BF"/>
      <w:sz w:val="26"/>
      <w:szCs w:val="26"/>
    </w:rPr>
  </w:style>
  <w:style w:type="table" w:styleId="ListTable2-Accent5">
    <w:name w:val="List Table 2 Accent 5"/>
    <w:basedOn w:val="TableNormal"/>
    <w:uiPriority w:val="47"/>
    <w:rsid w:val="00B178F4"/>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D42A0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E0CB0"/>
    <w:pPr>
      <w:outlineLvl w:val="9"/>
    </w:pPr>
  </w:style>
  <w:style w:type="paragraph" w:styleId="TOC1">
    <w:name w:val="toc 1"/>
    <w:basedOn w:val="Normal"/>
    <w:next w:val="Normal"/>
    <w:autoRedefine/>
    <w:uiPriority w:val="39"/>
    <w:unhideWhenUsed/>
    <w:rsid w:val="00DE0CB0"/>
    <w:pPr>
      <w:spacing w:after="100"/>
    </w:pPr>
  </w:style>
  <w:style w:type="paragraph" w:styleId="TOC2">
    <w:name w:val="toc 2"/>
    <w:basedOn w:val="Normal"/>
    <w:next w:val="Normal"/>
    <w:autoRedefine/>
    <w:uiPriority w:val="39"/>
    <w:unhideWhenUsed/>
    <w:rsid w:val="00DE0CB0"/>
    <w:pPr>
      <w:spacing w:after="100"/>
      <w:ind w:left="220"/>
    </w:pPr>
  </w:style>
  <w:style w:type="paragraph" w:styleId="TOC3">
    <w:name w:val="toc 3"/>
    <w:basedOn w:val="Normal"/>
    <w:next w:val="Normal"/>
    <w:autoRedefine/>
    <w:uiPriority w:val="39"/>
    <w:unhideWhenUsed/>
    <w:rsid w:val="00DE0CB0"/>
    <w:pPr>
      <w:spacing w:after="100"/>
      <w:ind w:left="440"/>
    </w:pPr>
  </w:style>
  <w:style w:type="paragraph" w:styleId="Caption">
    <w:name w:val="caption"/>
    <w:basedOn w:val="Normal"/>
    <w:next w:val="Normal"/>
    <w:uiPriority w:val="35"/>
    <w:unhideWhenUsed/>
    <w:qFormat/>
    <w:rsid w:val="009329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29D9"/>
    <w:pPr>
      <w:spacing w:after="0"/>
    </w:pPr>
  </w:style>
  <w:style w:type="table" w:styleId="TableGridLight">
    <w:name w:val="Grid Table Light"/>
    <w:basedOn w:val="TableNormal"/>
    <w:uiPriority w:val="40"/>
    <w:rsid w:val="001F5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1A3677"/>
    <w:rPr>
      <w:b/>
      <w:bCs/>
    </w:rPr>
  </w:style>
  <w:style w:type="character" w:customStyle="1" w:styleId="Heading5Char">
    <w:name w:val="Heading 5 Char"/>
    <w:basedOn w:val="DefaultParagraphFont"/>
    <w:link w:val="Heading5"/>
    <w:uiPriority w:val="9"/>
    <w:semiHidden/>
    <w:rsid w:val="00923F6C"/>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923F6C"/>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923F6C"/>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923F6C"/>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923F6C"/>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923F6C"/>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23F6C"/>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923F6C"/>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23F6C"/>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923F6C"/>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923F6C"/>
    <w:rPr>
      <w:i/>
      <w:iCs/>
      <w:color w:val="404040" w:themeColor="text1" w:themeTint="BF"/>
      <w:kern w:val="2"/>
      <w14:ligatures w14:val="standardContextual"/>
    </w:rPr>
  </w:style>
  <w:style w:type="character" w:styleId="IntenseEmphasis">
    <w:name w:val="Intense Emphasis"/>
    <w:basedOn w:val="DefaultParagraphFont"/>
    <w:uiPriority w:val="21"/>
    <w:qFormat/>
    <w:rsid w:val="00923F6C"/>
    <w:rPr>
      <w:i/>
      <w:iCs/>
      <w:color w:val="2F5496" w:themeColor="accent1" w:themeShade="BF"/>
    </w:rPr>
  </w:style>
  <w:style w:type="paragraph" w:styleId="IntenseQuote">
    <w:name w:val="Intense Quote"/>
    <w:basedOn w:val="Normal"/>
    <w:next w:val="Normal"/>
    <w:link w:val="IntenseQuoteChar"/>
    <w:uiPriority w:val="30"/>
    <w:qFormat/>
    <w:rsid w:val="00923F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923F6C"/>
    <w:rPr>
      <w:i/>
      <w:iCs/>
      <w:color w:val="2F5496" w:themeColor="accent1" w:themeShade="BF"/>
      <w:kern w:val="2"/>
      <w14:ligatures w14:val="standardContextual"/>
    </w:rPr>
  </w:style>
  <w:style w:type="character" w:styleId="IntenseReference">
    <w:name w:val="Intense Reference"/>
    <w:basedOn w:val="DefaultParagraphFont"/>
    <w:uiPriority w:val="32"/>
    <w:qFormat/>
    <w:rsid w:val="00923F6C"/>
    <w:rPr>
      <w:b/>
      <w:bCs/>
      <w:smallCaps/>
      <w:color w:val="2F5496" w:themeColor="accent1" w:themeShade="BF"/>
      <w:spacing w:val="5"/>
    </w:rPr>
  </w:style>
  <w:style w:type="table" w:styleId="ListTable4-Accent5">
    <w:name w:val="List Table 4 Accent 5"/>
    <w:basedOn w:val="TableNormal"/>
    <w:uiPriority w:val="49"/>
    <w:rsid w:val="00923F6C"/>
    <w:pPr>
      <w:spacing w:after="0" w:line="240" w:lineRule="auto"/>
    </w:pPr>
    <w:rPr>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923F6C"/>
    <w:pPr>
      <w:spacing w:after="0" w:line="240" w:lineRule="auto"/>
    </w:pPr>
    <w:rPr>
      <w:kern w:val="2"/>
      <w14:ligatures w14:val="standardContextual"/>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23F6C"/>
    <w:pPr>
      <w:spacing w:after="0" w:line="240" w:lineRule="auto"/>
    </w:pPr>
    <w:rPr>
      <w:kern w:val="2"/>
      <w14:ligatures w14:val="standardContextual"/>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23F6C"/>
    <w:pPr>
      <w:spacing w:after="0" w:line="240" w:lineRule="auto"/>
    </w:pPr>
    <w:rPr>
      <w:kern w:val="2"/>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23F6C"/>
    <w:pPr>
      <w:spacing w:after="0" w:line="240" w:lineRule="auto"/>
    </w:pPr>
    <w:rPr>
      <w:kern w:val="2"/>
      <w14:ligatures w14:val="standardContextual"/>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23F6C"/>
    <w:pPr>
      <w:spacing w:after="0" w:line="240" w:lineRule="auto"/>
    </w:pPr>
    <w:rPr>
      <w:kern w:val="2"/>
      <w14:ligatures w14:val="standardContextual"/>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rl">
    <w:name w:val="url"/>
    <w:basedOn w:val="DefaultParagraphFont"/>
    <w:rsid w:val="00923F6C"/>
  </w:style>
  <w:style w:type="character" w:styleId="PlaceholderText">
    <w:name w:val="Placeholder Text"/>
    <w:basedOn w:val="DefaultParagraphFont"/>
    <w:uiPriority w:val="99"/>
    <w:semiHidden/>
    <w:rsid w:val="00923F6C"/>
    <w:rPr>
      <w:color w:val="666666"/>
    </w:rPr>
  </w:style>
  <w:style w:type="table" w:customStyle="1" w:styleId="Style1">
    <w:name w:val="Style1"/>
    <w:basedOn w:val="TableNormal"/>
    <w:uiPriority w:val="99"/>
    <w:rsid w:val="00265EA6"/>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907631">
      <w:bodyDiv w:val="1"/>
      <w:marLeft w:val="0"/>
      <w:marRight w:val="0"/>
      <w:marTop w:val="0"/>
      <w:marBottom w:val="0"/>
      <w:divBdr>
        <w:top w:val="none" w:sz="0" w:space="0" w:color="auto"/>
        <w:left w:val="none" w:sz="0" w:space="0" w:color="auto"/>
        <w:bottom w:val="none" w:sz="0" w:space="0" w:color="auto"/>
        <w:right w:val="none" w:sz="0" w:space="0" w:color="auto"/>
      </w:divBdr>
    </w:div>
    <w:div w:id="1036007310">
      <w:bodyDiv w:val="1"/>
      <w:marLeft w:val="0"/>
      <w:marRight w:val="0"/>
      <w:marTop w:val="0"/>
      <w:marBottom w:val="0"/>
      <w:divBdr>
        <w:top w:val="none" w:sz="0" w:space="0" w:color="auto"/>
        <w:left w:val="none" w:sz="0" w:space="0" w:color="auto"/>
        <w:bottom w:val="none" w:sz="0" w:space="0" w:color="auto"/>
        <w:right w:val="none" w:sz="0" w:space="0" w:color="auto"/>
      </w:divBdr>
      <w:divsChild>
        <w:div w:id="1987471556">
          <w:marLeft w:val="-720"/>
          <w:marRight w:val="0"/>
          <w:marTop w:val="0"/>
          <w:marBottom w:val="0"/>
          <w:divBdr>
            <w:top w:val="none" w:sz="0" w:space="0" w:color="auto"/>
            <w:left w:val="none" w:sz="0" w:space="0" w:color="auto"/>
            <w:bottom w:val="none" w:sz="0" w:space="0" w:color="auto"/>
            <w:right w:val="none" w:sz="0" w:space="0" w:color="auto"/>
          </w:divBdr>
        </w:div>
      </w:divsChild>
    </w:div>
    <w:div w:id="1570339447">
      <w:bodyDiv w:val="1"/>
      <w:marLeft w:val="0"/>
      <w:marRight w:val="0"/>
      <w:marTop w:val="0"/>
      <w:marBottom w:val="0"/>
      <w:divBdr>
        <w:top w:val="none" w:sz="0" w:space="0" w:color="auto"/>
        <w:left w:val="none" w:sz="0" w:space="0" w:color="auto"/>
        <w:bottom w:val="none" w:sz="0" w:space="0" w:color="auto"/>
        <w:right w:val="none" w:sz="0" w:space="0" w:color="auto"/>
      </w:divBdr>
    </w:div>
    <w:div w:id="168678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hyperlink" Target="https://www.investopedia.com/ask/answers/121814/what-good-gearing-ratio.asp"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12.xml"/><Relationship Id="rId34" Type="http://schemas.openxmlformats.org/officeDocument/2006/relationships/hyperlink" Target="https://itsconstruction.co.uk/resources/blog/the-construction-industry-in-2024-what-can-we-expect/" TargetMode="External"/><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hyperlink" Target="https://www.ft.com/stream/a7dbba36-2846-4005-8169-1fad7840b846" TargetMode="External"/><Relationship Id="rId33" Type="http://schemas.openxmlformats.org/officeDocument/2006/relationships/hyperlink" Target="https://itsconstruction.co.uk/resources/blog/whats-driving-growth-in-the-uk-housebuilding-marke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hyperlink" Target="https://www.frc.org.uk/document-library/corporate-governance/2018/uk-corporate-governance-code-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yperlink" Target="https://www.ft.com/stream/1f4d3644-8aef-4381-86af-b35b1d13f6be" TargetMode="External"/><Relationship Id="rId32" Type="http://schemas.openxmlformats.org/officeDocument/2006/relationships/hyperlink" Target="https://www.planradar.com/gb/uk-housebuilders-key-challenges-and-opportunities/"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hyperlink" Target="https://www.chas.co.uk/blog/3-challenges-facing-the-uk-construction-industry-in-2024/" TargetMode="External"/><Relationship Id="rId36" Type="http://schemas.openxmlformats.org/officeDocument/2006/relationships/hyperlink" Target="https://www.investopedia.com/terms/h/horizontalanalysis.asp" TargetMode="Externa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hyperlink" Target="https://www.futurelearn.com/info/courses/financial-analysis-for-business-decisions-intro-data-analysis-tools-sc/0/steps/314851"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hyperlink" Target="https://www.accountingtools.com/articles/the-difference-between-vertical-analysis-and-horizontal-analysis" TargetMode="External"/><Relationship Id="rId30" Type="http://schemas.openxmlformats.org/officeDocument/2006/relationships/hyperlink" Target="https://www.wallstreetmojo.com/vertical-analysis-formula/" TargetMode="External"/><Relationship Id="rId35" Type="http://schemas.openxmlformats.org/officeDocument/2006/relationships/hyperlink" Target="https://www.researchprospect.com/corporate-finance-report-on-barratt-developments-pl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The%20Berkeley%20Group%20Holdings%20PLC/Trend%20Analysis%20BERK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liveplymouthac-my.sharepoint.com/personal/daniel_adeleke_postgrad_plymouth_ac_uk/Documents/ACF7004%20-%20Analysis%20of%20Financial%20statement/Coursework/Barratt%20Development%20PLC/Trend%20Analysi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 DEVELOPMENT PLC</a:t>
            </a:r>
          </a:p>
          <a:p>
            <a:pPr>
              <a:defRPr/>
            </a:pPr>
            <a:r>
              <a:rPr lang="en-US" b="0">
                <a:solidFill>
                  <a:schemeClr val="tx1"/>
                </a:solidFill>
              </a:rPr>
              <a:t>Liquidity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Analysis.xlsx]Document'!$A$45</c:f>
              <c:strCache>
                <c:ptCount val="1"/>
                <c:pt idx="0">
                  <c:v>Current ratio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Analysis.xlsx]Document'!$B$44:$F$44</c:f>
              <c:numCache>
                <c:formatCode>General</c:formatCode>
                <c:ptCount val="5"/>
                <c:pt idx="0">
                  <c:v>2023</c:v>
                </c:pt>
                <c:pt idx="1">
                  <c:v>2022</c:v>
                </c:pt>
                <c:pt idx="2">
                  <c:v>2021</c:v>
                </c:pt>
                <c:pt idx="3">
                  <c:v>2020</c:v>
                </c:pt>
                <c:pt idx="4">
                  <c:v>2019</c:v>
                </c:pt>
              </c:numCache>
            </c:numRef>
          </c:cat>
          <c:val>
            <c:numRef>
              <c:f>'[Trend Analysis.xlsx]Document'!$B$45:$F$45</c:f>
              <c:numCache>
                <c:formatCode>0.0</c:formatCode>
                <c:ptCount val="5"/>
                <c:pt idx="0">
                  <c:v>4.6217331499312246</c:v>
                </c:pt>
                <c:pt idx="1">
                  <c:v>4.0345433255269318</c:v>
                </c:pt>
                <c:pt idx="2">
                  <c:v>4.2691790040376851</c:v>
                </c:pt>
                <c:pt idx="3">
                  <c:v>3.9113233287858118</c:v>
                </c:pt>
                <c:pt idx="4">
                  <c:v>3.316353887399464</c:v>
                </c:pt>
              </c:numCache>
            </c:numRef>
          </c:val>
          <c:smooth val="0"/>
          <c:extLst>
            <c:ext xmlns:c16="http://schemas.microsoft.com/office/drawing/2014/chart" uri="{C3380CC4-5D6E-409C-BE32-E72D297353CC}">
              <c16:uniqueId val="{00000000-A077-445E-8368-52F809828CA8}"/>
            </c:ext>
          </c:extLst>
        </c:ser>
        <c:ser>
          <c:idx val="1"/>
          <c:order val="1"/>
          <c:tx>
            <c:strRef>
              <c:f>'[Trend Analysis.xlsx]Document'!$A$46</c:f>
              <c:strCache>
                <c:ptCount val="1"/>
                <c:pt idx="0">
                  <c:v>Quick ratio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Analysis.xlsx]Document'!$B$44:$F$44</c:f>
              <c:numCache>
                <c:formatCode>General</c:formatCode>
                <c:ptCount val="5"/>
                <c:pt idx="0">
                  <c:v>2023</c:v>
                </c:pt>
                <c:pt idx="1">
                  <c:v>2022</c:v>
                </c:pt>
                <c:pt idx="2">
                  <c:v>2021</c:v>
                </c:pt>
                <c:pt idx="3">
                  <c:v>2020</c:v>
                </c:pt>
                <c:pt idx="4">
                  <c:v>2019</c:v>
                </c:pt>
              </c:numCache>
            </c:numRef>
          </c:cat>
          <c:val>
            <c:numRef>
              <c:f>'[Trend Analysis.xlsx]Document'!$B$46:$F$46</c:f>
              <c:numCache>
                <c:formatCode>0.0</c:formatCode>
                <c:ptCount val="5"/>
                <c:pt idx="0">
                  <c:v>1.0192572214580469</c:v>
                </c:pt>
                <c:pt idx="1">
                  <c:v>0.93618266978922715</c:v>
                </c:pt>
                <c:pt idx="2">
                  <c:v>1.142664872139973</c:v>
                </c:pt>
                <c:pt idx="3">
                  <c:v>0.48158253751705321</c:v>
                </c:pt>
                <c:pt idx="4">
                  <c:v>0.72975871313672924</c:v>
                </c:pt>
              </c:numCache>
            </c:numRef>
          </c:val>
          <c:smooth val="0"/>
          <c:extLst>
            <c:ext xmlns:c16="http://schemas.microsoft.com/office/drawing/2014/chart" uri="{C3380CC4-5D6E-409C-BE32-E72D297353CC}">
              <c16:uniqueId val="{00000001-A077-445E-8368-52F809828CA8}"/>
            </c:ext>
          </c:extLst>
        </c:ser>
        <c:ser>
          <c:idx val="2"/>
          <c:order val="2"/>
          <c:tx>
            <c:strRef>
              <c:f>'[Trend Analysis.xlsx]Document'!$A$47</c:f>
              <c:strCache>
                <c:ptCount val="1"/>
                <c:pt idx="0">
                  <c:v>Cashflow liquidity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Analysis.xlsx]Document'!$B$44:$F$44</c:f>
              <c:numCache>
                <c:formatCode>General</c:formatCode>
                <c:ptCount val="5"/>
                <c:pt idx="0">
                  <c:v>2023</c:v>
                </c:pt>
                <c:pt idx="1">
                  <c:v>2022</c:v>
                </c:pt>
                <c:pt idx="2">
                  <c:v>2021</c:v>
                </c:pt>
                <c:pt idx="3">
                  <c:v>2020</c:v>
                </c:pt>
                <c:pt idx="4">
                  <c:v>2019</c:v>
                </c:pt>
              </c:numCache>
            </c:numRef>
          </c:cat>
          <c:val>
            <c:numRef>
              <c:f>'[Trend Analysis.xlsx]Document'!$B$47:$F$47</c:f>
              <c:numCache>
                <c:formatCode>0.0</c:formatCode>
                <c:ptCount val="5"/>
                <c:pt idx="0">
                  <c:v>0.32049518569463548</c:v>
                </c:pt>
                <c:pt idx="1">
                  <c:v>0.24473067915690866</c:v>
                </c:pt>
                <c:pt idx="2">
                  <c:v>0.72812920592193808</c:v>
                </c:pt>
                <c:pt idx="3">
                  <c:v>-8.2537517053206E-2</c:v>
                </c:pt>
                <c:pt idx="4">
                  <c:v>0.1935656836461126</c:v>
                </c:pt>
              </c:numCache>
            </c:numRef>
          </c:val>
          <c:smooth val="0"/>
          <c:extLst>
            <c:ext xmlns:c16="http://schemas.microsoft.com/office/drawing/2014/chart" uri="{C3380CC4-5D6E-409C-BE32-E72D297353CC}">
              <c16:uniqueId val="{00000002-A077-445E-8368-52F809828CA8}"/>
            </c:ext>
          </c:extLst>
        </c:ser>
        <c:dLbls>
          <c:showLegendKey val="0"/>
          <c:showVal val="0"/>
          <c:showCatName val="0"/>
          <c:showSerName val="0"/>
          <c:showPercent val="0"/>
          <c:showBubbleSize val="0"/>
        </c:dLbls>
        <c:marker val="1"/>
        <c:smooth val="0"/>
        <c:axId val="423041520"/>
        <c:axId val="767873456"/>
      </c:lineChart>
      <c:catAx>
        <c:axId val="42304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873456"/>
        <c:crosses val="autoZero"/>
        <c:auto val="1"/>
        <c:lblAlgn val="ctr"/>
        <c:lblOffset val="100"/>
        <c:noMultiLvlLbl val="0"/>
      </c:catAx>
      <c:valAx>
        <c:axId val="7678734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041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BERKELEY GROUP HOLDINGS PLC</a:t>
            </a:r>
          </a:p>
          <a:p>
            <a:pPr>
              <a:defRPr/>
            </a:pPr>
            <a:r>
              <a:rPr lang="en-US" b="0" baseline="0">
                <a:solidFill>
                  <a:schemeClr val="tx1"/>
                </a:solidFill>
              </a:rPr>
              <a:t>Trend Analysis of the Income Statement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 BERKE.xlsx]Document'!$A$17</c:f>
              <c:strCache>
                <c:ptCount val="1"/>
                <c:pt idx="0">
                  <c:v>Total revenue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BERKE.xlsx]Document'!$B$16:$F$16</c:f>
              <c:numCache>
                <c:formatCode>General</c:formatCode>
                <c:ptCount val="5"/>
                <c:pt idx="0">
                  <c:v>2023</c:v>
                </c:pt>
                <c:pt idx="1">
                  <c:v>2022</c:v>
                </c:pt>
                <c:pt idx="2">
                  <c:v>2021</c:v>
                </c:pt>
                <c:pt idx="3">
                  <c:v>2020</c:v>
                </c:pt>
                <c:pt idx="4">
                  <c:v>2019</c:v>
                </c:pt>
              </c:numCache>
            </c:numRef>
          </c:cat>
          <c:val>
            <c:numRef>
              <c:f>'[Trend Analysis BERKE.xlsx]Document'!$B$17:$F$17</c:f>
              <c:numCache>
                <c:formatCode>0%</c:formatCode>
                <c:ptCount val="5"/>
                <c:pt idx="0">
                  <c:v>0.86236050050727087</c:v>
                </c:pt>
                <c:pt idx="1">
                  <c:v>0.7940480216435577</c:v>
                </c:pt>
                <c:pt idx="2">
                  <c:v>0.74467365573216093</c:v>
                </c:pt>
                <c:pt idx="3">
                  <c:v>0.64930672979370985</c:v>
                </c:pt>
                <c:pt idx="4">
                  <c:v>1</c:v>
                </c:pt>
              </c:numCache>
            </c:numRef>
          </c:val>
          <c:smooth val="0"/>
          <c:extLst>
            <c:ext xmlns:c16="http://schemas.microsoft.com/office/drawing/2014/chart" uri="{C3380CC4-5D6E-409C-BE32-E72D297353CC}">
              <c16:uniqueId val="{00000000-B30D-4F8A-A057-DEC8115E3213}"/>
            </c:ext>
          </c:extLst>
        </c:ser>
        <c:ser>
          <c:idx val="1"/>
          <c:order val="1"/>
          <c:tx>
            <c:strRef>
              <c:f>'[Trend Analysis BERKE.xlsx]Document'!$A$18</c:f>
              <c:strCache>
                <c:ptCount val="1"/>
                <c:pt idx="0">
                  <c:v>Cost of revenue total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BERKE.xlsx]Document'!$B$16:$F$16</c:f>
              <c:numCache>
                <c:formatCode>General</c:formatCode>
                <c:ptCount val="5"/>
                <c:pt idx="0">
                  <c:v>2023</c:v>
                </c:pt>
                <c:pt idx="1">
                  <c:v>2022</c:v>
                </c:pt>
                <c:pt idx="2">
                  <c:v>2021</c:v>
                </c:pt>
                <c:pt idx="3">
                  <c:v>2020</c:v>
                </c:pt>
                <c:pt idx="4">
                  <c:v>2019</c:v>
                </c:pt>
              </c:numCache>
            </c:numRef>
          </c:cat>
          <c:val>
            <c:numRef>
              <c:f>'[Trend Analysis BERKE.xlsx]Document'!$B$18:$F$18</c:f>
              <c:numCache>
                <c:formatCode>0%</c:formatCode>
                <c:ptCount val="5"/>
                <c:pt idx="0">
                  <c:v>0.91235844411619893</c:v>
                </c:pt>
                <c:pt idx="1">
                  <c:v>0.82865583456425407</c:v>
                </c:pt>
                <c:pt idx="2">
                  <c:v>0.77154111275233872</c:v>
                </c:pt>
                <c:pt idx="3">
                  <c:v>0.63170851797144267</c:v>
                </c:pt>
                <c:pt idx="4">
                  <c:v>1</c:v>
                </c:pt>
              </c:numCache>
            </c:numRef>
          </c:val>
          <c:smooth val="0"/>
          <c:extLst>
            <c:ext xmlns:c16="http://schemas.microsoft.com/office/drawing/2014/chart" uri="{C3380CC4-5D6E-409C-BE32-E72D297353CC}">
              <c16:uniqueId val="{00000001-B30D-4F8A-A057-DEC8115E3213}"/>
            </c:ext>
          </c:extLst>
        </c:ser>
        <c:ser>
          <c:idx val="2"/>
          <c:order val="2"/>
          <c:tx>
            <c:strRef>
              <c:f>'[Trend Analysis BERKE.xlsx]Document'!$A$19</c:f>
              <c:strCache>
                <c:ptCount val="1"/>
                <c:pt idx="0">
                  <c:v>Gross 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BERKE.xlsx]Document'!$B$16:$F$16</c:f>
              <c:numCache>
                <c:formatCode>General</c:formatCode>
                <c:ptCount val="5"/>
                <c:pt idx="0">
                  <c:v>2023</c:v>
                </c:pt>
                <c:pt idx="1">
                  <c:v>2022</c:v>
                </c:pt>
                <c:pt idx="2">
                  <c:v>2021</c:v>
                </c:pt>
                <c:pt idx="3">
                  <c:v>2020</c:v>
                </c:pt>
                <c:pt idx="4">
                  <c:v>2019</c:v>
                </c:pt>
              </c:numCache>
            </c:numRef>
          </c:cat>
          <c:val>
            <c:numRef>
              <c:f>'[Trend Analysis BERKE.xlsx]Document'!$B$19:$F$19</c:f>
              <c:numCache>
                <c:formatCode>0%</c:formatCode>
                <c:ptCount val="5"/>
                <c:pt idx="0">
                  <c:v>0.75269978401727866</c:v>
                </c:pt>
                <c:pt idx="1">
                  <c:v>0.71814254859611226</c:v>
                </c:pt>
                <c:pt idx="2">
                  <c:v>0.68574514038876888</c:v>
                </c:pt>
                <c:pt idx="3">
                  <c:v>0.68790496760259179</c:v>
                </c:pt>
                <c:pt idx="4">
                  <c:v>1</c:v>
                </c:pt>
              </c:numCache>
            </c:numRef>
          </c:val>
          <c:smooth val="0"/>
          <c:extLst>
            <c:ext xmlns:c16="http://schemas.microsoft.com/office/drawing/2014/chart" uri="{C3380CC4-5D6E-409C-BE32-E72D297353CC}">
              <c16:uniqueId val="{00000002-B30D-4F8A-A057-DEC8115E3213}"/>
            </c:ext>
          </c:extLst>
        </c:ser>
        <c:ser>
          <c:idx val="3"/>
          <c:order val="3"/>
          <c:tx>
            <c:strRef>
              <c:f>'[Trend Analysis BERKE.xlsx]Document'!$A$20</c:f>
              <c:strCache>
                <c:ptCount val="1"/>
                <c:pt idx="0">
                  <c:v>Total operating expense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 BERKE.xlsx]Document'!$B$16:$F$16</c:f>
              <c:numCache>
                <c:formatCode>General</c:formatCode>
                <c:ptCount val="5"/>
                <c:pt idx="0">
                  <c:v>2023</c:v>
                </c:pt>
                <c:pt idx="1">
                  <c:v>2022</c:v>
                </c:pt>
                <c:pt idx="2">
                  <c:v>2021</c:v>
                </c:pt>
                <c:pt idx="3">
                  <c:v>2020</c:v>
                </c:pt>
                <c:pt idx="4">
                  <c:v>2019</c:v>
                </c:pt>
              </c:numCache>
            </c:numRef>
          </c:cat>
          <c:val>
            <c:numRef>
              <c:f>'[Trend Analysis BERKE.xlsx]Document'!$B$20:$F$20</c:f>
              <c:numCache>
                <c:formatCode>0%</c:formatCode>
                <c:ptCount val="5"/>
                <c:pt idx="0">
                  <c:v>0.92827775239835542</c:v>
                </c:pt>
                <c:pt idx="1">
                  <c:v>0.84056646870717222</c:v>
                </c:pt>
                <c:pt idx="2">
                  <c:v>0.77661032434901778</c:v>
                </c:pt>
                <c:pt idx="3">
                  <c:v>0.66285975331201463</c:v>
                </c:pt>
                <c:pt idx="4">
                  <c:v>1</c:v>
                </c:pt>
              </c:numCache>
            </c:numRef>
          </c:val>
          <c:smooth val="0"/>
          <c:extLst>
            <c:ext xmlns:c16="http://schemas.microsoft.com/office/drawing/2014/chart" uri="{C3380CC4-5D6E-409C-BE32-E72D297353CC}">
              <c16:uniqueId val="{00000003-B30D-4F8A-A057-DEC8115E3213}"/>
            </c:ext>
          </c:extLst>
        </c:ser>
        <c:ser>
          <c:idx val="4"/>
          <c:order val="4"/>
          <c:tx>
            <c:strRef>
              <c:f>'[Trend Analysis BERKE.xlsx]Document'!$A$21</c:f>
              <c:strCache>
                <c:ptCount val="1"/>
                <c:pt idx="0">
                  <c:v>Net income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 BERKE.xlsx]Document'!$B$16:$F$16</c:f>
              <c:numCache>
                <c:formatCode>General</c:formatCode>
                <c:ptCount val="5"/>
                <c:pt idx="0">
                  <c:v>2023</c:v>
                </c:pt>
                <c:pt idx="1">
                  <c:v>2022</c:v>
                </c:pt>
                <c:pt idx="2">
                  <c:v>2021</c:v>
                </c:pt>
                <c:pt idx="3">
                  <c:v>2020</c:v>
                </c:pt>
                <c:pt idx="4">
                  <c:v>2019</c:v>
                </c:pt>
              </c:numCache>
            </c:numRef>
          </c:cat>
          <c:val>
            <c:numRef>
              <c:f>'[Trend Analysis BERKE.xlsx]Document'!$B$21:$F$21</c:f>
              <c:numCache>
                <c:formatCode>0%</c:formatCode>
                <c:ptCount val="5"/>
                <c:pt idx="0">
                  <c:v>0.74322169059011167</c:v>
                </c:pt>
                <c:pt idx="1">
                  <c:v>0.76874003189792661</c:v>
                </c:pt>
                <c:pt idx="2">
                  <c:v>0.67464114832535882</c:v>
                </c:pt>
                <c:pt idx="3">
                  <c:v>0.65390749601275922</c:v>
                </c:pt>
                <c:pt idx="4">
                  <c:v>1</c:v>
                </c:pt>
              </c:numCache>
            </c:numRef>
          </c:val>
          <c:smooth val="0"/>
          <c:extLst>
            <c:ext xmlns:c16="http://schemas.microsoft.com/office/drawing/2014/chart" uri="{C3380CC4-5D6E-409C-BE32-E72D297353CC}">
              <c16:uniqueId val="{00000004-B30D-4F8A-A057-DEC8115E3213}"/>
            </c:ext>
          </c:extLst>
        </c:ser>
        <c:dLbls>
          <c:showLegendKey val="0"/>
          <c:showVal val="0"/>
          <c:showCatName val="0"/>
          <c:showSerName val="0"/>
          <c:showPercent val="0"/>
          <c:showBubbleSize val="0"/>
        </c:dLbls>
        <c:marker val="1"/>
        <c:smooth val="0"/>
        <c:axId val="736275928"/>
        <c:axId val="736278088"/>
      </c:lineChart>
      <c:catAx>
        <c:axId val="73627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278088"/>
        <c:crosses val="autoZero"/>
        <c:auto val="1"/>
        <c:lblAlgn val="ctr"/>
        <c:lblOffset val="100"/>
        <c:noMultiLvlLbl val="0"/>
      </c:catAx>
      <c:valAx>
        <c:axId val="7362780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27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a:t>
            </a:r>
            <a:r>
              <a:rPr lang="en-US" b="1" baseline="0">
                <a:solidFill>
                  <a:schemeClr val="tx1"/>
                </a:solidFill>
              </a:rPr>
              <a:t> DEVELOPMENT GROUP</a:t>
            </a:r>
          </a:p>
          <a:p>
            <a:pPr>
              <a:defRPr/>
            </a:pPr>
            <a:r>
              <a:rPr lang="en-US" b="0" baseline="0">
                <a:solidFill>
                  <a:schemeClr val="tx1"/>
                </a:solidFill>
              </a:rPr>
              <a:t>Trend Analysis of the Balance Sheet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Analysis.xlsx]Document'!$A$24</c:f>
              <c:strCache>
                <c:ptCount val="1"/>
                <c:pt idx="0">
                  <c:v>Total assets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Analysis.xlsx]Document'!$B$23:$F$23</c:f>
              <c:numCache>
                <c:formatCode>General</c:formatCode>
                <c:ptCount val="5"/>
                <c:pt idx="0">
                  <c:v>2023</c:v>
                </c:pt>
                <c:pt idx="1">
                  <c:v>2022</c:v>
                </c:pt>
                <c:pt idx="2">
                  <c:v>2021</c:v>
                </c:pt>
                <c:pt idx="3">
                  <c:v>2020</c:v>
                </c:pt>
                <c:pt idx="4">
                  <c:v>2019</c:v>
                </c:pt>
              </c:numCache>
            </c:numRef>
          </c:cat>
          <c:val>
            <c:numRef>
              <c:f>'[Trend Analysis.xlsx]Document'!$B$24:$F$24</c:f>
              <c:numCache>
                <c:formatCode>0%</c:formatCode>
                <c:ptCount val="5"/>
                <c:pt idx="0">
                  <c:v>1.0867617107942973</c:v>
                </c:pt>
                <c:pt idx="1">
                  <c:v>1.114867617107943</c:v>
                </c:pt>
                <c:pt idx="2">
                  <c:v>1.0147997284453496</c:v>
                </c:pt>
                <c:pt idx="3">
                  <c:v>0.93197556008146643</c:v>
                </c:pt>
                <c:pt idx="4">
                  <c:v>1</c:v>
                </c:pt>
              </c:numCache>
            </c:numRef>
          </c:val>
          <c:smooth val="0"/>
          <c:extLst>
            <c:ext xmlns:c16="http://schemas.microsoft.com/office/drawing/2014/chart" uri="{C3380CC4-5D6E-409C-BE32-E72D297353CC}">
              <c16:uniqueId val="{00000000-544A-4652-B497-848D0E4A23A6}"/>
            </c:ext>
          </c:extLst>
        </c:ser>
        <c:ser>
          <c:idx val="1"/>
          <c:order val="1"/>
          <c:tx>
            <c:strRef>
              <c:f>'[Trend Analysis.xlsx]Document'!$A$25</c:f>
              <c:strCache>
                <c:ptCount val="1"/>
                <c:pt idx="0">
                  <c:v>Total liabilities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Analysis.xlsx]Document'!$B$23:$F$23</c:f>
              <c:numCache>
                <c:formatCode>General</c:formatCode>
                <c:ptCount val="5"/>
                <c:pt idx="0">
                  <c:v>2023</c:v>
                </c:pt>
                <c:pt idx="1">
                  <c:v>2022</c:v>
                </c:pt>
                <c:pt idx="2">
                  <c:v>2021</c:v>
                </c:pt>
                <c:pt idx="3">
                  <c:v>2020</c:v>
                </c:pt>
                <c:pt idx="4">
                  <c:v>2019</c:v>
                </c:pt>
              </c:numCache>
            </c:numRef>
          </c:cat>
          <c:val>
            <c:numRef>
              <c:f>'[Trend Analysis.xlsx]Document'!$B$25:$F$25</c:f>
              <c:numCache>
                <c:formatCode>0%</c:formatCode>
                <c:ptCount val="5"/>
                <c:pt idx="0">
                  <c:v>0.96204554534558528</c:v>
                </c:pt>
                <c:pt idx="1">
                  <c:v>1.0307630842988413</c:v>
                </c:pt>
                <c:pt idx="2">
                  <c:v>0.80823012385137838</c:v>
                </c:pt>
                <c:pt idx="3">
                  <c:v>0.80902916500199762</c:v>
                </c:pt>
                <c:pt idx="4">
                  <c:v>1</c:v>
                </c:pt>
              </c:numCache>
            </c:numRef>
          </c:val>
          <c:smooth val="0"/>
          <c:extLst>
            <c:ext xmlns:c16="http://schemas.microsoft.com/office/drawing/2014/chart" uri="{C3380CC4-5D6E-409C-BE32-E72D297353CC}">
              <c16:uniqueId val="{00000001-544A-4652-B497-848D0E4A23A6}"/>
            </c:ext>
          </c:extLst>
        </c:ser>
        <c:ser>
          <c:idx val="2"/>
          <c:order val="2"/>
          <c:tx>
            <c:strRef>
              <c:f>'[Trend Analysis.xlsx]Document'!$A$26</c:f>
              <c:strCache>
                <c:ptCount val="1"/>
                <c:pt idx="0">
                  <c:v>Total equity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Analysis.xlsx]Document'!$B$23:$F$23</c:f>
              <c:numCache>
                <c:formatCode>General</c:formatCode>
                <c:ptCount val="5"/>
                <c:pt idx="0">
                  <c:v>2023</c:v>
                </c:pt>
                <c:pt idx="1">
                  <c:v>2022</c:v>
                </c:pt>
                <c:pt idx="2">
                  <c:v>2021</c:v>
                </c:pt>
                <c:pt idx="3">
                  <c:v>2020</c:v>
                </c:pt>
                <c:pt idx="4">
                  <c:v>2019</c:v>
                </c:pt>
              </c:numCache>
            </c:numRef>
          </c:cat>
          <c:val>
            <c:numRef>
              <c:f>'[Trend Analysis.xlsx]Document'!$B$26:$F$26</c:f>
              <c:numCache>
                <c:formatCode>0%</c:formatCode>
                <c:ptCount val="5"/>
                <c:pt idx="0">
                  <c:v>1.1509666803784451</c:v>
                </c:pt>
                <c:pt idx="1">
                  <c:v>1.158165364047717</c:v>
                </c:pt>
                <c:pt idx="2">
                  <c:v>1.121143562320033</c:v>
                </c:pt>
                <c:pt idx="3">
                  <c:v>0.99526943644590704</c:v>
                </c:pt>
                <c:pt idx="4">
                  <c:v>1</c:v>
                </c:pt>
              </c:numCache>
            </c:numRef>
          </c:val>
          <c:smooth val="0"/>
          <c:extLst>
            <c:ext xmlns:c16="http://schemas.microsoft.com/office/drawing/2014/chart" uri="{C3380CC4-5D6E-409C-BE32-E72D297353CC}">
              <c16:uniqueId val="{00000002-544A-4652-B497-848D0E4A23A6}"/>
            </c:ext>
          </c:extLst>
        </c:ser>
        <c:dLbls>
          <c:showLegendKey val="0"/>
          <c:showVal val="0"/>
          <c:showCatName val="0"/>
          <c:showSerName val="0"/>
          <c:showPercent val="0"/>
          <c:showBubbleSize val="0"/>
        </c:dLbls>
        <c:marker val="1"/>
        <c:smooth val="0"/>
        <c:axId val="756819576"/>
        <c:axId val="756824256"/>
      </c:lineChart>
      <c:catAx>
        <c:axId val="75681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824256"/>
        <c:crosses val="autoZero"/>
        <c:auto val="1"/>
        <c:lblAlgn val="ctr"/>
        <c:lblOffset val="100"/>
        <c:noMultiLvlLbl val="0"/>
      </c:catAx>
      <c:valAx>
        <c:axId val="7568242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819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BERKELEY GROUP HOLDINGS PLC</a:t>
            </a:r>
          </a:p>
          <a:p>
            <a:pPr>
              <a:defRPr/>
            </a:pPr>
            <a:r>
              <a:rPr lang="en-US" b="0" baseline="0">
                <a:solidFill>
                  <a:schemeClr val="tx1"/>
                </a:solidFill>
              </a:rPr>
              <a:t>Trend Analysis of the Balance Sheet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 BERKE.xlsx]Document'!$A$24</c:f>
              <c:strCache>
                <c:ptCount val="1"/>
                <c:pt idx="0">
                  <c:v>Total assets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BERKE.xlsx]Document'!$B$23:$F$23</c:f>
              <c:numCache>
                <c:formatCode>General</c:formatCode>
                <c:ptCount val="5"/>
                <c:pt idx="0">
                  <c:v>2023</c:v>
                </c:pt>
                <c:pt idx="1">
                  <c:v>2022</c:v>
                </c:pt>
                <c:pt idx="2">
                  <c:v>2021</c:v>
                </c:pt>
                <c:pt idx="3">
                  <c:v>2020</c:v>
                </c:pt>
                <c:pt idx="4">
                  <c:v>2019</c:v>
                </c:pt>
              </c:numCache>
            </c:numRef>
          </c:cat>
          <c:val>
            <c:numRef>
              <c:f>'[Trend Analysis BERKE.xlsx]Document'!$B$24:$F$24</c:f>
              <c:numCache>
                <c:formatCode>0%</c:formatCode>
                <c:ptCount val="5"/>
                <c:pt idx="0">
                  <c:v>1.3892264074524099</c:v>
                </c:pt>
                <c:pt idx="1">
                  <c:v>1.3341433778857836</c:v>
                </c:pt>
                <c:pt idx="2">
                  <c:v>1.1243418388011341</c:v>
                </c:pt>
                <c:pt idx="3">
                  <c:v>1.1443904414742812</c:v>
                </c:pt>
                <c:pt idx="4">
                  <c:v>1</c:v>
                </c:pt>
              </c:numCache>
            </c:numRef>
          </c:val>
          <c:smooth val="0"/>
          <c:extLst>
            <c:ext xmlns:c16="http://schemas.microsoft.com/office/drawing/2014/chart" uri="{C3380CC4-5D6E-409C-BE32-E72D297353CC}">
              <c16:uniqueId val="{00000000-866E-4D45-8477-7660A7985582}"/>
            </c:ext>
          </c:extLst>
        </c:ser>
        <c:ser>
          <c:idx val="1"/>
          <c:order val="1"/>
          <c:tx>
            <c:strRef>
              <c:f>'[Trend Analysis BERKE.xlsx]Document'!$A$25</c:f>
              <c:strCache>
                <c:ptCount val="1"/>
                <c:pt idx="0">
                  <c:v>Total liabilities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BERKE.xlsx]Document'!$B$23:$F$23</c:f>
              <c:numCache>
                <c:formatCode>General</c:formatCode>
                <c:ptCount val="5"/>
                <c:pt idx="0">
                  <c:v>2023</c:v>
                </c:pt>
                <c:pt idx="1">
                  <c:v>2022</c:v>
                </c:pt>
                <c:pt idx="2">
                  <c:v>2021</c:v>
                </c:pt>
                <c:pt idx="3">
                  <c:v>2020</c:v>
                </c:pt>
                <c:pt idx="4">
                  <c:v>2019</c:v>
                </c:pt>
              </c:numCache>
            </c:numRef>
          </c:cat>
          <c:val>
            <c:numRef>
              <c:f>'[Trend Analysis BERKE.xlsx]Document'!$B$25:$F$25</c:f>
              <c:numCache>
                <c:formatCode>0%</c:formatCode>
                <c:ptCount val="5"/>
                <c:pt idx="0">
                  <c:v>1.7858227848101267</c:v>
                </c:pt>
                <c:pt idx="1">
                  <c:v>1.7478481012658227</c:v>
                </c:pt>
                <c:pt idx="2">
                  <c:v>1.2035443037974685</c:v>
                </c:pt>
                <c:pt idx="3">
                  <c:v>1.2906329113924051</c:v>
                </c:pt>
                <c:pt idx="4">
                  <c:v>1</c:v>
                </c:pt>
              </c:numCache>
            </c:numRef>
          </c:val>
          <c:smooth val="0"/>
          <c:extLst>
            <c:ext xmlns:c16="http://schemas.microsoft.com/office/drawing/2014/chart" uri="{C3380CC4-5D6E-409C-BE32-E72D297353CC}">
              <c16:uniqueId val="{00000001-866E-4D45-8477-7660A7985582}"/>
            </c:ext>
          </c:extLst>
        </c:ser>
        <c:ser>
          <c:idx val="2"/>
          <c:order val="2"/>
          <c:tx>
            <c:strRef>
              <c:f>'[Trend Analysis BERKE.xlsx]Document'!$A$26</c:f>
              <c:strCache>
                <c:ptCount val="1"/>
                <c:pt idx="0">
                  <c:v>Total equity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BERKE.xlsx]Document'!$B$23:$F$23</c:f>
              <c:numCache>
                <c:formatCode>General</c:formatCode>
                <c:ptCount val="5"/>
                <c:pt idx="0">
                  <c:v>2023</c:v>
                </c:pt>
                <c:pt idx="1">
                  <c:v>2022</c:v>
                </c:pt>
                <c:pt idx="2">
                  <c:v>2021</c:v>
                </c:pt>
                <c:pt idx="3">
                  <c:v>2020</c:v>
                </c:pt>
                <c:pt idx="4">
                  <c:v>2019</c:v>
                </c:pt>
              </c:numCache>
            </c:numRef>
          </c:cat>
          <c:val>
            <c:numRef>
              <c:f>'[Trend Analysis BERKE.xlsx]Document'!$B$26:$F$26</c:f>
              <c:numCache>
                <c:formatCode>0%</c:formatCode>
                <c:ptCount val="5"/>
                <c:pt idx="0">
                  <c:v>1.1245359433007087</c:v>
                </c:pt>
                <c:pt idx="1">
                  <c:v>1.0583867701653729</c:v>
                </c:pt>
                <c:pt idx="2">
                  <c:v>1.0715491056361794</c:v>
                </c:pt>
                <c:pt idx="3">
                  <c:v>1.04691191360108</c:v>
                </c:pt>
                <c:pt idx="4">
                  <c:v>1</c:v>
                </c:pt>
              </c:numCache>
            </c:numRef>
          </c:val>
          <c:smooth val="0"/>
          <c:extLst>
            <c:ext xmlns:c16="http://schemas.microsoft.com/office/drawing/2014/chart" uri="{C3380CC4-5D6E-409C-BE32-E72D297353CC}">
              <c16:uniqueId val="{00000002-866E-4D45-8477-7660A7985582}"/>
            </c:ext>
          </c:extLst>
        </c:ser>
        <c:dLbls>
          <c:showLegendKey val="0"/>
          <c:showVal val="0"/>
          <c:showCatName val="0"/>
          <c:showSerName val="0"/>
          <c:showPercent val="0"/>
          <c:showBubbleSize val="0"/>
        </c:dLbls>
        <c:marker val="1"/>
        <c:smooth val="0"/>
        <c:axId val="699181544"/>
        <c:axId val="699181904"/>
      </c:lineChart>
      <c:catAx>
        <c:axId val="699181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1904"/>
        <c:crosses val="autoZero"/>
        <c:auto val="1"/>
        <c:lblAlgn val="ctr"/>
        <c:lblOffset val="100"/>
        <c:noMultiLvlLbl val="0"/>
      </c:catAx>
      <c:valAx>
        <c:axId val="6991819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1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a:t>
            </a:r>
            <a:r>
              <a:rPr lang="en-US" b="1" baseline="0">
                <a:solidFill>
                  <a:schemeClr val="tx1"/>
                </a:solidFill>
              </a:rPr>
              <a:t> DEVELOPMENT PLC</a:t>
            </a:r>
          </a:p>
          <a:p>
            <a:pPr>
              <a:defRPr/>
            </a:pPr>
            <a:r>
              <a:rPr lang="en-US" b="0" baseline="0">
                <a:solidFill>
                  <a:schemeClr val="tx1"/>
                </a:solidFill>
              </a:rPr>
              <a:t>Trend Analysis of the Cash Flow Statement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Analysis.xlsx]Document'!$A$29</c:f>
              <c:strCache>
                <c:ptCount val="1"/>
                <c:pt idx="0">
                  <c:v>Total cash from operations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Analysis.xlsx]Document'!$B$28:$F$28</c:f>
              <c:numCache>
                <c:formatCode>General</c:formatCode>
                <c:ptCount val="5"/>
                <c:pt idx="0">
                  <c:v>2023</c:v>
                </c:pt>
                <c:pt idx="1">
                  <c:v>2022</c:v>
                </c:pt>
                <c:pt idx="2">
                  <c:v>2021</c:v>
                </c:pt>
                <c:pt idx="3">
                  <c:v>2020</c:v>
                </c:pt>
                <c:pt idx="4">
                  <c:v>2019</c:v>
                </c:pt>
              </c:numCache>
            </c:numRef>
          </c:cat>
          <c:val>
            <c:numRef>
              <c:f>'[Trend Analysis.xlsx]Document'!$B$29:$F$29</c:f>
              <c:numCache>
                <c:formatCode>0%</c:formatCode>
                <c:ptCount val="5"/>
                <c:pt idx="0">
                  <c:v>1.290858725761773</c:v>
                </c:pt>
                <c:pt idx="1">
                  <c:v>1.1578947368421053</c:v>
                </c:pt>
                <c:pt idx="2">
                  <c:v>2.9972299168975067</c:v>
                </c:pt>
                <c:pt idx="3">
                  <c:v>-0.33518005540166207</c:v>
                </c:pt>
                <c:pt idx="4">
                  <c:v>1</c:v>
                </c:pt>
              </c:numCache>
            </c:numRef>
          </c:val>
          <c:smooth val="0"/>
          <c:extLst>
            <c:ext xmlns:c16="http://schemas.microsoft.com/office/drawing/2014/chart" uri="{C3380CC4-5D6E-409C-BE32-E72D297353CC}">
              <c16:uniqueId val="{00000000-CDAA-408C-9F70-DF3B7A778E78}"/>
            </c:ext>
          </c:extLst>
        </c:ser>
        <c:ser>
          <c:idx val="1"/>
          <c:order val="1"/>
          <c:tx>
            <c:strRef>
              <c:f>'[Trend Analysis.xlsx]Document'!$A$30</c:f>
              <c:strCache>
                <c:ptCount val="1"/>
                <c:pt idx="0">
                  <c:v>Total cash from investing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Analysis.xlsx]Document'!$B$28:$F$28</c:f>
              <c:numCache>
                <c:formatCode>General</c:formatCode>
                <c:ptCount val="5"/>
                <c:pt idx="0">
                  <c:v>2023</c:v>
                </c:pt>
                <c:pt idx="1">
                  <c:v>2022</c:v>
                </c:pt>
                <c:pt idx="2">
                  <c:v>2021</c:v>
                </c:pt>
                <c:pt idx="3">
                  <c:v>2020</c:v>
                </c:pt>
                <c:pt idx="4">
                  <c:v>2019</c:v>
                </c:pt>
              </c:numCache>
            </c:numRef>
          </c:cat>
          <c:val>
            <c:numRef>
              <c:f>'[Trend Analysis.xlsx]Document'!$B$30:$F$30</c:f>
              <c:numCache>
                <c:formatCode>0%</c:formatCode>
                <c:ptCount val="5"/>
                <c:pt idx="0">
                  <c:v>0.67073170731707321</c:v>
                </c:pt>
                <c:pt idx="1">
                  <c:v>-2.7073170731707319</c:v>
                </c:pt>
                <c:pt idx="2">
                  <c:v>0.17073170731707318</c:v>
                </c:pt>
                <c:pt idx="3">
                  <c:v>0.74390243902439024</c:v>
                </c:pt>
                <c:pt idx="4">
                  <c:v>1</c:v>
                </c:pt>
              </c:numCache>
            </c:numRef>
          </c:val>
          <c:smooth val="0"/>
          <c:extLst>
            <c:ext xmlns:c16="http://schemas.microsoft.com/office/drawing/2014/chart" uri="{C3380CC4-5D6E-409C-BE32-E72D297353CC}">
              <c16:uniqueId val="{00000001-CDAA-408C-9F70-DF3B7A778E78}"/>
            </c:ext>
          </c:extLst>
        </c:ser>
        <c:ser>
          <c:idx val="2"/>
          <c:order val="2"/>
          <c:tx>
            <c:strRef>
              <c:f>'[Trend Analysis.xlsx]Document'!$A$31</c:f>
              <c:strCache>
                <c:ptCount val="1"/>
                <c:pt idx="0">
                  <c:v>Total cash from financing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Analysis.xlsx]Document'!$B$28:$F$28</c:f>
              <c:numCache>
                <c:formatCode>General</c:formatCode>
                <c:ptCount val="5"/>
                <c:pt idx="0">
                  <c:v>2023</c:v>
                </c:pt>
                <c:pt idx="1">
                  <c:v>2022</c:v>
                </c:pt>
                <c:pt idx="2">
                  <c:v>2021</c:v>
                </c:pt>
                <c:pt idx="3">
                  <c:v>2020</c:v>
                </c:pt>
                <c:pt idx="4">
                  <c:v>2019</c:v>
                </c:pt>
              </c:numCache>
            </c:numRef>
          </c:cat>
          <c:val>
            <c:numRef>
              <c:f>'[Trend Analysis.xlsx]Document'!$B$31:$F$31</c:f>
              <c:numCache>
                <c:formatCode>0%</c:formatCode>
                <c:ptCount val="5"/>
                <c:pt idx="0">
                  <c:v>1.2236024844720497</c:v>
                </c:pt>
                <c:pt idx="1">
                  <c:v>0.78260869565217395</c:v>
                </c:pt>
                <c:pt idx="2">
                  <c:v>0.40786749482401657</c:v>
                </c:pt>
                <c:pt idx="3">
                  <c:v>0.94409937888198758</c:v>
                </c:pt>
                <c:pt idx="4">
                  <c:v>1</c:v>
                </c:pt>
              </c:numCache>
            </c:numRef>
          </c:val>
          <c:smooth val="0"/>
          <c:extLst>
            <c:ext xmlns:c16="http://schemas.microsoft.com/office/drawing/2014/chart" uri="{C3380CC4-5D6E-409C-BE32-E72D297353CC}">
              <c16:uniqueId val="{00000002-CDAA-408C-9F70-DF3B7A778E78}"/>
            </c:ext>
          </c:extLst>
        </c:ser>
        <c:dLbls>
          <c:showLegendKey val="0"/>
          <c:showVal val="0"/>
          <c:showCatName val="0"/>
          <c:showSerName val="0"/>
          <c:showPercent val="0"/>
          <c:showBubbleSize val="0"/>
        </c:dLbls>
        <c:marker val="1"/>
        <c:smooth val="0"/>
        <c:axId val="749338192"/>
        <c:axId val="749336752"/>
      </c:lineChart>
      <c:catAx>
        <c:axId val="749338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336752"/>
        <c:crosses val="autoZero"/>
        <c:auto val="1"/>
        <c:lblAlgn val="ctr"/>
        <c:lblOffset val="100"/>
        <c:noMultiLvlLbl val="0"/>
      </c:catAx>
      <c:valAx>
        <c:axId val="7493367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33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BERKELEY GROUP HOLDINGS PLC</a:t>
            </a:r>
          </a:p>
          <a:p>
            <a:pPr>
              <a:defRPr/>
            </a:pPr>
            <a:r>
              <a:rPr lang="en-US" b="0">
                <a:solidFill>
                  <a:schemeClr val="tx1"/>
                </a:solidFill>
              </a:rPr>
              <a:t>Trend Analysis</a:t>
            </a:r>
            <a:r>
              <a:rPr lang="en-US" b="0" baseline="0">
                <a:solidFill>
                  <a:schemeClr val="tx1"/>
                </a:solidFill>
              </a:rPr>
              <a:t> of the Cah Flow Statement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 BERKE.xlsx]Document'!$A$29</c:f>
              <c:strCache>
                <c:ptCount val="1"/>
                <c:pt idx="0">
                  <c:v>Total cash from operations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BERKE.xlsx]Document'!$B$28:$F$28</c:f>
              <c:numCache>
                <c:formatCode>General</c:formatCode>
                <c:ptCount val="5"/>
                <c:pt idx="0">
                  <c:v>2023</c:v>
                </c:pt>
                <c:pt idx="1">
                  <c:v>2022</c:v>
                </c:pt>
                <c:pt idx="2">
                  <c:v>2021</c:v>
                </c:pt>
                <c:pt idx="3">
                  <c:v>2020</c:v>
                </c:pt>
                <c:pt idx="4">
                  <c:v>2019</c:v>
                </c:pt>
              </c:numCache>
            </c:numRef>
          </c:cat>
          <c:val>
            <c:numRef>
              <c:f>'[Trend Analysis BERKE.xlsx]Document'!$B$29:$F$29</c:f>
              <c:numCache>
                <c:formatCode>0%</c:formatCode>
                <c:ptCount val="5"/>
                <c:pt idx="0">
                  <c:v>0.5490196078431373</c:v>
                </c:pt>
                <c:pt idx="1">
                  <c:v>-0.21241830065359477</c:v>
                </c:pt>
                <c:pt idx="2">
                  <c:v>0.52941176470588236</c:v>
                </c:pt>
                <c:pt idx="3">
                  <c:v>0.50490196078431371</c:v>
                </c:pt>
                <c:pt idx="4">
                  <c:v>1</c:v>
                </c:pt>
              </c:numCache>
            </c:numRef>
          </c:val>
          <c:smooth val="0"/>
          <c:extLst>
            <c:ext xmlns:c16="http://schemas.microsoft.com/office/drawing/2014/chart" uri="{C3380CC4-5D6E-409C-BE32-E72D297353CC}">
              <c16:uniqueId val="{00000000-22AD-4F44-A998-507429AC59D0}"/>
            </c:ext>
          </c:extLst>
        </c:ser>
        <c:ser>
          <c:idx val="1"/>
          <c:order val="1"/>
          <c:tx>
            <c:strRef>
              <c:f>'[Trend Analysis BERKE.xlsx]Document'!$A$30</c:f>
              <c:strCache>
                <c:ptCount val="1"/>
                <c:pt idx="0">
                  <c:v>Total cash from investing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BERKE.xlsx]Document'!$B$28:$F$28</c:f>
              <c:numCache>
                <c:formatCode>General</c:formatCode>
                <c:ptCount val="5"/>
                <c:pt idx="0">
                  <c:v>2023</c:v>
                </c:pt>
                <c:pt idx="1">
                  <c:v>2022</c:v>
                </c:pt>
                <c:pt idx="2">
                  <c:v>2021</c:v>
                </c:pt>
                <c:pt idx="3">
                  <c:v>2020</c:v>
                </c:pt>
                <c:pt idx="4">
                  <c:v>2019</c:v>
                </c:pt>
              </c:numCache>
            </c:numRef>
          </c:cat>
          <c:val>
            <c:numRef>
              <c:f>'[Trend Analysis BERKE.xlsx]Document'!$B$30:$F$30</c:f>
              <c:numCache>
                <c:formatCode>0%</c:formatCode>
                <c:ptCount val="5"/>
                <c:pt idx="0">
                  <c:v>-0.84931506849315064</c:v>
                </c:pt>
                <c:pt idx="1">
                  <c:v>0.38356164383561642</c:v>
                </c:pt>
                <c:pt idx="2">
                  <c:v>-1.2328767123287671E-2</c:v>
                </c:pt>
                <c:pt idx="3">
                  <c:v>-1.8767123287671232</c:v>
                </c:pt>
                <c:pt idx="4">
                  <c:v>1</c:v>
                </c:pt>
              </c:numCache>
            </c:numRef>
          </c:val>
          <c:smooth val="0"/>
          <c:extLst>
            <c:ext xmlns:c16="http://schemas.microsoft.com/office/drawing/2014/chart" uri="{C3380CC4-5D6E-409C-BE32-E72D297353CC}">
              <c16:uniqueId val="{00000001-22AD-4F44-A998-507429AC59D0}"/>
            </c:ext>
          </c:extLst>
        </c:ser>
        <c:ser>
          <c:idx val="2"/>
          <c:order val="2"/>
          <c:tx>
            <c:strRef>
              <c:f>'[Trend Analysis BERKE.xlsx]Document'!$A$31</c:f>
              <c:strCache>
                <c:ptCount val="1"/>
                <c:pt idx="0">
                  <c:v>Total cash from financing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BERKE.xlsx]Document'!$B$28:$F$28</c:f>
              <c:numCache>
                <c:formatCode>General</c:formatCode>
                <c:ptCount val="5"/>
                <c:pt idx="0">
                  <c:v>2023</c:v>
                </c:pt>
                <c:pt idx="1">
                  <c:v>2022</c:v>
                </c:pt>
                <c:pt idx="2">
                  <c:v>2021</c:v>
                </c:pt>
                <c:pt idx="3">
                  <c:v>2020</c:v>
                </c:pt>
                <c:pt idx="4">
                  <c:v>2019</c:v>
                </c:pt>
              </c:numCache>
            </c:numRef>
          </c:cat>
          <c:val>
            <c:numRef>
              <c:f>'[Trend Analysis BERKE.xlsx]Document'!$B$31:$F$31</c:f>
              <c:numCache>
                <c:formatCode>0%</c:formatCode>
                <c:ptCount val="5"/>
                <c:pt idx="0">
                  <c:v>1.0199203187250996</c:v>
                </c:pt>
                <c:pt idx="1">
                  <c:v>1.3625498007968126</c:v>
                </c:pt>
                <c:pt idx="2">
                  <c:v>2.1354581673306772</c:v>
                </c:pt>
                <c:pt idx="3">
                  <c:v>0.32669322709163345</c:v>
                </c:pt>
                <c:pt idx="4">
                  <c:v>1</c:v>
                </c:pt>
              </c:numCache>
            </c:numRef>
          </c:val>
          <c:smooth val="0"/>
          <c:extLst>
            <c:ext xmlns:c16="http://schemas.microsoft.com/office/drawing/2014/chart" uri="{C3380CC4-5D6E-409C-BE32-E72D297353CC}">
              <c16:uniqueId val="{00000002-22AD-4F44-A998-507429AC59D0}"/>
            </c:ext>
          </c:extLst>
        </c:ser>
        <c:dLbls>
          <c:showLegendKey val="0"/>
          <c:showVal val="0"/>
          <c:showCatName val="0"/>
          <c:showSerName val="0"/>
          <c:showPercent val="0"/>
          <c:showBubbleSize val="0"/>
        </c:dLbls>
        <c:marker val="1"/>
        <c:smooth val="0"/>
        <c:axId val="725432624"/>
        <c:axId val="725432984"/>
      </c:lineChart>
      <c:catAx>
        <c:axId val="72543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432984"/>
        <c:crosses val="autoZero"/>
        <c:auto val="1"/>
        <c:lblAlgn val="ctr"/>
        <c:lblOffset val="100"/>
        <c:noMultiLvlLbl val="0"/>
      </c:catAx>
      <c:valAx>
        <c:axId val="7254329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43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BERKELEY</a:t>
            </a:r>
            <a:r>
              <a:rPr lang="en-US" b="1" baseline="0">
                <a:solidFill>
                  <a:schemeClr val="tx1"/>
                </a:solidFill>
              </a:rPr>
              <a:t> GROUP HOLDINGS PLC</a:t>
            </a:r>
          </a:p>
          <a:p>
            <a:pPr>
              <a:defRPr/>
            </a:pPr>
            <a:r>
              <a:rPr lang="en-US" b="0" baseline="0">
                <a:solidFill>
                  <a:schemeClr val="tx1"/>
                </a:solidFill>
              </a:rPr>
              <a:t>Liquidity Ratio</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 BERKE.xlsx]Document'!$A$45</c:f>
              <c:strCache>
                <c:ptCount val="1"/>
                <c:pt idx="0">
                  <c:v>Current ratio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BERKE.xlsx]Document'!$B$44:$F$44</c:f>
              <c:numCache>
                <c:formatCode>General</c:formatCode>
                <c:ptCount val="5"/>
                <c:pt idx="0">
                  <c:v>2023</c:v>
                </c:pt>
                <c:pt idx="1">
                  <c:v>2022</c:v>
                </c:pt>
                <c:pt idx="2">
                  <c:v>2021</c:v>
                </c:pt>
                <c:pt idx="3">
                  <c:v>2020</c:v>
                </c:pt>
                <c:pt idx="4">
                  <c:v>2019</c:v>
                </c:pt>
              </c:numCache>
            </c:numRef>
          </c:cat>
          <c:val>
            <c:numRef>
              <c:f>'[Trend Analysis BERKE.xlsx]Document'!$B$45:$F$45</c:f>
              <c:numCache>
                <c:formatCode>0.0</c:formatCode>
                <c:ptCount val="5"/>
                <c:pt idx="0">
                  <c:v>3.4278897136797499</c:v>
                </c:pt>
                <c:pt idx="1">
                  <c:v>3.1538071065989848</c:v>
                </c:pt>
                <c:pt idx="2">
                  <c:v>3.0701545778834722</c:v>
                </c:pt>
                <c:pt idx="3">
                  <c:v>2.7375259875259874</c:v>
                </c:pt>
                <c:pt idx="4">
                  <c:v>2.8304761904761904</c:v>
                </c:pt>
              </c:numCache>
            </c:numRef>
          </c:val>
          <c:smooth val="0"/>
          <c:extLst>
            <c:ext xmlns:c16="http://schemas.microsoft.com/office/drawing/2014/chart" uri="{C3380CC4-5D6E-409C-BE32-E72D297353CC}">
              <c16:uniqueId val="{00000000-575C-472A-968B-082BDCCFC1C1}"/>
            </c:ext>
          </c:extLst>
        </c:ser>
        <c:ser>
          <c:idx val="1"/>
          <c:order val="1"/>
          <c:tx>
            <c:strRef>
              <c:f>'[Trend Analysis BERKE.xlsx]Document'!$A$46</c:f>
              <c:strCache>
                <c:ptCount val="1"/>
                <c:pt idx="0">
                  <c:v>Quick ratio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BERKE.xlsx]Document'!$B$44:$F$44</c:f>
              <c:numCache>
                <c:formatCode>General</c:formatCode>
                <c:ptCount val="5"/>
                <c:pt idx="0">
                  <c:v>2023</c:v>
                </c:pt>
                <c:pt idx="1">
                  <c:v>2022</c:v>
                </c:pt>
                <c:pt idx="2">
                  <c:v>2021</c:v>
                </c:pt>
                <c:pt idx="3">
                  <c:v>2020</c:v>
                </c:pt>
                <c:pt idx="4">
                  <c:v>2019</c:v>
                </c:pt>
              </c:numCache>
            </c:numRef>
          </c:cat>
          <c:val>
            <c:numRef>
              <c:f>'[Trend Analysis BERKE.xlsx]Document'!$B$46:$F$46</c:f>
              <c:numCache>
                <c:formatCode>0.0</c:formatCode>
                <c:ptCount val="5"/>
                <c:pt idx="0">
                  <c:v>0.61664899257688233</c:v>
                </c:pt>
                <c:pt idx="1">
                  <c:v>0.54771573604060919</c:v>
                </c:pt>
                <c:pt idx="2">
                  <c:v>0.89833531510107012</c:v>
                </c:pt>
                <c:pt idx="3">
                  <c:v>0.88981288981288986</c:v>
                </c:pt>
                <c:pt idx="4">
                  <c:v>0.85269841269841273</c:v>
                </c:pt>
              </c:numCache>
            </c:numRef>
          </c:val>
          <c:smooth val="0"/>
          <c:extLst>
            <c:ext xmlns:c16="http://schemas.microsoft.com/office/drawing/2014/chart" uri="{C3380CC4-5D6E-409C-BE32-E72D297353CC}">
              <c16:uniqueId val="{00000001-575C-472A-968B-082BDCCFC1C1}"/>
            </c:ext>
          </c:extLst>
        </c:ser>
        <c:ser>
          <c:idx val="2"/>
          <c:order val="2"/>
          <c:tx>
            <c:strRef>
              <c:f>'[Trend Analysis BERKE.xlsx]Document'!$A$47</c:f>
              <c:strCache>
                <c:ptCount val="1"/>
                <c:pt idx="0">
                  <c:v>Cashflow liquidity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BERKE.xlsx]Document'!$B$44:$F$44</c:f>
              <c:numCache>
                <c:formatCode>General</c:formatCode>
                <c:ptCount val="5"/>
                <c:pt idx="0">
                  <c:v>2023</c:v>
                </c:pt>
                <c:pt idx="1">
                  <c:v>2022</c:v>
                </c:pt>
                <c:pt idx="2">
                  <c:v>2021</c:v>
                </c:pt>
                <c:pt idx="3">
                  <c:v>2020</c:v>
                </c:pt>
                <c:pt idx="4">
                  <c:v>2019</c:v>
                </c:pt>
              </c:numCache>
            </c:numRef>
          </c:cat>
          <c:val>
            <c:numRef>
              <c:f>'[Trend Analysis BERKE.xlsx]Document'!$B$47:$F$47</c:f>
              <c:numCache>
                <c:formatCode>0.0</c:formatCode>
                <c:ptCount val="5"/>
                <c:pt idx="0">
                  <c:v>0.17815482502651114</c:v>
                </c:pt>
                <c:pt idx="1">
                  <c:v>-6.5989847715736044E-2</c:v>
                </c:pt>
                <c:pt idx="2">
                  <c:v>0.19262782401902498</c:v>
                </c:pt>
                <c:pt idx="3">
                  <c:v>0.1606029106029106</c:v>
                </c:pt>
                <c:pt idx="4">
                  <c:v>0.38857142857142857</c:v>
                </c:pt>
              </c:numCache>
            </c:numRef>
          </c:val>
          <c:smooth val="0"/>
          <c:extLst>
            <c:ext xmlns:c16="http://schemas.microsoft.com/office/drawing/2014/chart" uri="{C3380CC4-5D6E-409C-BE32-E72D297353CC}">
              <c16:uniqueId val="{00000002-575C-472A-968B-082BDCCFC1C1}"/>
            </c:ext>
          </c:extLst>
        </c:ser>
        <c:dLbls>
          <c:showLegendKey val="0"/>
          <c:showVal val="0"/>
          <c:showCatName val="0"/>
          <c:showSerName val="0"/>
          <c:showPercent val="0"/>
          <c:showBubbleSize val="0"/>
        </c:dLbls>
        <c:marker val="1"/>
        <c:smooth val="0"/>
        <c:axId val="103583800"/>
        <c:axId val="699868440"/>
      </c:lineChart>
      <c:catAx>
        <c:axId val="103583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868440"/>
        <c:crosses val="autoZero"/>
        <c:auto val="1"/>
        <c:lblAlgn val="ctr"/>
        <c:lblOffset val="100"/>
        <c:noMultiLvlLbl val="0"/>
      </c:catAx>
      <c:valAx>
        <c:axId val="6998684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583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BARRATT DEVELOPMENT PLC</a:t>
            </a:r>
          </a:p>
          <a:p>
            <a:pPr>
              <a:defRPr/>
            </a:pPr>
            <a:r>
              <a:rPr lang="en-US" b="0" baseline="0">
                <a:solidFill>
                  <a:schemeClr val="tx1"/>
                </a:solidFill>
              </a:rPr>
              <a:t>Profitability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Analysis.xlsx]Document'!$A$35</c:f>
              <c:strCache>
                <c:ptCount val="1"/>
                <c:pt idx="0">
                  <c:v>GPM (Gross Profit Margin)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Analysis.xlsx]Document'!$B$35:$F$35</c:f>
              <c:numCache>
                <c:formatCode>0.0%</c:formatCode>
                <c:ptCount val="5"/>
                <c:pt idx="0">
                  <c:v>0.21236609659838376</c:v>
                </c:pt>
                <c:pt idx="1">
                  <c:v>0.24829157175398631</c:v>
                </c:pt>
                <c:pt idx="2">
                  <c:v>0.22215295095594345</c:v>
                </c:pt>
                <c:pt idx="3">
                  <c:v>0.21380520620064347</c:v>
                </c:pt>
                <c:pt idx="4">
                  <c:v>0.22821750997270629</c:v>
                </c:pt>
              </c:numCache>
            </c:numRef>
          </c:val>
          <c:smooth val="0"/>
          <c:extLst>
            <c:ext xmlns:c16="http://schemas.microsoft.com/office/drawing/2014/chart" uri="{C3380CC4-5D6E-409C-BE32-E72D297353CC}">
              <c16:uniqueId val="{00000000-BFDF-4125-9879-B3305B48B979}"/>
            </c:ext>
          </c:extLst>
        </c:ser>
        <c:ser>
          <c:idx val="1"/>
          <c:order val="1"/>
          <c:tx>
            <c:strRef>
              <c:f>'[Trend Analysis.xlsx]Document'!$A$36</c:f>
              <c:strCache>
                <c:ptCount val="1"/>
                <c:pt idx="0">
                  <c:v>OPM (Operating Profit Margin)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Analysis.xlsx]Document'!$B$36:$F$36</c:f>
              <c:numCache>
                <c:formatCode>0.0%</c:formatCode>
                <c:ptCount val="5"/>
                <c:pt idx="0">
                  <c:v>0.12854726555158805</c:v>
                </c:pt>
                <c:pt idx="1">
                  <c:v>0.12186788154897495</c:v>
                </c:pt>
                <c:pt idx="2">
                  <c:v>0.16874480465502908</c:v>
                </c:pt>
                <c:pt idx="3">
                  <c:v>0.14419420883299211</c:v>
                </c:pt>
                <c:pt idx="4">
                  <c:v>0.18874658828469451</c:v>
                </c:pt>
              </c:numCache>
            </c:numRef>
          </c:val>
          <c:smooth val="0"/>
          <c:extLst>
            <c:ext xmlns:c16="http://schemas.microsoft.com/office/drawing/2014/chart" uri="{C3380CC4-5D6E-409C-BE32-E72D297353CC}">
              <c16:uniqueId val="{00000001-BFDF-4125-9879-B3305B48B979}"/>
            </c:ext>
          </c:extLst>
        </c:ser>
        <c:ser>
          <c:idx val="2"/>
          <c:order val="2"/>
          <c:tx>
            <c:strRef>
              <c:f>'[Trend Analysis.xlsx]Document'!$A$37</c:f>
              <c:strCache>
                <c:ptCount val="1"/>
                <c:pt idx="0">
                  <c:v>NPM (Net Profit Margin)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Analysis.xlsx]Document'!$B$37:$F$37</c:f>
              <c:numCache>
                <c:formatCode>0.0%</c:formatCode>
                <c:ptCount val="5"/>
                <c:pt idx="0">
                  <c:v>9.960533734260478E-2</c:v>
                </c:pt>
                <c:pt idx="1">
                  <c:v>9.7760060744115418E-2</c:v>
                </c:pt>
                <c:pt idx="2">
                  <c:v>0.13715710723192021</c:v>
                </c:pt>
                <c:pt idx="3">
                  <c:v>0.11699327288680901</c:v>
                </c:pt>
                <c:pt idx="4">
                  <c:v>0.15536426621876967</c:v>
                </c:pt>
              </c:numCache>
            </c:numRef>
          </c:val>
          <c:smooth val="0"/>
          <c:extLst>
            <c:ext xmlns:c16="http://schemas.microsoft.com/office/drawing/2014/chart" uri="{C3380CC4-5D6E-409C-BE32-E72D297353CC}">
              <c16:uniqueId val="{00000002-BFDF-4125-9879-B3305B48B979}"/>
            </c:ext>
          </c:extLst>
        </c:ser>
        <c:ser>
          <c:idx val="3"/>
          <c:order val="3"/>
          <c:tx>
            <c:strRef>
              <c:f>'[Trend Analysis.xlsx]Document'!$A$38</c:f>
              <c:strCache>
                <c:ptCount val="1"/>
                <c:pt idx="0">
                  <c:v>ROCE (Return on Capital Employed)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Analysis.xlsx]Document'!$B$38:$F$38</c:f>
              <c:numCache>
                <c:formatCode>0.0%</c:formatCode>
                <c:ptCount val="5"/>
                <c:pt idx="0">
                  <c:v>0.10442748091603053</c:v>
                </c:pt>
                <c:pt idx="1">
                  <c:v>9.8723666000307547E-2</c:v>
                </c:pt>
                <c:pt idx="2">
                  <c:v>0.13560454241816966</c:v>
                </c:pt>
                <c:pt idx="3">
                  <c:v>9.1330122267506489E-2</c:v>
                </c:pt>
                <c:pt idx="4">
                  <c:v>0.16345454545454546</c:v>
                </c:pt>
              </c:numCache>
            </c:numRef>
          </c:val>
          <c:smooth val="0"/>
          <c:extLst>
            <c:ext xmlns:c16="http://schemas.microsoft.com/office/drawing/2014/chart" uri="{C3380CC4-5D6E-409C-BE32-E72D297353CC}">
              <c16:uniqueId val="{00000003-BFDF-4125-9879-B3305B48B979}"/>
            </c:ext>
          </c:extLst>
        </c:ser>
        <c:ser>
          <c:idx val="4"/>
          <c:order val="4"/>
          <c:tx>
            <c:strRef>
              <c:f>'[Trend Analysis.xlsx]Document'!$A$39</c:f>
              <c:strCache>
                <c:ptCount val="1"/>
                <c:pt idx="0">
                  <c:v>ROE (Return on Equity)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Analysis.xlsx]Document'!$B$39:$F$39</c:f>
              <c:numCache>
                <c:formatCode>0%</c:formatCode>
                <c:ptCount val="5"/>
                <c:pt idx="0">
                  <c:v>9.4710507505360975E-2</c:v>
                </c:pt>
                <c:pt idx="1">
                  <c:v>9.1458000355176705E-2</c:v>
                </c:pt>
                <c:pt idx="2">
                  <c:v>0.12107870115575124</c:v>
                </c:pt>
                <c:pt idx="3">
                  <c:v>8.2661706964248807E-2</c:v>
                </c:pt>
                <c:pt idx="4">
                  <c:v>0.15220074043603454</c:v>
                </c:pt>
              </c:numCache>
            </c:numRef>
          </c:val>
          <c:smooth val="0"/>
          <c:extLst>
            <c:ext xmlns:c16="http://schemas.microsoft.com/office/drawing/2014/chart" uri="{C3380CC4-5D6E-409C-BE32-E72D297353CC}">
              <c16:uniqueId val="{00000004-BFDF-4125-9879-B3305B48B979}"/>
            </c:ext>
          </c:extLst>
        </c:ser>
        <c:ser>
          <c:idx val="5"/>
          <c:order val="5"/>
          <c:tx>
            <c:strRef>
              <c:f>'[Trend Analysis.xlsx]Document'!$A$40</c:f>
              <c:strCache>
                <c:ptCount val="1"/>
                <c:pt idx="0">
                  <c:v>ROA (Return on Assets)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Analysis.xlsx]Document'!$B$40:$F$40</c:f>
              <c:numCache>
                <c:formatCode>0.0%</c:formatCode>
                <c:ptCount val="5"/>
                <c:pt idx="0">
                  <c:v>6.621689155422289E-2</c:v>
                </c:pt>
                <c:pt idx="1">
                  <c:v>6.272074047010108E-2</c:v>
                </c:pt>
                <c:pt idx="2">
                  <c:v>8.8306127910088308E-2</c:v>
                </c:pt>
                <c:pt idx="3">
                  <c:v>5.8275058275058272E-2</c:v>
                </c:pt>
                <c:pt idx="4">
                  <c:v>0.10047522063815342</c:v>
                </c:pt>
              </c:numCache>
            </c:numRef>
          </c:val>
          <c:smooth val="0"/>
          <c:extLst>
            <c:ext xmlns:c16="http://schemas.microsoft.com/office/drawing/2014/chart" uri="{C3380CC4-5D6E-409C-BE32-E72D297353CC}">
              <c16:uniqueId val="{00000005-BFDF-4125-9879-B3305B48B979}"/>
            </c:ext>
          </c:extLst>
        </c:ser>
        <c:ser>
          <c:idx val="6"/>
          <c:order val="6"/>
          <c:tx>
            <c:strRef>
              <c:f>'[Trend Analysis.xlsx]Document'!$A$41</c:f>
              <c:strCache>
                <c:ptCount val="1"/>
                <c:pt idx="0">
                  <c:v>Earnings Quality (CFO/Net Income)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'[Trend Analysis.xlsx]Document'!$B$34:$F$34</c:f>
              <c:numCache>
                <c:formatCode>General</c:formatCode>
                <c:ptCount val="5"/>
                <c:pt idx="0">
                  <c:v>2023</c:v>
                </c:pt>
                <c:pt idx="1">
                  <c:v>2022</c:v>
                </c:pt>
                <c:pt idx="2">
                  <c:v>2021</c:v>
                </c:pt>
                <c:pt idx="3">
                  <c:v>2020</c:v>
                </c:pt>
                <c:pt idx="4">
                  <c:v>2019</c:v>
                </c:pt>
              </c:numCache>
            </c:numRef>
          </c:cat>
          <c:val>
            <c:numRef>
              <c:f>'[Trend Analysis.xlsx]Document'!$B$41:$F$41</c:f>
              <c:numCache>
                <c:formatCode>0.0</c:formatCode>
                <c:ptCount val="5"/>
                <c:pt idx="0">
                  <c:v>0.87924528301886795</c:v>
                </c:pt>
                <c:pt idx="1">
                  <c:v>0.81165048543689322</c:v>
                </c:pt>
                <c:pt idx="2">
                  <c:v>1.6393939393939394</c:v>
                </c:pt>
                <c:pt idx="3">
                  <c:v>-0.30249999999999999</c:v>
                </c:pt>
                <c:pt idx="4">
                  <c:v>0.48783783783783785</c:v>
                </c:pt>
              </c:numCache>
            </c:numRef>
          </c:val>
          <c:smooth val="0"/>
          <c:extLst>
            <c:ext xmlns:c16="http://schemas.microsoft.com/office/drawing/2014/chart" uri="{C3380CC4-5D6E-409C-BE32-E72D297353CC}">
              <c16:uniqueId val="{00000006-BFDF-4125-9879-B3305B48B979}"/>
            </c:ext>
          </c:extLst>
        </c:ser>
        <c:dLbls>
          <c:showLegendKey val="0"/>
          <c:showVal val="0"/>
          <c:showCatName val="0"/>
          <c:showSerName val="0"/>
          <c:showPercent val="0"/>
          <c:showBubbleSize val="0"/>
        </c:dLbls>
        <c:marker val="1"/>
        <c:smooth val="0"/>
        <c:axId val="526241688"/>
        <c:axId val="526242408"/>
      </c:lineChart>
      <c:catAx>
        <c:axId val="52624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242408"/>
        <c:crosses val="autoZero"/>
        <c:auto val="1"/>
        <c:lblAlgn val="ctr"/>
        <c:lblOffset val="100"/>
        <c:noMultiLvlLbl val="0"/>
      </c:catAx>
      <c:valAx>
        <c:axId val="5262424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241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BERKELEY GROUP HOLDINGS PLC</a:t>
            </a:r>
          </a:p>
          <a:p>
            <a:pPr>
              <a:defRPr/>
            </a:pPr>
            <a:r>
              <a:rPr lang="en-US" b="0" baseline="0">
                <a:solidFill>
                  <a:schemeClr val="tx1"/>
                </a:solidFill>
              </a:rPr>
              <a:t>Profitability Ratio</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 BERKE.xlsx]Document'!$A$35</c:f>
              <c:strCache>
                <c:ptCount val="1"/>
                <c:pt idx="0">
                  <c:v>GPM (Gross Profit Margin)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BERKE.xlsx]Document'!$B$35:$F$35</c:f>
              <c:numCache>
                <c:formatCode>0.0%</c:formatCode>
                <c:ptCount val="5"/>
                <c:pt idx="0">
                  <c:v>0.27333333333333332</c:v>
                </c:pt>
                <c:pt idx="1">
                  <c:v>0.28321976149914818</c:v>
                </c:pt>
                <c:pt idx="2">
                  <c:v>0.28837420526793822</c:v>
                </c:pt>
                <c:pt idx="3">
                  <c:v>0.33177083333333335</c:v>
                </c:pt>
                <c:pt idx="4">
                  <c:v>0.31315522489009101</c:v>
                </c:pt>
              </c:numCache>
            </c:numRef>
          </c:val>
          <c:smooth val="0"/>
          <c:extLst>
            <c:ext xmlns:c16="http://schemas.microsoft.com/office/drawing/2014/chart" uri="{C3380CC4-5D6E-409C-BE32-E72D297353CC}">
              <c16:uniqueId val="{00000000-9441-4ABB-9296-05F25C295851}"/>
            </c:ext>
          </c:extLst>
        </c:ser>
        <c:ser>
          <c:idx val="1"/>
          <c:order val="1"/>
          <c:tx>
            <c:strRef>
              <c:f>'[Trend Analysis BERKE.xlsx]Document'!$A$36</c:f>
              <c:strCache>
                <c:ptCount val="1"/>
                <c:pt idx="0">
                  <c:v>OPM (Operating Profit Margin)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BERKE.xlsx]Document'!$B$36:$F$36</c:f>
              <c:numCache>
                <c:formatCode>0.0%</c:formatCode>
                <c:ptCount val="5"/>
                <c:pt idx="0">
                  <c:v>0.20313725490196077</c:v>
                </c:pt>
                <c:pt idx="1">
                  <c:v>0.21635434412265758</c:v>
                </c:pt>
                <c:pt idx="2">
                  <c:v>0.22797456857402362</c:v>
                </c:pt>
                <c:pt idx="3">
                  <c:v>0.24479166666666666</c:v>
                </c:pt>
                <c:pt idx="4">
                  <c:v>0.25972269191748393</c:v>
                </c:pt>
              </c:numCache>
            </c:numRef>
          </c:val>
          <c:smooth val="0"/>
          <c:extLst>
            <c:ext xmlns:c16="http://schemas.microsoft.com/office/drawing/2014/chart" uri="{C3380CC4-5D6E-409C-BE32-E72D297353CC}">
              <c16:uniqueId val="{00000001-9441-4ABB-9296-05F25C295851}"/>
            </c:ext>
          </c:extLst>
        </c:ser>
        <c:ser>
          <c:idx val="2"/>
          <c:order val="2"/>
          <c:tx>
            <c:strRef>
              <c:f>'[Trend Analysis BERKE.xlsx]Document'!$A$37</c:f>
              <c:strCache>
                <c:ptCount val="1"/>
                <c:pt idx="0">
                  <c:v>NPM (Net Profit Margin)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BERKE.xlsx]Document'!$B$37:$F$37</c:f>
              <c:numCache>
                <c:formatCode>0.0%</c:formatCode>
                <c:ptCount val="5"/>
                <c:pt idx="0">
                  <c:v>0.18274509803921568</c:v>
                </c:pt>
                <c:pt idx="1">
                  <c:v>0.20528109028960817</c:v>
                </c:pt>
                <c:pt idx="2">
                  <c:v>0.19209809264305178</c:v>
                </c:pt>
                <c:pt idx="3">
                  <c:v>0.21354166666666666</c:v>
                </c:pt>
                <c:pt idx="4">
                  <c:v>0.21203922894825836</c:v>
                </c:pt>
              </c:numCache>
            </c:numRef>
          </c:val>
          <c:smooth val="0"/>
          <c:extLst>
            <c:ext xmlns:c16="http://schemas.microsoft.com/office/drawing/2014/chart" uri="{C3380CC4-5D6E-409C-BE32-E72D297353CC}">
              <c16:uniqueId val="{00000002-9441-4ABB-9296-05F25C295851}"/>
            </c:ext>
          </c:extLst>
        </c:ser>
        <c:ser>
          <c:idx val="3"/>
          <c:order val="3"/>
          <c:tx>
            <c:strRef>
              <c:f>'[Trend Analysis BERKE.xlsx]Document'!$A$38</c:f>
              <c:strCache>
                <c:ptCount val="1"/>
                <c:pt idx="0">
                  <c:v>ROCE (Return on Capital Employed)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BERKE.xlsx]Document'!$B$38:$F$38</c:f>
              <c:numCache>
                <c:formatCode>0.0%</c:formatCode>
                <c:ptCount val="5"/>
                <c:pt idx="0">
                  <c:v>0.10414153598713309</c:v>
                </c:pt>
                <c:pt idx="1">
                  <c:v>0.11000433087916847</c:v>
                </c:pt>
                <c:pt idx="2">
                  <c:v>0.1297157622739018</c:v>
                </c:pt>
                <c:pt idx="3">
                  <c:v>0.12610678830158303</c:v>
                </c:pt>
                <c:pt idx="4">
                  <c:v>0.22836752899197146</c:v>
                </c:pt>
              </c:numCache>
            </c:numRef>
          </c:val>
          <c:smooth val="0"/>
          <c:extLst>
            <c:ext xmlns:c16="http://schemas.microsoft.com/office/drawing/2014/chart" uri="{C3380CC4-5D6E-409C-BE32-E72D297353CC}">
              <c16:uniqueId val="{00000003-9441-4ABB-9296-05F25C295851}"/>
            </c:ext>
          </c:extLst>
        </c:ser>
        <c:ser>
          <c:idx val="4"/>
          <c:order val="4"/>
          <c:tx>
            <c:strRef>
              <c:f>'[Trend Analysis BERKE.xlsx]Document'!$A$39</c:f>
              <c:strCache>
                <c:ptCount val="1"/>
                <c:pt idx="0">
                  <c:v>ROE (Return on Equity)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BERKE.xlsx]Document'!$B$39:$F$39</c:f>
              <c:numCache>
                <c:formatCode>0.0%</c:formatCode>
                <c:ptCount val="5"/>
                <c:pt idx="0">
                  <c:v>0.13985594237695079</c:v>
                </c:pt>
                <c:pt idx="1">
                  <c:v>0.15369897959183673</c:v>
                </c:pt>
                <c:pt idx="2">
                  <c:v>0.1332283464566929</c:v>
                </c:pt>
                <c:pt idx="3">
                  <c:v>0.13217279174725982</c:v>
                </c:pt>
                <c:pt idx="4">
                  <c:v>0.21160985487681405</c:v>
                </c:pt>
              </c:numCache>
            </c:numRef>
          </c:val>
          <c:smooth val="0"/>
          <c:extLst>
            <c:ext xmlns:c16="http://schemas.microsoft.com/office/drawing/2014/chart" uri="{C3380CC4-5D6E-409C-BE32-E72D297353CC}">
              <c16:uniqueId val="{00000004-9441-4ABB-9296-05F25C295851}"/>
            </c:ext>
          </c:extLst>
        </c:ser>
        <c:ser>
          <c:idx val="5"/>
          <c:order val="5"/>
          <c:tx>
            <c:strRef>
              <c:f>'[Trend Analysis BERKE.xlsx]Document'!$A$40</c:f>
              <c:strCache>
                <c:ptCount val="1"/>
                <c:pt idx="0">
                  <c:v>ROA (Return on Assets)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BERKE.xlsx]Document'!$B$40:$F$40</c:f>
              <c:numCache>
                <c:formatCode>0.0%</c:formatCode>
                <c:ptCount val="5"/>
                <c:pt idx="0">
                  <c:v>6.7930029154518956E-2</c:v>
                </c:pt>
                <c:pt idx="1">
                  <c:v>7.3163327261687922E-2</c:v>
                </c:pt>
                <c:pt idx="2">
                  <c:v>7.6188760806916431E-2</c:v>
                </c:pt>
                <c:pt idx="3">
                  <c:v>7.2553530348610867E-2</c:v>
                </c:pt>
                <c:pt idx="4">
                  <c:v>0.12697448359659783</c:v>
                </c:pt>
              </c:numCache>
            </c:numRef>
          </c:val>
          <c:smooth val="0"/>
          <c:extLst>
            <c:ext xmlns:c16="http://schemas.microsoft.com/office/drawing/2014/chart" uri="{C3380CC4-5D6E-409C-BE32-E72D297353CC}">
              <c16:uniqueId val="{00000005-9441-4ABB-9296-05F25C295851}"/>
            </c:ext>
          </c:extLst>
        </c:ser>
        <c:ser>
          <c:idx val="6"/>
          <c:order val="6"/>
          <c:tx>
            <c:strRef>
              <c:f>'[Trend Analysis BERKE.xlsx]Document'!$A$41</c:f>
              <c:strCache>
                <c:ptCount val="1"/>
                <c:pt idx="0">
                  <c:v>Earnings Quality (CFO/Net Income)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'[Trend Analysis BERKE.xlsx]Document'!$B$34:$F$34</c:f>
              <c:numCache>
                <c:formatCode>General</c:formatCode>
                <c:ptCount val="5"/>
                <c:pt idx="0">
                  <c:v>2023</c:v>
                </c:pt>
                <c:pt idx="1">
                  <c:v>2022</c:v>
                </c:pt>
                <c:pt idx="2">
                  <c:v>2021</c:v>
                </c:pt>
                <c:pt idx="3">
                  <c:v>2020</c:v>
                </c:pt>
                <c:pt idx="4">
                  <c:v>2019</c:v>
                </c:pt>
              </c:numCache>
            </c:numRef>
          </c:cat>
          <c:val>
            <c:numRef>
              <c:f>'[Trend Analysis BERKE.xlsx]Document'!$B$41:$F$41</c:f>
              <c:numCache>
                <c:formatCode>0.0%</c:formatCode>
                <c:ptCount val="5"/>
                <c:pt idx="0">
                  <c:v>0.72103004291845496</c:v>
                </c:pt>
                <c:pt idx="1">
                  <c:v>-0.26970954356846472</c:v>
                </c:pt>
                <c:pt idx="2">
                  <c:v>0.76595744680851063</c:v>
                </c:pt>
                <c:pt idx="3">
                  <c:v>0.75365853658536586</c:v>
                </c:pt>
                <c:pt idx="4">
                  <c:v>0.97607655502392343</c:v>
                </c:pt>
              </c:numCache>
            </c:numRef>
          </c:val>
          <c:smooth val="0"/>
          <c:extLst>
            <c:ext xmlns:c16="http://schemas.microsoft.com/office/drawing/2014/chart" uri="{C3380CC4-5D6E-409C-BE32-E72D297353CC}">
              <c16:uniqueId val="{00000006-9441-4ABB-9296-05F25C295851}"/>
            </c:ext>
          </c:extLst>
        </c:ser>
        <c:dLbls>
          <c:showLegendKey val="0"/>
          <c:showVal val="0"/>
          <c:showCatName val="0"/>
          <c:showSerName val="0"/>
          <c:showPercent val="0"/>
          <c:showBubbleSize val="0"/>
        </c:dLbls>
        <c:marker val="1"/>
        <c:smooth val="0"/>
        <c:axId val="701924384"/>
        <c:axId val="701924744"/>
      </c:lineChart>
      <c:catAx>
        <c:axId val="70192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924744"/>
        <c:crosses val="autoZero"/>
        <c:auto val="1"/>
        <c:lblAlgn val="ctr"/>
        <c:lblOffset val="100"/>
        <c:noMultiLvlLbl val="0"/>
      </c:catAx>
      <c:valAx>
        <c:axId val="70192474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92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 DEVELOPMENT PLC</a:t>
            </a:r>
          </a:p>
          <a:p>
            <a:pPr>
              <a:defRPr/>
            </a:pPr>
            <a:r>
              <a:rPr lang="en-US" b="0">
                <a:solidFill>
                  <a:schemeClr val="tx1"/>
                </a:solidFill>
              </a:rPr>
              <a:t>Gearing</a:t>
            </a:r>
            <a:r>
              <a:rPr lang="en-US" b="0" baseline="0">
                <a:solidFill>
                  <a:schemeClr val="tx1"/>
                </a:solidFill>
              </a:rPr>
              <a:t> Ratio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Analysis.xlsx]Document'!$A$51</c:f>
              <c:strCache>
                <c:ptCount val="1"/>
                <c:pt idx="0">
                  <c:v>Interest cover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Analysis.xlsx]Document'!$B$50:$F$50</c:f>
              <c:numCache>
                <c:formatCode>General</c:formatCode>
                <c:ptCount val="5"/>
                <c:pt idx="0">
                  <c:v>2023</c:v>
                </c:pt>
                <c:pt idx="1">
                  <c:v>2022</c:v>
                </c:pt>
                <c:pt idx="2">
                  <c:v>2021</c:v>
                </c:pt>
                <c:pt idx="3">
                  <c:v>2020</c:v>
                </c:pt>
                <c:pt idx="4">
                  <c:v>2019</c:v>
                </c:pt>
              </c:numCache>
            </c:numRef>
          </c:cat>
          <c:val>
            <c:numRef>
              <c:f>'[Trend Analysis.xlsx]Document'!$B$51:$F$51</c:f>
              <c:numCache>
                <c:formatCode>0.0</c:formatCode>
                <c:ptCount val="5"/>
                <c:pt idx="0">
                  <c:v>62.18181818181818</c:v>
                </c:pt>
                <c:pt idx="1">
                  <c:v>64.2</c:v>
                </c:pt>
                <c:pt idx="2">
                  <c:v>73.818181818181813</c:v>
                </c:pt>
                <c:pt idx="3">
                  <c:v>41.083333333333336</c:v>
                </c:pt>
                <c:pt idx="4">
                  <c:v>92.680412371134025</c:v>
                </c:pt>
              </c:numCache>
            </c:numRef>
          </c:val>
          <c:smooth val="0"/>
          <c:extLst>
            <c:ext xmlns:c16="http://schemas.microsoft.com/office/drawing/2014/chart" uri="{C3380CC4-5D6E-409C-BE32-E72D297353CC}">
              <c16:uniqueId val="{00000000-B3BF-46AC-A3D3-DEFA9D9DC1E9}"/>
            </c:ext>
          </c:extLst>
        </c:ser>
        <c:ser>
          <c:idx val="1"/>
          <c:order val="1"/>
          <c:tx>
            <c:strRef>
              <c:f>'[Trend Analysis.xlsx]Document'!$A$52</c:f>
              <c:strCache>
                <c:ptCount val="1"/>
                <c:pt idx="0">
                  <c:v>D/E ratio (LT debt)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Analysis.xlsx]Document'!$B$50:$F$50</c:f>
              <c:numCache>
                <c:formatCode>General</c:formatCode>
                <c:ptCount val="5"/>
                <c:pt idx="0">
                  <c:v>2023</c:v>
                </c:pt>
                <c:pt idx="1">
                  <c:v>2022</c:v>
                </c:pt>
                <c:pt idx="2">
                  <c:v>2021</c:v>
                </c:pt>
                <c:pt idx="3">
                  <c:v>2020</c:v>
                </c:pt>
                <c:pt idx="4">
                  <c:v>2019</c:v>
                </c:pt>
              </c:numCache>
            </c:numRef>
          </c:cat>
          <c:val>
            <c:numRef>
              <c:f>'[Trend Analysis.xlsx]Document'!$B$52:$F$52</c:f>
              <c:numCache>
                <c:formatCode>0.0</c:formatCode>
                <c:ptCount val="5"/>
                <c:pt idx="0">
                  <c:v>4.4674767691208005E-2</c:v>
                </c:pt>
                <c:pt idx="1">
                  <c:v>4.5107440951873558E-2</c:v>
                </c:pt>
                <c:pt idx="2">
                  <c:v>4.5129334067143645E-2</c:v>
                </c:pt>
                <c:pt idx="3">
                  <c:v>7.563546187228766E-2</c:v>
                </c:pt>
                <c:pt idx="4">
                  <c:v>7.7745783628136569E-2</c:v>
                </c:pt>
              </c:numCache>
            </c:numRef>
          </c:val>
          <c:smooth val="0"/>
          <c:extLst>
            <c:ext xmlns:c16="http://schemas.microsoft.com/office/drawing/2014/chart" uri="{C3380CC4-5D6E-409C-BE32-E72D297353CC}">
              <c16:uniqueId val="{00000001-B3BF-46AC-A3D3-DEFA9D9DC1E9}"/>
            </c:ext>
          </c:extLst>
        </c:ser>
        <c:ser>
          <c:idx val="2"/>
          <c:order val="2"/>
          <c:tx>
            <c:strRef>
              <c:f>'[Trend Analysis.xlsx]Document'!$A$53</c:f>
              <c:strCache>
                <c:ptCount val="1"/>
                <c:pt idx="0">
                  <c:v>Cashflow Ratio (CFO/Total Debt)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Analysis.xlsx]Document'!$B$50:$F$50</c:f>
              <c:numCache>
                <c:formatCode>General</c:formatCode>
                <c:ptCount val="5"/>
                <c:pt idx="0">
                  <c:v>2023</c:v>
                </c:pt>
                <c:pt idx="1">
                  <c:v>2022</c:v>
                </c:pt>
                <c:pt idx="2">
                  <c:v>2021</c:v>
                </c:pt>
                <c:pt idx="3">
                  <c:v>2020</c:v>
                </c:pt>
                <c:pt idx="4">
                  <c:v>2019</c:v>
                </c:pt>
              </c:numCache>
            </c:numRef>
          </c:cat>
          <c:val>
            <c:numRef>
              <c:f>'[Trend Analysis.xlsx]Document'!$B$53:$F$53</c:f>
              <c:numCache>
                <c:formatCode>0.0</c:formatCode>
                <c:ptCount val="5"/>
                <c:pt idx="0">
                  <c:v>0.19352159468438537</c:v>
                </c:pt>
                <c:pt idx="1">
                  <c:v>0.162015503875969</c:v>
                </c:pt>
                <c:pt idx="2">
                  <c:v>0.53484923381117155</c:v>
                </c:pt>
                <c:pt idx="3">
                  <c:v>-5.9753086419753083E-2</c:v>
                </c:pt>
                <c:pt idx="4">
                  <c:v>0.14422692768677586</c:v>
                </c:pt>
              </c:numCache>
            </c:numRef>
          </c:val>
          <c:smooth val="0"/>
          <c:extLst>
            <c:ext xmlns:c16="http://schemas.microsoft.com/office/drawing/2014/chart" uri="{C3380CC4-5D6E-409C-BE32-E72D297353CC}">
              <c16:uniqueId val="{00000002-B3BF-46AC-A3D3-DEFA9D9DC1E9}"/>
            </c:ext>
          </c:extLst>
        </c:ser>
        <c:ser>
          <c:idx val="3"/>
          <c:order val="3"/>
          <c:tx>
            <c:strRef>
              <c:f>'[Trend Analysis.xlsx]Document'!$A$54</c:f>
              <c:strCache>
                <c:ptCount val="1"/>
                <c:pt idx="0">
                  <c:v>Cash Interest coverage (CFO/Interest Paid)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Analysis.xlsx]Document'!$B$50:$F$50</c:f>
              <c:numCache>
                <c:formatCode>General</c:formatCode>
                <c:ptCount val="5"/>
                <c:pt idx="0">
                  <c:v>2023</c:v>
                </c:pt>
                <c:pt idx="1">
                  <c:v>2022</c:v>
                </c:pt>
                <c:pt idx="2">
                  <c:v>2021</c:v>
                </c:pt>
                <c:pt idx="3">
                  <c:v>2020</c:v>
                </c:pt>
                <c:pt idx="4">
                  <c:v>2019</c:v>
                </c:pt>
              </c:numCache>
            </c:numRef>
          </c:cat>
          <c:val>
            <c:numRef>
              <c:f>'[Trend Analysis.xlsx]Document'!$B$54:$F$54</c:f>
              <c:numCache>
                <c:formatCode>0.0</c:formatCode>
                <c:ptCount val="5"/>
                <c:pt idx="0">
                  <c:v>46.6</c:v>
                </c:pt>
                <c:pt idx="1">
                  <c:v>38</c:v>
                </c:pt>
                <c:pt idx="2">
                  <c:v>98.36363636363636</c:v>
                </c:pt>
                <c:pt idx="3">
                  <c:v>-10.083333333333334</c:v>
                </c:pt>
                <c:pt idx="4">
                  <c:v>30.083333333333332</c:v>
                </c:pt>
              </c:numCache>
            </c:numRef>
          </c:val>
          <c:smooth val="0"/>
          <c:extLst>
            <c:ext xmlns:c16="http://schemas.microsoft.com/office/drawing/2014/chart" uri="{C3380CC4-5D6E-409C-BE32-E72D297353CC}">
              <c16:uniqueId val="{00000003-B3BF-46AC-A3D3-DEFA9D9DC1E9}"/>
            </c:ext>
          </c:extLst>
        </c:ser>
        <c:dLbls>
          <c:showLegendKey val="0"/>
          <c:showVal val="0"/>
          <c:showCatName val="0"/>
          <c:showSerName val="0"/>
          <c:showPercent val="0"/>
          <c:showBubbleSize val="0"/>
        </c:dLbls>
        <c:marker val="1"/>
        <c:smooth val="0"/>
        <c:axId val="711080632"/>
        <c:axId val="711076672"/>
      </c:lineChart>
      <c:catAx>
        <c:axId val="711080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1076672"/>
        <c:crosses val="autoZero"/>
        <c:auto val="1"/>
        <c:lblAlgn val="ctr"/>
        <c:lblOffset val="100"/>
        <c:noMultiLvlLbl val="0"/>
      </c:catAx>
      <c:valAx>
        <c:axId val="7110766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1080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BERKELEY GROUP HOLDINGS</a:t>
            </a:r>
          </a:p>
          <a:p>
            <a:pPr>
              <a:defRPr/>
            </a:pPr>
            <a:r>
              <a:rPr lang="en-US" b="0" baseline="0">
                <a:solidFill>
                  <a:schemeClr val="tx1"/>
                </a:solidFill>
              </a:rPr>
              <a:t>Gearing Ratio</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 BERKE.xlsx]Document'!$A$51</c:f>
              <c:strCache>
                <c:ptCount val="1"/>
                <c:pt idx="0">
                  <c:v>Interest cover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BERKE.xlsx]Document'!$B$50:$F$50</c:f>
              <c:numCache>
                <c:formatCode>General</c:formatCode>
                <c:ptCount val="5"/>
                <c:pt idx="0">
                  <c:v>2023</c:v>
                </c:pt>
                <c:pt idx="1">
                  <c:v>2022</c:v>
                </c:pt>
                <c:pt idx="2">
                  <c:v>2021</c:v>
                </c:pt>
                <c:pt idx="3">
                  <c:v>2020</c:v>
                </c:pt>
                <c:pt idx="4">
                  <c:v>2019</c:v>
                </c:pt>
              </c:numCache>
            </c:numRef>
          </c:cat>
          <c:val>
            <c:numRef>
              <c:f>'[Trend Analysis BERKE.xlsx]Document'!$B$51:$F$51</c:f>
              <c:numCache>
                <c:formatCode>0.0</c:formatCode>
                <c:ptCount val="5"/>
                <c:pt idx="0">
                  <c:v>21.583333333333332</c:v>
                </c:pt>
                <c:pt idx="1">
                  <c:v>36.285714285714285</c:v>
                </c:pt>
                <c:pt idx="2">
                  <c:v>58.372093023255815</c:v>
                </c:pt>
                <c:pt idx="3">
                  <c:v>42.727272727272727</c:v>
                </c:pt>
                <c:pt idx="4">
                  <c:v>76.8</c:v>
                </c:pt>
              </c:numCache>
            </c:numRef>
          </c:val>
          <c:smooth val="0"/>
          <c:extLst>
            <c:ext xmlns:c16="http://schemas.microsoft.com/office/drawing/2014/chart" uri="{C3380CC4-5D6E-409C-BE32-E72D297353CC}">
              <c16:uniqueId val="{00000000-0189-4263-9D17-A81B298EDD26}"/>
            </c:ext>
          </c:extLst>
        </c:ser>
        <c:ser>
          <c:idx val="1"/>
          <c:order val="1"/>
          <c:tx>
            <c:strRef>
              <c:f>'[Trend Analysis BERKE.xlsx]Document'!$A$52</c:f>
              <c:strCache>
                <c:ptCount val="1"/>
                <c:pt idx="0">
                  <c:v>D/E ratio (LT debt)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BERKE.xlsx]Document'!$B$50:$F$50</c:f>
              <c:numCache>
                <c:formatCode>General</c:formatCode>
                <c:ptCount val="5"/>
                <c:pt idx="0">
                  <c:v>2023</c:v>
                </c:pt>
                <c:pt idx="1">
                  <c:v>2022</c:v>
                </c:pt>
                <c:pt idx="2">
                  <c:v>2021</c:v>
                </c:pt>
                <c:pt idx="3">
                  <c:v>2020</c:v>
                </c:pt>
                <c:pt idx="4">
                  <c:v>2019</c:v>
                </c:pt>
              </c:numCache>
            </c:numRef>
          </c:cat>
          <c:val>
            <c:numRef>
              <c:f>'[Trend Analysis BERKE.xlsx]Document'!$B$52:$F$52</c:f>
              <c:numCache>
                <c:formatCode>0.0</c:formatCode>
                <c:ptCount val="5"/>
                <c:pt idx="0">
                  <c:v>0.19957983193277312</c:v>
                </c:pt>
                <c:pt idx="1">
                  <c:v>0.21237244897959184</c:v>
                </c:pt>
                <c:pt idx="2">
                  <c:v>9.5433070866141737E-2</c:v>
                </c:pt>
                <c:pt idx="3">
                  <c:v>0.16215344938749193</c:v>
                </c:pt>
                <c:pt idx="4">
                  <c:v>0.10124873439082012</c:v>
                </c:pt>
              </c:numCache>
            </c:numRef>
          </c:val>
          <c:smooth val="0"/>
          <c:extLst>
            <c:ext xmlns:c16="http://schemas.microsoft.com/office/drawing/2014/chart" uri="{C3380CC4-5D6E-409C-BE32-E72D297353CC}">
              <c16:uniqueId val="{00000001-0189-4263-9D17-A81B298EDD26}"/>
            </c:ext>
          </c:extLst>
        </c:ser>
        <c:ser>
          <c:idx val="2"/>
          <c:order val="2"/>
          <c:tx>
            <c:strRef>
              <c:f>'[Trend Analysis BERKE.xlsx]Document'!$A$53</c:f>
              <c:strCache>
                <c:ptCount val="1"/>
                <c:pt idx="0">
                  <c:v>Cashflow Ratio (CFO/Total Debt)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BERKE.xlsx]Document'!$B$50:$F$50</c:f>
              <c:numCache>
                <c:formatCode>General</c:formatCode>
                <c:ptCount val="5"/>
                <c:pt idx="0">
                  <c:v>2023</c:v>
                </c:pt>
                <c:pt idx="1">
                  <c:v>2022</c:v>
                </c:pt>
                <c:pt idx="2">
                  <c:v>2021</c:v>
                </c:pt>
                <c:pt idx="3">
                  <c:v>2020</c:v>
                </c:pt>
                <c:pt idx="4">
                  <c:v>2019</c:v>
                </c:pt>
              </c:numCache>
            </c:numRef>
          </c:cat>
          <c:val>
            <c:numRef>
              <c:f>'[Trend Analysis BERKE.xlsx]Document'!$B$53:$F$53</c:f>
              <c:numCache>
                <c:formatCode>0.0</c:formatCode>
                <c:ptCount val="5"/>
                <c:pt idx="0">
                  <c:v>9.5265097816841504E-2</c:v>
                </c:pt>
                <c:pt idx="1">
                  <c:v>-3.7659327925840091E-2</c:v>
                </c:pt>
                <c:pt idx="2">
                  <c:v>0.13630626840555321</c:v>
                </c:pt>
                <c:pt idx="3">
                  <c:v>0.12122400941545704</c:v>
                </c:pt>
                <c:pt idx="4">
                  <c:v>0.309873417721519</c:v>
                </c:pt>
              </c:numCache>
            </c:numRef>
          </c:val>
          <c:smooth val="0"/>
          <c:extLst>
            <c:ext xmlns:c16="http://schemas.microsoft.com/office/drawing/2014/chart" uri="{C3380CC4-5D6E-409C-BE32-E72D297353CC}">
              <c16:uniqueId val="{00000002-0189-4263-9D17-A81B298EDD26}"/>
            </c:ext>
          </c:extLst>
        </c:ser>
        <c:ser>
          <c:idx val="3"/>
          <c:order val="3"/>
          <c:tx>
            <c:strRef>
              <c:f>'[Trend Analysis BERKE.xlsx]Document'!$A$54</c:f>
              <c:strCache>
                <c:ptCount val="1"/>
                <c:pt idx="0">
                  <c:v>Cash Interest coverage (CFO/Interest Paid)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 BERKE.xlsx]Document'!$B$50:$F$50</c:f>
              <c:numCache>
                <c:formatCode>General</c:formatCode>
                <c:ptCount val="5"/>
                <c:pt idx="0">
                  <c:v>2023</c:v>
                </c:pt>
                <c:pt idx="1">
                  <c:v>2022</c:v>
                </c:pt>
                <c:pt idx="2">
                  <c:v>2021</c:v>
                </c:pt>
                <c:pt idx="3">
                  <c:v>2020</c:v>
                </c:pt>
                <c:pt idx="4">
                  <c:v>2019</c:v>
                </c:pt>
              </c:numCache>
            </c:numRef>
          </c:cat>
          <c:val>
            <c:numRef>
              <c:f>'[Trend Analysis BERKE.xlsx]Document'!$B$54:$F$54</c:f>
              <c:numCache>
                <c:formatCode>0.0</c:formatCode>
                <c:ptCount val="5"/>
                <c:pt idx="0">
                  <c:v>16</c:v>
                </c:pt>
                <c:pt idx="1">
                  <c:v>-23.214285714285715</c:v>
                </c:pt>
                <c:pt idx="2">
                  <c:v>40</c:v>
                </c:pt>
                <c:pt idx="3">
                  <c:v>33.956043956043956</c:v>
                </c:pt>
                <c:pt idx="4">
                  <c:v>69.545454545454547</c:v>
                </c:pt>
              </c:numCache>
            </c:numRef>
          </c:val>
          <c:smooth val="0"/>
          <c:extLst>
            <c:ext xmlns:c16="http://schemas.microsoft.com/office/drawing/2014/chart" uri="{C3380CC4-5D6E-409C-BE32-E72D297353CC}">
              <c16:uniqueId val="{00000003-0189-4263-9D17-A81B298EDD26}"/>
            </c:ext>
          </c:extLst>
        </c:ser>
        <c:dLbls>
          <c:showLegendKey val="0"/>
          <c:showVal val="0"/>
          <c:showCatName val="0"/>
          <c:showSerName val="0"/>
          <c:showPercent val="0"/>
          <c:showBubbleSize val="0"/>
        </c:dLbls>
        <c:marker val="1"/>
        <c:smooth val="0"/>
        <c:axId val="699183704"/>
        <c:axId val="699187304"/>
      </c:lineChart>
      <c:catAx>
        <c:axId val="699183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7304"/>
        <c:crosses val="autoZero"/>
        <c:auto val="1"/>
        <c:lblAlgn val="ctr"/>
        <c:lblOffset val="100"/>
        <c:noMultiLvlLbl val="0"/>
      </c:catAx>
      <c:valAx>
        <c:axId val="6991873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3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 DEVLOPMENT PLC</a:t>
            </a:r>
          </a:p>
          <a:p>
            <a:pPr>
              <a:defRPr/>
            </a:pPr>
            <a:r>
              <a:rPr lang="en-US" b="0">
                <a:solidFill>
                  <a:schemeClr val="tx1"/>
                </a:solidFill>
              </a:rPr>
              <a:t>Efficiency</a:t>
            </a:r>
            <a:r>
              <a:rPr lang="en-US" b="0" baseline="0">
                <a:solidFill>
                  <a:schemeClr val="tx1"/>
                </a:solidFill>
              </a:rPr>
              <a:t> Ratio</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Analysis.xlsx]Document'!$A$58</c:f>
              <c:strCache>
                <c:ptCount val="1"/>
                <c:pt idx="0">
                  <c:v>Sales to Capital Employed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Analysis.xlsx]Document'!$B$57:$F$57</c:f>
              <c:numCache>
                <c:formatCode>General</c:formatCode>
                <c:ptCount val="5"/>
                <c:pt idx="0">
                  <c:v>2023</c:v>
                </c:pt>
                <c:pt idx="1">
                  <c:v>2022</c:v>
                </c:pt>
                <c:pt idx="2">
                  <c:v>2021</c:v>
                </c:pt>
                <c:pt idx="3">
                  <c:v>2020</c:v>
                </c:pt>
                <c:pt idx="4">
                  <c:v>2019</c:v>
                </c:pt>
              </c:numCache>
            </c:numRef>
          </c:cat>
          <c:val>
            <c:numRef>
              <c:f>'[Trend Analysis.xlsx]Document'!$B$58:$F$58</c:f>
              <c:numCache>
                <c:formatCode>0.0</c:formatCode>
                <c:ptCount val="5"/>
                <c:pt idx="0">
                  <c:v>0.81236641221374051</c:v>
                </c:pt>
                <c:pt idx="1">
                  <c:v>0.81008765185299092</c:v>
                </c:pt>
                <c:pt idx="2">
                  <c:v>0.80360721442885774</c:v>
                </c:pt>
                <c:pt idx="3">
                  <c:v>0.63338273434605408</c:v>
                </c:pt>
                <c:pt idx="4">
                  <c:v>0.86599999999999999</c:v>
                </c:pt>
              </c:numCache>
            </c:numRef>
          </c:val>
          <c:smooth val="0"/>
          <c:extLst>
            <c:ext xmlns:c16="http://schemas.microsoft.com/office/drawing/2014/chart" uri="{C3380CC4-5D6E-409C-BE32-E72D297353CC}">
              <c16:uniqueId val="{00000000-D828-4523-9010-75F4CE824C22}"/>
            </c:ext>
          </c:extLst>
        </c:ser>
        <c:ser>
          <c:idx val="1"/>
          <c:order val="1"/>
          <c:tx>
            <c:strRef>
              <c:f>'[Trend Analysis.xlsx]Document'!$A$59</c:f>
              <c:strCache>
                <c:ptCount val="1"/>
                <c:pt idx="0">
                  <c:v>Debtor Days (DSO Days sales outstanding)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Analysis.xlsx]Document'!$B$57:$F$57</c:f>
              <c:numCache>
                <c:formatCode>General</c:formatCode>
                <c:ptCount val="5"/>
                <c:pt idx="0">
                  <c:v>2023</c:v>
                </c:pt>
                <c:pt idx="1">
                  <c:v>2022</c:v>
                </c:pt>
                <c:pt idx="2">
                  <c:v>2021</c:v>
                </c:pt>
                <c:pt idx="3">
                  <c:v>2020</c:v>
                </c:pt>
                <c:pt idx="4">
                  <c:v>2019</c:v>
                </c:pt>
              </c:numCache>
            </c:numRef>
          </c:cat>
          <c:val>
            <c:numRef>
              <c:f>'[Trend Analysis.xlsx]Document'!$B$59:$F$59</c:f>
              <c:numCache>
                <c:formatCode>0.0</c:formatCode>
                <c:ptCount val="5"/>
                <c:pt idx="0">
                  <c:v>13.513437323811312</c:v>
                </c:pt>
                <c:pt idx="1">
                  <c:v>15.727980258162491</c:v>
                </c:pt>
                <c:pt idx="2">
                  <c:v>12.515586034912719</c:v>
                </c:pt>
                <c:pt idx="3">
                  <c:v>7.4729453056449247</c:v>
                </c:pt>
                <c:pt idx="4">
                  <c:v>16.016166281755197</c:v>
                </c:pt>
              </c:numCache>
            </c:numRef>
          </c:val>
          <c:smooth val="0"/>
          <c:extLst>
            <c:ext xmlns:c16="http://schemas.microsoft.com/office/drawing/2014/chart" uri="{C3380CC4-5D6E-409C-BE32-E72D297353CC}">
              <c16:uniqueId val="{00000001-D828-4523-9010-75F4CE824C22}"/>
            </c:ext>
          </c:extLst>
        </c:ser>
        <c:ser>
          <c:idx val="2"/>
          <c:order val="2"/>
          <c:tx>
            <c:strRef>
              <c:f>'[Trend Analysis.xlsx]Document'!$A$60</c:f>
              <c:strCache>
                <c:ptCount val="1"/>
                <c:pt idx="0">
                  <c:v>Inventory Days (DIO Days Inventory Outstanding)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Analysis.xlsx]Document'!$B$57:$F$57</c:f>
              <c:numCache>
                <c:formatCode>General</c:formatCode>
                <c:ptCount val="5"/>
                <c:pt idx="0">
                  <c:v>2023</c:v>
                </c:pt>
                <c:pt idx="1">
                  <c:v>2022</c:v>
                </c:pt>
                <c:pt idx="2">
                  <c:v>2021</c:v>
                </c:pt>
                <c:pt idx="3">
                  <c:v>2020</c:v>
                </c:pt>
                <c:pt idx="4">
                  <c:v>2019</c:v>
                </c:pt>
              </c:numCache>
            </c:numRef>
          </c:cat>
          <c:val>
            <c:numRef>
              <c:f>'[Trend Analysis.xlsx]Document'!$B$60:$F$60</c:f>
              <c:numCache>
                <c:formatCode>0.0</c:formatCode>
                <c:ptCount val="5"/>
                <c:pt idx="0">
                  <c:v>456.18468146027197</c:v>
                </c:pt>
                <c:pt idx="1">
                  <c:v>487.77272727272731</c:v>
                </c:pt>
                <c:pt idx="2">
                  <c:v>453.05637189420247</c:v>
                </c:pt>
                <c:pt idx="3">
                  <c:v>682.74553571428567</c:v>
                </c:pt>
                <c:pt idx="4">
                  <c:v>478.98803046789988</c:v>
                </c:pt>
              </c:numCache>
            </c:numRef>
          </c:val>
          <c:smooth val="0"/>
          <c:extLst>
            <c:ext xmlns:c16="http://schemas.microsoft.com/office/drawing/2014/chart" uri="{C3380CC4-5D6E-409C-BE32-E72D297353CC}">
              <c16:uniqueId val="{00000002-D828-4523-9010-75F4CE824C22}"/>
            </c:ext>
          </c:extLst>
        </c:ser>
        <c:ser>
          <c:idx val="3"/>
          <c:order val="3"/>
          <c:tx>
            <c:strRef>
              <c:f>'[Trend Analysis.xlsx]Document'!$A$61</c:f>
              <c:strCache>
                <c:ptCount val="1"/>
                <c:pt idx="0">
                  <c:v>Creditor Days (DPO Days Payables Outstanding)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Analysis.xlsx]Document'!$B$57:$F$57</c:f>
              <c:numCache>
                <c:formatCode>General</c:formatCode>
                <c:ptCount val="5"/>
                <c:pt idx="0">
                  <c:v>2023</c:v>
                </c:pt>
                <c:pt idx="1">
                  <c:v>2022</c:v>
                </c:pt>
                <c:pt idx="2">
                  <c:v>2021</c:v>
                </c:pt>
                <c:pt idx="3">
                  <c:v>2020</c:v>
                </c:pt>
                <c:pt idx="4">
                  <c:v>2019</c:v>
                </c:pt>
              </c:numCache>
            </c:numRef>
          </c:cat>
          <c:val>
            <c:numRef>
              <c:f>'[Trend Analysis.xlsx]Document'!$B$61:$F$61</c:f>
              <c:numCache>
                <c:formatCode>0.0</c:formatCode>
                <c:ptCount val="5"/>
                <c:pt idx="0">
                  <c:v>55.041756144118352</c:v>
                </c:pt>
                <c:pt idx="1">
                  <c:v>75.765151515151516</c:v>
                </c:pt>
                <c:pt idx="2">
                  <c:v>63.677531391931609</c:v>
                </c:pt>
                <c:pt idx="3">
                  <c:v>92.336309523809518</c:v>
                </c:pt>
                <c:pt idx="4">
                  <c:v>92.242927094668119</c:v>
                </c:pt>
              </c:numCache>
            </c:numRef>
          </c:val>
          <c:smooth val="0"/>
          <c:extLst>
            <c:ext xmlns:c16="http://schemas.microsoft.com/office/drawing/2014/chart" uri="{C3380CC4-5D6E-409C-BE32-E72D297353CC}">
              <c16:uniqueId val="{00000003-D828-4523-9010-75F4CE824C22}"/>
            </c:ext>
          </c:extLst>
        </c:ser>
        <c:ser>
          <c:idx val="4"/>
          <c:order val="4"/>
          <c:tx>
            <c:strRef>
              <c:f>'[Trend Analysis.xlsx]Document'!$A$62</c:f>
              <c:strCache>
                <c:ptCount val="1"/>
                <c:pt idx="0">
                  <c:v>Cash conversion cycle (DIO+DSO-DPO)</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Analysis.xlsx]Document'!$B$57:$F$57</c:f>
              <c:numCache>
                <c:formatCode>General</c:formatCode>
                <c:ptCount val="5"/>
                <c:pt idx="0">
                  <c:v>2023</c:v>
                </c:pt>
                <c:pt idx="1">
                  <c:v>2022</c:v>
                </c:pt>
                <c:pt idx="2">
                  <c:v>2021</c:v>
                </c:pt>
                <c:pt idx="3">
                  <c:v>2020</c:v>
                </c:pt>
                <c:pt idx="4">
                  <c:v>2019</c:v>
                </c:pt>
              </c:numCache>
            </c:numRef>
          </c:cat>
          <c:val>
            <c:numRef>
              <c:f>'[Trend Analysis.xlsx]Document'!$B$62:$F$62</c:f>
              <c:numCache>
                <c:formatCode>0.0</c:formatCode>
                <c:ptCount val="5"/>
                <c:pt idx="0">
                  <c:v>414.65636263996498</c:v>
                </c:pt>
                <c:pt idx="1">
                  <c:v>427.73555601573833</c:v>
                </c:pt>
                <c:pt idx="2">
                  <c:v>401.89442653718356</c:v>
                </c:pt>
                <c:pt idx="3">
                  <c:v>597.88217149612103</c:v>
                </c:pt>
                <c:pt idx="4">
                  <c:v>402.76126965498696</c:v>
                </c:pt>
              </c:numCache>
            </c:numRef>
          </c:val>
          <c:smooth val="0"/>
          <c:extLst>
            <c:ext xmlns:c16="http://schemas.microsoft.com/office/drawing/2014/chart" uri="{C3380CC4-5D6E-409C-BE32-E72D297353CC}">
              <c16:uniqueId val="{00000004-D828-4523-9010-75F4CE824C22}"/>
            </c:ext>
          </c:extLst>
        </c:ser>
        <c:dLbls>
          <c:showLegendKey val="0"/>
          <c:showVal val="0"/>
          <c:showCatName val="0"/>
          <c:showSerName val="0"/>
          <c:showPercent val="0"/>
          <c:showBubbleSize val="0"/>
        </c:dLbls>
        <c:marker val="1"/>
        <c:smooth val="0"/>
        <c:axId val="713171272"/>
        <c:axId val="713169832"/>
      </c:lineChart>
      <c:catAx>
        <c:axId val="713171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169832"/>
        <c:crosses val="autoZero"/>
        <c:auto val="1"/>
        <c:lblAlgn val="ctr"/>
        <c:lblOffset val="100"/>
        <c:noMultiLvlLbl val="0"/>
      </c:catAx>
      <c:valAx>
        <c:axId val="7131698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171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chemeClr val="tx1"/>
                </a:solidFill>
              </a:rPr>
              <a:t>BERKELEY GROUP HOLDINGS</a:t>
            </a:r>
          </a:p>
          <a:p>
            <a:pPr>
              <a:defRPr/>
            </a:pPr>
            <a:r>
              <a:rPr lang="en-US" b="0" baseline="0">
                <a:solidFill>
                  <a:schemeClr val="tx1"/>
                </a:solidFill>
              </a:rPr>
              <a:t>Efficiency Ratio</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'[Trend Analysis BERKE.xlsx]Document'!$A$58</c:f>
              <c:strCache>
                <c:ptCount val="1"/>
                <c:pt idx="0">
                  <c:v>Sales to Capital Employed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 BERKE.xlsx]Document'!$B$57:$F$57</c:f>
              <c:numCache>
                <c:formatCode>General</c:formatCode>
                <c:ptCount val="5"/>
                <c:pt idx="0">
                  <c:v>2023</c:v>
                </c:pt>
                <c:pt idx="1">
                  <c:v>2022</c:v>
                </c:pt>
                <c:pt idx="2">
                  <c:v>2021</c:v>
                </c:pt>
                <c:pt idx="3">
                  <c:v>2020</c:v>
                </c:pt>
                <c:pt idx="4">
                  <c:v>2019</c:v>
                </c:pt>
              </c:numCache>
            </c:numRef>
          </c:cat>
          <c:val>
            <c:numRef>
              <c:f>'[Trend Analysis BERKE.xlsx]Document'!$B$58:$F$58</c:f>
              <c:numCache>
                <c:formatCode>0.0</c:formatCode>
                <c:ptCount val="5"/>
                <c:pt idx="0">
                  <c:v>0.51266586248492163</c:v>
                </c:pt>
                <c:pt idx="1">
                  <c:v>0.50844521437851886</c:v>
                </c:pt>
                <c:pt idx="2">
                  <c:v>0.56899224806201554</c:v>
                </c:pt>
                <c:pt idx="3">
                  <c:v>0.51515964582774354</c:v>
                </c:pt>
                <c:pt idx="4">
                  <c:v>0.87927445732976506</c:v>
                </c:pt>
              </c:numCache>
            </c:numRef>
          </c:val>
          <c:smooth val="0"/>
          <c:extLst>
            <c:ext xmlns:c16="http://schemas.microsoft.com/office/drawing/2014/chart" uri="{C3380CC4-5D6E-409C-BE32-E72D297353CC}">
              <c16:uniqueId val="{00000000-A5A5-4ABD-85F7-33F869676A69}"/>
            </c:ext>
          </c:extLst>
        </c:ser>
        <c:ser>
          <c:idx val="1"/>
          <c:order val="1"/>
          <c:tx>
            <c:strRef>
              <c:f>'[Trend Analysis BERKE.xlsx]Document'!$A$59</c:f>
              <c:strCache>
                <c:ptCount val="1"/>
                <c:pt idx="0">
                  <c:v>Debtor Days (DSO Days sales outstanding)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 BERKE.xlsx]Document'!$B$57:$F$57</c:f>
              <c:numCache>
                <c:formatCode>General</c:formatCode>
                <c:ptCount val="5"/>
                <c:pt idx="0">
                  <c:v>2023</c:v>
                </c:pt>
                <c:pt idx="1">
                  <c:v>2022</c:v>
                </c:pt>
                <c:pt idx="2">
                  <c:v>2021</c:v>
                </c:pt>
                <c:pt idx="3">
                  <c:v>2020</c:v>
                </c:pt>
                <c:pt idx="4">
                  <c:v>2019</c:v>
                </c:pt>
              </c:numCache>
            </c:numRef>
          </c:cat>
          <c:val>
            <c:numRef>
              <c:f>'[Trend Analysis BERKE.xlsx]Document'!$B$59:$F$59</c:f>
              <c:numCache>
                <c:formatCode>0.0</c:formatCode>
                <c:ptCount val="5"/>
                <c:pt idx="0">
                  <c:v>10.019607843137255</c:v>
                </c:pt>
                <c:pt idx="1">
                  <c:v>20.519591141396933</c:v>
                </c:pt>
                <c:pt idx="2">
                  <c:v>12.597638510445051</c:v>
                </c:pt>
                <c:pt idx="3">
                  <c:v>11.216145833333332</c:v>
                </c:pt>
                <c:pt idx="4">
                  <c:v>7.2827189719310104</c:v>
                </c:pt>
              </c:numCache>
            </c:numRef>
          </c:val>
          <c:smooth val="0"/>
          <c:extLst>
            <c:ext xmlns:c16="http://schemas.microsoft.com/office/drawing/2014/chart" uri="{C3380CC4-5D6E-409C-BE32-E72D297353CC}">
              <c16:uniqueId val="{00000001-A5A5-4ABD-85F7-33F869676A69}"/>
            </c:ext>
          </c:extLst>
        </c:ser>
        <c:ser>
          <c:idx val="2"/>
          <c:order val="2"/>
          <c:tx>
            <c:strRef>
              <c:f>'[Trend Analysis BERKE.xlsx]Document'!$A$60</c:f>
              <c:strCache>
                <c:ptCount val="1"/>
                <c:pt idx="0">
                  <c:v>Inventory Days (DIO Days Inventory Outstanding)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 BERKE.xlsx]Document'!$B$57:$F$57</c:f>
              <c:numCache>
                <c:formatCode>General</c:formatCode>
                <c:ptCount val="5"/>
                <c:pt idx="0">
                  <c:v>2023</c:v>
                </c:pt>
                <c:pt idx="1">
                  <c:v>2022</c:v>
                </c:pt>
                <c:pt idx="2">
                  <c:v>2021</c:v>
                </c:pt>
                <c:pt idx="3">
                  <c:v>2020</c:v>
                </c:pt>
                <c:pt idx="4">
                  <c:v>2019</c:v>
                </c:pt>
              </c:numCache>
            </c:numRef>
          </c:cat>
          <c:val>
            <c:numRef>
              <c:f>'[Trend Analysis BERKE.xlsx]Document'!$B$60:$F$60</c:f>
              <c:numCache>
                <c:formatCode>0.0</c:formatCode>
                <c:ptCount val="5"/>
                <c:pt idx="0">
                  <c:v>1044.3766864543984</c:v>
                </c:pt>
                <c:pt idx="1">
                  <c:v>1113.4343434343434</c:v>
                </c:pt>
                <c:pt idx="2">
                  <c:v>850.89023611997447</c:v>
                </c:pt>
                <c:pt idx="3">
                  <c:v>1011.3600935307873</c:v>
                </c:pt>
                <c:pt idx="4">
                  <c:v>559.8104382077795</c:v>
                </c:pt>
              </c:numCache>
            </c:numRef>
          </c:val>
          <c:smooth val="0"/>
          <c:extLst>
            <c:ext xmlns:c16="http://schemas.microsoft.com/office/drawing/2014/chart" uri="{C3380CC4-5D6E-409C-BE32-E72D297353CC}">
              <c16:uniqueId val="{00000002-A5A5-4ABD-85F7-33F869676A69}"/>
            </c:ext>
          </c:extLst>
        </c:ser>
        <c:ser>
          <c:idx val="3"/>
          <c:order val="3"/>
          <c:tx>
            <c:strRef>
              <c:f>'[Trend Analysis BERKE.xlsx]Document'!$A$61</c:f>
              <c:strCache>
                <c:ptCount val="1"/>
                <c:pt idx="0">
                  <c:v>Creditor Days (DPO Days Payables Outstanding)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 BERKE.xlsx]Document'!$B$57:$F$57</c:f>
              <c:numCache>
                <c:formatCode>General</c:formatCode>
                <c:ptCount val="5"/>
                <c:pt idx="0">
                  <c:v>2023</c:v>
                </c:pt>
                <c:pt idx="1">
                  <c:v>2022</c:v>
                </c:pt>
                <c:pt idx="2">
                  <c:v>2021</c:v>
                </c:pt>
                <c:pt idx="3">
                  <c:v>2020</c:v>
                </c:pt>
                <c:pt idx="4">
                  <c:v>2019</c:v>
                </c:pt>
              </c:numCache>
            </c:numRef>
          </c:cat>
          <c:val>
            <c:numRef>
              <c:f>'[Trend Analysis BERKE.xlsx]Document'!$B$61:$F$61</c:f>
              <c:numCache>
                <c:formatCode>0.0</c:formatCode>
                <c:ptCount val="5"/>
                <c:pt idx="0">
                  <c:v>118.77765785213168</c:v>
                </c:pt>
                <c:pt idx="1">
                  <c:v>137.93226381461676</c:v>
                </c:pt>
                <c:pt idx="2">
                  <c:v>118.5609444798979</c:v>
                </c:pt>
                <c:pt idx="3">
                  <c:v>166.71083398285268</c:v>
                </c:pt>
                <c:pt idx="4">
                  <c:v>111.60265878877401</c:v>
                </c:pt>
              </c:numCache>
            </c:numRef>
          </c:val>
          <c:smooth val="0"/>
          <c:extLst>
            <c:ext xmlns:c16="http://schemas.microsoft.com/office/drawing/2014/chart" uri="{C3380CC4-5D6E-409C-BE32-E72D297353CC}">
              <c16:uniqueId val="{00000003-A5A5-4ABD-85F7-33F869676A69}"/>
            </c:ext>
          </c:extLst>
        </c:ser>
        <c:ser>
          <c:idx val="4"/>
          <c:order val="4"/>
          <c:tx>
            <c:strRef>
              <c:f>'[Trend Analysis BERKE.xlsx]Document'!$A$62</c:f>
              <c:strCache>
                <c:ptCount val="1"/>
                <c:pt idx="0">
                  <c:v>Cash conversion cycle (DIO+DSO-DPO)</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 BERKE.xlsx]Document'!$B$57:$F$57</c:f>
              <c:numCache>
                <c:formatCode>General</c:formatCode>
                <c:ptCount val="5"/>
                <c:pt idx="0">
                  <c:v>2023</c:v>
                </c:pt>
                <c:pt idx="1">
                  <c:v>2022</c:v>
                </c:pt>
                <c:pt idx="2">
                  <c:v>2021</c:v>
                </c:pt>
                <c:pt idx="3">
                  <c:v>2020</c:v>
                </c:pt>
                <c:pt idx="4">
                  <c:v>2019</c:v>
                </c:pt>
              </c:numCache>
            </c:numRef>
          </c:cat>
          <c:val>
            <c:numRef>
              <c:f>'[Trend Analysis BERKE.xlsx]Document'!$B$62:$F$62</c:f>
              <c:numCache>
                <c:formatCode>0.0</c:formatCode>
                <c:ptCount val="5"/>
                <c:pt idx="0">
                  <c:v>935.61863644540392</c:v>
                </c:pt>
                <c:pt idx="1">
                  <c:v>996.02167076112346</c:v>
                </c:pt>
                <c:pt idx="2">
                  <c:v>744.92693015052168</c:v>
                </c:pt>
                <c:pt idx="3">
                  <c:v>855.86540538126792</c:v>
                </c:pt>
                <c:pt idx="4">
                  <c:v>455.49049839093647</c:v>
                </c:pt>
              </c:numCache>
            </c:numRef>
          </c:val>
          <c:smooth val="0"/>
          <c:extLst>
            <c:ext xmlns:c16="http://schemas.microsoft.com/office/drawing/2014/chart" uri="{C3380CC4-5D6E-409C-BE32-E72D297353CC}">
              <c16:uniqueId val="{00000004-A5A5-4ABD-85F7-33F869676A69}"/>
            </c:ext>
          </c:extLst>
        </c:ser>
        <c:dLbls>
          <c:showLegendKey val="0"/>
          <c:showVal val="0"/>
          <c:showCatName val="0"/>
          <c:showSerName val="0"/>
          <c:showPercent val="0"/>
          <c:showBubbleSize val="0"/>
        </c:dLbls>
        <c:marker val="1"/>
        <c:smooth val="0"/>
        <c:axId val="699187664"/>
        <c:axId val="699184424"/>
      </c:lineChart>
      <c:catAx>
        <c:axId val="69918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4424"/>
        <c:crosses val="autoZero"/>
        <c:auto val="1"/>
        <c:lblAlgn val="ctr"/>
        <c:lblOffset val="100"/>
        <c:noMultiLvlLbl val="0"/>
      </c:catAx>
      <c:valAx>
        <c:axId val="69918442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18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BARRATT</a:t>
            </a:r>
            <a:r>
              <a:rPr lang="en-US" b="1" baseline="0">
                <a:solidFill>
                  <a:schemeClr val="tx1"/>
                </a:solidFill>
              </a:rPr>
              <a:t> DEVELOPMENT PLC</a:t>
            </a:r>
          </a:p>
          <a:p>
            <a:pPr>
              <a:defRPr/>
            </a:pPr>
            <a:r>
              <a:rPr lang="en-US" b="0" baseline="0">
                <a:solidFill>
                  <a:schemeClr val="tx1"/>
                </a:solidFill>
              </a:rPr>
              <a:t>Trend Analysis of the Income Statement</a:t>
            </a:r>
            <a:endParaRPr lang="en-US" b="0">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'[Trend Analysis.xlsx]Document'!$A$17</c:f>
              <c:strCache>
                <c:ptCount val="1"/>
                <c:pt idx="0">
                  <c:v>Total revenue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 Analysis.xlsx]Document'!$B$16:$F$16</c:f>
              <c:numCache>
                <c:formatCode>General</c:formatCode>
                <c:ptCount val="5"/>
                <c:pt idx="0">
                  <c:v>2023</c:v>
                </c:pt>
                <c:pt idx="1">
                  <c:v>2022</c:v>
                </c:pt>
                <c:pt idx="2">
                  <c:v>2021</c:v>
                </c:pt>
                <c:pt idx="3">
                  <c:v>2020</c:v>
                </c:pt>
                <c:pt idx="4">
                  <c:v>2019</c:v>
                </c:pt>
              </c:numCache>
            </c:numRef>
          </c:cat>
          <c:val>
            <c:numRef>
              <c:f>'[Trend Analysis.xlsx]Document'!$B$17:$F$17</c:f>
              <c:numCache>
                <c:formatCode>0%</c:formatCode>
                <c:ptCount val="5"/>
                <c:pt idx="0">
                  <c:v>1.1171530547973967</c:v>
                </c:pt>
                <c:pt idx="1">
                  <c:v>1.106025614108755</c:v>
                </c:pt>
                <c:pt idx="2">
                  <c:v>1.0102876338442159</c:v>
                </c:pt>
                <c:pt idx="3">
                  <c:v>0.71782490027293722</c:v>
                </c:pt>
                <c:pt idx="4">
                  <c:v>1</c:v>
                </c:pt>
              </c:numCache>
            </c:numRef>
          </c:val>
          <c:smooth val="0"/>
          <c:extLst>
            <c:ext xmlns:c16="http://schemas.microsoft.com/office/drawing/2014/chart" uri="{C3380CC4-5D6E-409C-BE32-E72D297353CC}">
              <c16:uniqueId val="{00000000-4B7D-4A9B-BDFE-CA38DC3882D2}"/>
            </c:ext>
          </c:extLst>
        </c:ser>
        <c:ser>
          <c:idx val="1"/>
          <c:order val="1"/>
          <c:tx>
            <c:strRef>
              <c:f>'[Trend Analysis.xlsx]Document'!$A$18</c:f>
              <c:strCache>
                <c:ptCount val="1"/>
                <c:pt idx="0">
                  <c:v>Cost of revenue total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 Analysis.xlsx]Document'!$B$16:$F$16</c:f>
              <c:numCache>
                <c:formatCode>General</c:formatCode>
                <c:ptCount val="5"/>
                <c:pt idx="0">
                  <c:v>2023</c:v>
                </c:pt>
                <c:pt idx="1">
                  <c:v>2022</c:v>
                </c:pt>
                <c:pt idx="2">
                  <c:v>2021</c:v>
                </c:pt>
                <c:pt idx="3">
                  <c:v>2020</c:v>
                </c:pt>
                <c:pt idx="4">
                  <c:v>2019</c:v>
                </c:pt>
              </c:numCache>
            </c:numRef>
          </c:cat>
          <c:val>
            <c:numRef>
              <c:f>'[Trend Analysis.xlsx]Document'!$B$18:$F$18</c:f>
              <c:numCache>
                <c:formatCode>0%</c:formatCode>
                <c:ptCount val="5"/>
                <c:pt idx="0">
                  <c:v>1.1400979325353646</c:v>
                </c:pt>
                <c:pt idx="1">
                  <c:v>1.0772578890097932</c:v>
                </c:pt>
                <c:pt idx="2">
                  <c:v>1.0182263329706203</c:v>
                </c:pt>
                <c:pt idx="3">
                  <c:v>0.73122959738846571</c:v>
                </c:pt>
                <c:pt idx="4">
                  <c:v>1</c:v>
                </c:pt>
              </c:numCache>
            </c:numRef>
          </c:val>
          <c:smooth val="0"/>
          <c:extLst>
            <c:ext xmlns:c16="http://schemas.microsoft.com/office/drawing/2014/chart" uri="{C3380CC4-5D6E-409C-BE32-E72D297353CC}">
              <c16:uniqueId val="{00000001-4B7D-4A9B-BDFE-CA38DC3882D2}"/>
            </c:ext>
          </c:extLst>
        </c:ser>
        <c:ser>
          <c:idx val="2"/>
          <c:order val="2"/>
          <c:tx>
            <c:strRef>
              <c:f>'[Trend Analysis.xlsx]Document'!$A$19</c:f>
              <c:strCache>
                <c:ptCount val="1"/>
                <c:pt idx="0">
                  <c:v>Gross 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 Analysis.xlsx]Document'!$B$16:$F$16</c:f>
              <c:numCache>
                <c:formatCode>General</c:formatCode>
                <c:ptCount val="5"/>
                <c:pt idx="0">
                  <c:v>2023</c:v>
                </c:pt>
                <c:pt idx="1">
                  <c:v>2022</c:v>
                </c:pt>
                <c:pt idx="2">
                  <c:v>2021</c:v>
                </c:pt>
                <c:pt idx="3">
                  <c:v>2020</c:v>
                </c:pt>
                <c:pt idx="4">
                  <c:v>2019</c:v>
                </c:pt>
              </c:numCache>
            </c:numRef>
          </c:cat>
          <c:val>
            <c:numRef>
              <c:f>'[Trend Analysis.xlsx]Document'!$B$19:$F$19</c:f>
              <c:numCache>
                <c:formatCode>0%</c:formatCode>
                <c:ptCount val="5"/>
                <c:pt idx="0">
                  <c:v>1.0395584176632935</c:v>
                </c:pt>
                <c:pt idx="1">
                  <c:v>1.203311867525299</c:v>
                </c:pt>
                <c:pt idx="2">
                  <c:v>0.98344066237350503</c:v>
                </c:pt>
                <c:pt idx="3">
                  <c:v>0.67249310027598896</c:v>
                </c:pt>
                <c:pt idx="4">
                  <c:v>1</c:v>
                </c:pt>
              </c:numCache>
            </c:numRef>
          </c:val>
          <c:smooth val="0"/>
          <c:extLst>
            <c:ext xmlns:c16="http://schemas.microsoft.com/office/drawing/2014/chart" uri="{C3380CC4-5D6E-409C-BE32-E72D297353CC}">
              <c16:uniqueId val="{00000002-4B7D-4A9B-BDFE-CA38DC3882D2}"/>
            </c:ext>
          </c:extLst>
        </c:ser>
        <c:ser>
          <c:idx val="3"/>
          <c:order val="3"/>
          <c:tx>
            <c:strRef>
              <c:f>'[Trend Analysis.xlsx]Document'!$A$20</c:f>
              <c:strCache>
                <c:ptCount val="1"/>
                <c:pt idx="0">
                  <c:v>Total operating expense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 Analysis.xlsx]Document'!$B$16:$F$16</c:f>
              <c:numCache>
                <c:formatCode>General</c:formatCode>
                <c:ptCount val="5"/>
                <c:pt idx="0">
                  <c:v>2023</c:v>
                </c:pt>
                <c:pt idx="1">
                  <c:v>2022</c:v>
                </c:pt>
                <c:pt idx="2">
                  <c:v>2021</c:v>
                </c:pt>
                <c:pt idx="3">
                  <c:v>2020</c:v>
                </c:pt>
                <c:pt idx="4">
                  <c:v>2019</c:v>
                </c:pt>
              </c:numCache>
            </c:numRef>
          </c:cat>
          <c:val>
            <c:numRef>
              <c:f>'[Trend Analysis.xlsx]Document'!$B$20:$F$20</c:f>
              <c:numCache>
                <c:formatCode>0%</c:formatCode>
                <c:ptCount val="5"/>
                <c:pt idx="0">
                  <c:v>1.2003105590062111</c:v>
                </c:pt>
                <c:pt idx="1">
                  <c:v>1.1972049689440993</c:v>
                </c:pt>
                <c:pt idx="2">
                  <c:v>1.0351966873706004</c:v>
                </c:pt>
                <c:pt idx="3">
                  <c:v>0.75724637681159424</c:v>
                </c:pt>
                <c:pt idx="4">
                  <c:v>1</c:v>
                </c:pt>
              </c:numCache>
            </c:numRef>
          </c:val>
          <c:smooth val="0"/>
          <c:extLst>
            <c:ext xmlns:c16="http://schemas.microsoft.com/office/drawing/2014/chart" uri="{C3380CC4-5D6E-409C-BE32-E72D297353CC}">
              <c16:uniqueId val="{00000003-4B7D-4A9B-BDFE-CA38DC3882D2}"/>
            </c:ext>
          </c:extLst>
        </c:ser>
        <c:ser>
          <c:idx val="4"/>
          <c:order val="4"/>
          <c:tx>
            <c:strRef>
              <c:f>'[Trend Analysis.xlsx]Document'!$A$21</c:f>
              <c:strCache>
                <c:ptCount val="1"/>
                <c:pt idx="0">
                  <c:v>Net income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 Analysis.xlsx]Document'!$B$16:$F$16</c:f>
              <c:numCache>
                <c:formatCode>General</c:formatCode>
                <c:ptCount val="5"/>
                <c:pt idx="0">
                  <c:v>2023</c:v>
                </c:pt>
                <c:pt idx="1">
                  <c:v>2022</c:v>
                </c:pt>
                <c:pt idx="2">
                  <c:v>2021</c:v>
                </c:pt>
                <c:pt idx="3">
                  <c:v>2020</c:v>
                </c:pt>
                <c:pt idx="4">
                  <c:v>2019</c:v>
                </c:pt>
              </c:numCache>
            </c:numRef>
          </c:cat>
          <c:val>
            <c:numRef>
              <c:f>'[Trend Analysis.xlsx]Document'!$B$21:$F$21</c:f>
              <c:numCache>
                <c:formatCode>0%</c:formatCode>
                <c:ptCount val="5"/>
                <c:pt idx="0">
                  <c:v>0.71621621621621623</c:v>
                </c:pt>
                <c:pt idx="1">
                  <c:v>0.69594594594594594</c:v>
                </c:pt>
                <c:pt idx="2">
                  <c:v>0.89189189189189189</c:v>
                </c:pt>
                <c:pt idx="3">
                  <c:v>0.54054054054054057</c:v>
                </c:pt>
                <c:pt idx="4">
                  <c:v>1</c:v>
                </c:pt>
              </c:numCache>
            </c:numRef>
          </c:val>
          <c:smooth val="0"/>
          <c:extLst>
            <c:ext xmlns:c16="http://schemas.microsoft.com/office/drawing/2014/chart" uri="{C3380CC4-5D6E-409C-BE32-E72D297353CC}">
              <c16:uniqueId val="{00000004-4B7D-4A9B-BDFE-CA38DC3882D2}"/>
            </c:ext>
          </c:extLst>
        </c:ser>
        <c:dLbls>
          <c:showLegendKey val="0"/>
          <c:showVal val="0"/>
          <c:showCatName val="0"/>
          <c:showSerName val="0"/>
          <c:showPercent val="0"/>
          <c:showBubbleSize val="0"/>
        </c:dLbls>
        <c:marker val="1"/>
        <c:smooth val="0"/>
        <c:axId val="533776800"/>
        <c:axId val="533777160"/>
      </c:lineChart>
      <c:catAx>
        <c:axId val="53377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77160"/>
        <c:crosses val="autoZero"/>
        <c:auto val="1"/>
        <c:lblAlgn val="ctr"/>
        <c:lblOffset val="100"/>
        <c:noMultiLvlLbl val="0"/>
      </c:catAx>
      <c:valAx>
        <c:axId val="533777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7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7000 WORDS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2B75E-13AB-4762-BEF1-B34D4997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53</Pages>
  <Words>13076</Words>
  <Characters>75016</Characters>
  <Application>Microsoft Office Word</Application>
  <DocSecurity>0</DocSecurity>
  <Lines>4579</Lines>
  <Paragraphs>3105</Paragraphs>
  <ScaleCrop>false</ScaleCrop>
  <HeadingPairs>
    <vt:vector size="2" baseType="variant">
      <vt:variant>
        <vt:lpstr>Title</vt:lpstr>
      </vt:variant>
      <vt:variant>
        <vt:i4>1</vt:i4>
      </vt:variant>
    </vt:vector>
  </HeadingPairs>
  <TitlesOfParts>
    <vt:vector size="1" baseType="lpstr">
      <vt:lpstr>ANALYSIS OF FINANCIAL STATEMENTS</vt:lpstr>
    </vt:vector>
  </TitlesOfParts>
  <Company/>
  <LinksUpToDate>false</LinksUpToDate>
  <CharactersWithSpaces>85064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FINANCIAL STATEMENTS</dc:title>
  <dc:subject>ACF7004</dc:subject>
  <dc:creator>DANIEL TOLUWANI ADELEKE</dc:creator>
  <cp:lastModifiedBy>(pg) Daniel Adeleke</cp:lastModifiedBy>
  <cp:revision>29</cp:revision>
  <cp:lastPrinted>2024-05-01T23:51:00Z</cp:lastPrinted>
  <dcterms:created xsi:type="dcterms:W3CDTF">2024-04-28T21:38:00Z</dcterms:created>
  <dcterms:modified xsi:type="dcterms:W3CDTF">2024-05-01T23:51:00Z</dcterms:modified>
  <cp:category>10892938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eab049bc-9c3c-4d04-8597-284c61a37024</vt:lpwstr>
  </property>
</Properties>
</file>