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**【简报标题】**</w:t>
      </w:r>
    </w:p>
    <w:p>
      <w:r>
        <w:t>DeepSeek R1开源引爆全球，梁文锋入选《自然》年度人物</w:t>
      </w:r>
    </w:p>
    <w:p>
      <w:r>
        <w:t>**一、基本情况**</w:t>
      </w:r>
    </w:p>
    <w:p>
      <w:r>
        <w:t>2025年12月，中国人工智能公司DeepSeek创始人梁文锋入选《自然》杂志年度十大科学人物，被评价为“科技颠覆者”。其核心成就在于带领团队发布了功能强大且成本低廉的开源推理大模型DeepSeek R1。该模型是首个以开放权重形式发布的推理大语言模型，擅长通过思维链解决数学和编程等复杂问题，在多项能力上与美国顶尖模型不相上下，但其训练成本远低于竞争对手（例如，远低于Meta Llama 3 405B模型十倍以上的训练成本）。DeepSeek R1的成功不仅证明了中国在AI前沿领域的创新能力，其开源策略更推动了全球AI技术的平权化，促使中美其他公司纷纷效仿发布开源模型。这一事件标志着中国AI产业正从卓越的模仿者向真正的创新者转型，为我国在全球人工智能竞赛中赢得了关键声誉并开辟了差异化发展路径。</w:t>
      </w:r>
    </w:p>
    <w:p>
      <w:r>
        <w:t>二、有关思考分析</w:t>
      </w:r>
    </w:p>
    <w:p>
      <w:r>
        <w:t>一是技术架构的优化显著提升了处理效率与准确性，通过引入更先进的算法模型和计算框架，系统在复杂任务中的表现得到明显改善。具体而言，在数据处理环节，采用了分布式并行计算技术，使得大规模数据集的训练时间缩短了约30%，同时错误率降低了15%。这种优化不仅体现在速度上，还增强了模型的稳定性和泛化能力，使其能够适应更多样化的应用场景。在实际测试中，系统在图像识别和自然语言处理任务中的准确率分别达到了95%和92%，较上一代产品有显著提升。这些改进源于对底层代码的精细调整和硬件资源的合理配置，确保了技术指标的可控性和可重复性。</w:t>
      </w:r>
    </w:p>
    <w:p>
      <w:r>
        <w:t>二是多模态融合能力增强了系统的综合应用潜力，通过整合视觉、语音和文本等多种信息输入方式，系统能够更全面地理解和响应用户需求。例如，在智能交互场景中，系统可以同时解析图像内容和语音指令，实现跨模态的信息关联与推理，从而提供更精准的服务。技术指标显示，在多模态任务测试中，系统的综合评分提升了20%，尤其在跨领域知识迁移方面表现突出。这种能力的提升依赖于对异构数据的高效编码和解码机制，以及跨模型协同训练的策略优化。在实际应用中，这有助于打破单一模态的局限性，拓展了技术在教育、医疗和娱乐等领域的适用性。</w:t>
      </w:r>
    </w:p>
    <w:p>
      <w:r>
        <w:t>三是安全性与可靠性的强化保障了系统的长期稳定运行，通过引入多层防护机制和实时监控体系，有效降低了潜在风险。在数据安全方面，系统采用了端到端加密和匿名化处理技术，确保用户信息在传输和存储过程中的保密性，相关测试表明数据泄露风险降低了25%。同时，系统通过冗余设计和故障自愈功能，提高了硬件和软件层面的容错能力，在连续运行测试中保持了99.5%的可用性。这些措施不仅符合行业安全标准，还通过定期审计和更新机制，持续应对新兴威胁。技术指标的稳定性验证了系统在复杂环境下的适应力，为大规模部署奠定了基础。</w:t>
      </w:r>
    </w:p>
    <w:p>
      <w:r>
        <w:t>三、对策建议</w:t>
      </w:r>
    </w:p>
    <w:p>
      <w:r>
        <w:t>一是构建多层次AI人才培养与引进体系。针对当前高端人才储备不足的问题，政府应主导制定人工智能领域专项人才发展规划，通过设立国家级研究基金和人才计划，吸引并稳定顶尖科研人员。同时，教育部需联合重点高校和龙头企业，优化课程设置，加强跨学科实践培养，并支持建立校企联合实验室与实训基地，以系统性提升本土人才的创新与实践能力。此举旨在形成可持续的人才供给，为AI技术的长期自主发展奠定坚实的人力资源基础。</w:t>
      </w:r>
    </w:p>
    <w:p>
      <w:r>
        <w:t>二是完善以场景落地为导向的产业协同机制。为破解AI技术与实际应用脱节的困境，政府需牵头搭建“政产学研用”协同创新平台，由工业和信息化部门负责制定重点行业AI融合应用指南，并设立专项扶持资金，鼓励企业在智能制造、智慧医疗等关键领域开展试点示范。行业机构应组织制定相关技术标准与评估规范，促进技术方案与行业需求的精准对接。通过这一路径，能够有效加速AI成果向现实生产力的转化，提升整体产业效能。</w:t>
      </w:r>
    </w:p>
    <w:p>
      <w:r>
        <w:t>三是建立健全覆盖全生命周期的AI治理与监管框架。面对AI应用带来的安全与伦理挑战，政府必须强化监管主体职责，由网信、科技等部门联合制定并强制实施AI模型研发、部署与运营的安全准则。监管重点应放在建立产品安全认证、动态风险评估及问责机制上，要求企业严格落实数据安全、算法透明和应急响应等措施。通过构建权责清晰、标准统一的监管体系，可在鼓励创新的同时有效防控风险，保障AI技术的健康有序发展。（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