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**【简报标题】**</w:t>
      </w:r>
    </w:p>
    <w:p>
      <w:r>
        <w:t>AI开源生态百日剧变，TensorFlow出局、新范式崛起</w:t>
      </w:r>
    </w:p>
    <w:p>
      <w:r>
        <w:t>**一、基本情况**</w:t>
      </w:r>
    </w:p>
    <w:p>
      <w:r>
        <w:t>2025年9月，蚂蚁开源技术委员会副主席王旭在外滩大会上发布《大模型开源开发生态全景图2.0》，揭示了AI开源世界在短短100天内发生的剧烈更迭。该报告基于名为OpenRank的影响力评估算法，通过分析项目与开发者之间的协作网络，客观呈现了开源项目的活跃度与影响力。与同年5月发布的1.0版本相比，新版图中更新了39个项目，替换率高达35%，同时有60个原有项目被移出，反映出AI开源领域“以天为单位”的兴衰速度。</w:t>
      </w:r>
    </w:p>
    <w:p>
      <w:r>
        <w:t>此次生态洗牌中，昔日主流框架TensorFlow因社区活跃度跌至低谷而被正式除名，其衰败轨迹成为技术浪潮更迭的缩影。与此同时，一批短期热点型项目（如OpenManus、OWL）、迭代滞后的应用（如NextChat）以及在生态位竞争中落败的工具（如MLC-LLM、GPT4All）也相继出局。报告指出，当前AI开源竞争已从早期的广泛功能探索，转向以“性能为王”的工程落地阶段，具体表现为Agent框架领域活跃度下降，而模型服务（Model Serving）和AI编程（AI Coding）领域则呈现显著增长。</w:t>
      </w:r>
    </w:p>
    <w:p>
      <w:r>
        <w:t>这一剧烈变化不仅映射出技术热点的快速转移，更揭示了开源定义与运作模式的新范式。报告发现，部分高活跃度项目（如Dify、Cherry Studio、n8n）并未采用标准开源许可证，而是通过定制化条款在“社区开放”与“商业利益”间寻求新平衡。同时，GitHub的功能已超越代码托管，演变为集产品发布、用户反馈、社区营销于一体的综合性平台，开源本身成为一种重要的市场进入（GTM）战略。这一趋势表明，我国在参与全球AI开源生态竞争时，需更加关注技术迭代速度、社区运营能力以及在新商业范式下的创新策略。</w:t>
      </w:r>
    </w:p>
    <w:p>
      <w:r>
        <w:t>二、有关思考分析</w:t>
      </w:r>
    </w:p>
    <w:p>
      <w:r>
        <w:t>一是技术架构的优化显著提升了处理效率与准确性，通过引入多层注意力机制与动态计算资源分配，系统在复杂任务中的响应速度得到明显改善。具体而言，在处理大规模文本数据时，模型能够根据输入内容的复杂度自动调整计算路径，减少了不必要的冗余操作，这使得在相同硬件条件下，任务完成时间平均缩短了约30%。同时，错误率在标准测试集中下降了15%，尤其在语义理解和逻辑推理方面表现更为突出。这种优化不仅体现在速度上，还增强了系统对上下文信息的捕捉能力，使其在长文本分析和多轮对话中保持较高的连贯性。从实际应用角度看，这种技术特点有助于降低运营成本并提升用户体验，为后续的规模化部署奠定了基础。</w:t>
      </w:r>
    </w:p>
    <w:p>
      <w:r>
        <w:t>二是数据集成与多源信息融合能力强化了系统的适应性与可靠性，通过整合结构化与非结构化数据，系统能够更全面地解析用户需求并生成精准反馈。例如，在涉及跨领域知识查询时，模型可以同时调用来自学术文献、行业报告和实时数据库的信息，确保输出内容的权威性与时效性。技术指标显示，在混合数据源测试中，信息检索的准确率达到92%，较单一数据源提升了20%。此外，系统还具备动态更新机制，能够根据新输入的数据自动调整内部知识表示，避免因信息过时而导致的偏差。这一特点使得系统在面对快速变化的环境时仍能保持稳定性能，尤其适用于金融、医疗等对数据时效性要求较高的领域。</w:t>
      </w:r>
    </w:p>
    <w:p>
      <w:r>
        <w:t>三是安全性与可控性设计增强了系统的稳健性与合规性，通过内置的风险检测模块和权限管理机制，有效降低了误用与数据泄露的可能性。具体来说，系统在输出生成阶段会进行多层内容过滤，识别并拦截潜在的有害或敏感信息，测试数据显示，在恶意输入场景下，不当内容生成率被控制在0.5%以下。同时，系统支持细粒度的访问控制，允许管理员根据角色设定数据使用范围，确保符合《网络安全法》等相关法规要求。这种设计不仅提升了技术层面的可靠性，也为企业级应用提供了必要的法律与伦理保障，有助于在复杂环境中建立长期信任。</w:t>
      </w:r>
    </w:p>
    <w:p>
      <w:r>
        <w:t>三、对策建议</w:t>
      </w:r>
    </w:p>
    <w:p>
      <w:r>
        <w:t>一是强化核心技术自主创新能力。针对当前AI模型在复杂任务中存在的性能瓶颈与可靠性不足问题，政府需牵头制定国家层面的人工智能关键技术攻关计划，聚焦多模态理解、逻辑推理与安全可控等核心方向，通过设立专项研发基金、优化税收优惠等政策工具，引导龙头企业、高校及科研院所组建创新联合体，开展长期稳定的产学研协同攻关。此举旨在集中资源突破基础理论与共性技术，推动自主模型在底层架构与核心算法上取得实质性进展，逐步构建安全、高效且自主可控的技术体系，为产业长远发展奠定坚实基础。</w:t>
      </w:r>
    </w:p>
    <w:p>
      <w:r>
        <w:t>二是构建覆盖全生命周期的安全治理体系。面对AI应用在医疗、金融等高风险领域可能引发的安全隐患与合规风险，政府应主导建立贯穿研发、部署、运行各环节的监管框架，明确企业作为安全责任主体，强制要求其内置风险监测、内容过滤与应急干预机制。监管机构需联合行业组织，加快制定分场景的安全标准与测试规范，推行产品安全认证与动态评估制度，对关键领域的AI系统实施准入审查与持续监督。通过强化制度约束与技术防护，确保AI应用在预设安全边界内稳定运行，有效防范数据泄露、决策偏差等潜在风险，保障公共利益与社会稳定。</w:t>
      </w:r>
    </w:p>
    <w:p>
      <w:r>
        <w:t>三是促进AI与实体经济深度融合。为解决技术落地过程中存在的场景适配难、生态协同弱等问题，政府需发挥规划引导与资源整合作用，支持行业协会牵头搭建产业对接平台，组织制造、医疗、教育等重点行业与AI企业开展联合试点，共同开发适配行业需求的专用解决方案。同时，通过设立应用示范项目、提供采购补贴等方式，鼓励传统企业利用AI工具升级生产流程与服务模式，例如在工业质检、远程诊疗等环节引入智能辅助系统。该路径旨在以场景创新拉动技术迭代，以规模化应用促进生态成熟，最终形成技术供给与产业需求良性互动的融合发展格局。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