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【简报标题】</w:t>
      </w:r>
    </w:p>
    <w:p>
      <w:r>
        <w:t>关于欧盟人工智能监管新动态及其潜在影响的分析研判</w:t>
      </w:r>
    </w:p>
    <w:p>
      <w:r>
        <w:t>一、 基本情况</w:t>
      </w:r>
    </w:p>
    <w:p>
      <w:r>
        <w:t>近期，欧盟在人工智能（AI）领域密集推出一系列监管举措，引发全球科技产业关注。其监管行动主要围绕反垄断、数据安全与系统性风险管控三个维度展开，呈现出规则细化、执法趋严的态势。</w:t>
      </w:r>
    </w:p>
    <w:p>
      <w:r>
        <w:t>首先，在反垄断领域，欧盟委员会计划依据传统反垄断法规，对Meta公司在其即时通讯应用WhatsApp中整合“Meta AI”功能一事展开新的调查。此前，意大利反垄断机构已率先行动，指控Meta利用市场主导地位，在未获用户明确同意的情况下整合AI功能，并指出相关变更可能限制AI聊天机器人服务市场的竞争。此举表明，欧盟正密切关注科技巨头利用现有平台优势，将AI服务与核心业务捆绑可能引发的市场公平性问题。</w:t>
      </w:r>
    </w:p>
    <w:p>
      <w:r>
        <w:t>其次，在风险管控方面，欧盟委员会于2025年7月发布指导方针，以落实《人工智能法案》中对“具有系统性风险的AI模型”的监管要求。该法案将于2025年8月2日起适用于此类模型，包括由谷歌、OpenAI、Meta等公司开发的基础模型。受监管模型需履行严格的合规义务，包括进行模型评估、风险识别与缓解、对抗性测试、重大事件报告以及加强网络安全防护。对于通用型AI模型，还新增了透明度义务，需详细说明训练数据来源并落实版权政策。违反规定的企业将面临高额罚款，最高可达全球营业额的7%。</w:t>
      </w:r>
    </w:p>
    <w:p>
      <w:r>
        <w:t>此外，欧盟的监管行动并非孤立。美国近期也出台了严格的AI芯片出口管制新规，将全球分为三个管控层级，并对AI模型权重进行管控。同时，美国国会正推动立法，意图禁止从中国进口AI模型，并已在部分政府机构中禁用中国AI应用。这一系列动态共同构成了当前全球AI领域地缘政治与监管规则复杂交织的图景。</w:t>
      </w:r>
    </w:p>
    <w:p>
      <w:r>
        <w:t>综合分析，欧盟的监管政策旨在通过事前划定红线、事中加强监督、事后严厉处罚的方式，在鼓励创新与防范风险（特别是系统性风险与垄断风险）之间寻求平衡。其监管思路强调透明度、可追溯性及市场竞争公平性，这对在全球市场运营、特别是业务涉及欧盟地区的科技企业提出了更高的合规要求与运营挑战。</w:t>
      </w:r>
    </w:p>
    <w:p>
      <w:pPr>
        <w:pStyle w:val="Heading1"/>
      </w:pPr>
      <w:r>
        <w:t>二、 内容及分析</w:t>
      </w:r>
    </w:p>
    <w:p>
      <w:r>
        <w:t>一是明确政策目标与总体要求。该政策旨在通过系统性措施，提升特定领域的发展质量与效率，其核心目标是构建一个更加协调、可持续的运行体系。政策总体要求坚持目标导向与问题导向相结合，统筹发展与安全，推动实现更高质量、更有效率、更加公平、更可持续的发展。文件确立了未来一段时期的指导思想、基本原则和主要目标，为后续具体措施的制定与实施提供了根本遵循。</w:t>
      </w:r>
    </w:p>
    <w:p>
      <w:r>
        <w:t>二是细化关键领域的具体任务与措施。政策在多个关键业务板块部署了具体任务。例如，在科技创新领域，提出要加大研发投入，强化企业创新主体地位，并设定了具体的研发经费投入增长目标。在产业升级方面，政策明确支持传统产业技术改造和战略性新兴产业发展，列出了重点扶持的产业目录。对于市场环境建设，政策强调了深化“放管服”改革、完善市场监管体系、加强知识产权保护等系列举措，旨在降低制度性交易成本。</w:t>
      </w:r>
    </w:p>
    <w:p>
      <w:r>
        <w:t>三是确立配套的保障与支持机制。为确保政策目标得以实现，文件配套了相应的保障措施。在财政支持上，明确要优化支出结构，保障重点领域资金投入，并提及将安排专项资金用于支持特定项目。在金融支持方面，鼓励金融机构加大信贷投放，创新金融产品，以缓解企业融资难题。同时，政策还强调了人才保障的重要性，提出要加强专业人才培养与引进，完善相关激励政策。这些机制共同构成了支撑政策落地的系统性框架。</w:t>
      </w:r>
    </w:p>
    <w:p>
      <w:r>
        <w:t>四是设定明确的实施步骤与阶段性目标。政策对实施过程进行了规划，明确了时间节点与责任分工。文件将整体工作分解为若干重点任务，并规定了各项任务的牵头与配合部门。同时，设定了清晰的阶段性目标，例如，在节能减排方面，提出了到2025年单位GDP能耗较2020年下降的具体百分比；在基础设施建设方面，规划了到2030年新增设施的总量目标。这些量化指标为评估政策执行效果提供了可衡量的标准。</w:t>
      </w:r>
    </w:p>
    <w:p>
      <w:r>
        <w:t>五是建立监督评估与动态调整机制。政策重视执行效果的跟踪与反馈，建立了相应的监督评估体系。要求建立健全统计监测制度，定期对政策实施情况进行评估，并公开发布评估报告。文件指出，将根据国内外形势变化和实践发展需要，对政策进行动态优化和完善。同时，明确了相关考核问责办法，以确保各项责任落实到位，保障政策不偏离既定轨道，能够根据实际情况进行必要的校准。</w:t>
      </w:r>
    </w:p>
    <w:p>
      <w:pPr>
        <w:pStyle w:val="Heading1"/>
      </w:pPr>
      <w:r>
        <w:t>三、对策建议</w:t>
      </w:r>
    </w:p>
    <w:p>
      <w:r>
        <w:t>一是强化顶层设计与标准体系建设。针对当前氢能产业在制、储、运、用各环节技术标准不统一、跨区域互认困难的问题，政府应发挥主导作用，牵头组织行业机构、科研院所及龙头企业，加快构建覆盖全产业链的国家级技术标准体系。具体实施路径上，需由相关部委联合发布氢能质量、储运设备、加氢站建设与安全运营等关键领域的强制性国家标准，并推动其与国际先进标准接轨。同时，建立全国统一的氢能产品认证与监管平台，明确地方政府的执行与监督责任，确保标准落地。此举旨在打破市场壁垒，降低产业链协同成本，为氢能装备的大规模制造和商业化推广奠定基础，预期将显著提升产业发展的规范性与安全性。</w:t>
      </w:r>
    </w:p>
    <w:p>
      <w:r>
        <w:t>二是加大关键核心技术攻关与产业化支持。针对上游电解水制氢成本高昂、关键材料与部件依赖进口等瓶颈，政府需通过财政、税收等政策工具，引导并稳定市场预期。责任主体上，应由科技部门与产业主管部门协同，设立氢能专项研发基金，重点支持质子交换膜、碳纸、催化剂等核心材料的国产化攻关，以及低成本碱性与PEM电解槽技术的迭代升级。实施路径包括对承担攻关任务的企业和科研机构给予长期稳定的研发补贴与税收优惠，并鼓励通过“揭榜挂帅”机制整合优势资源。此举旨在降低绿氢制备的综合成本，提升产业链自主可控水平，预期将逐步推动绿氢在工业、交通等领域的规模化应用，增强产业核心竞争力。</w:t>
      </w:r>
    </w:p>
    <w:p>
      <w:r>
        <w:t>三是完善基础设施网络与多元化应用场景。针对加氢站等基础设施布局不足、建设运营成本高、下游应用场景单一等问题，政府需加强规划引导与跨部门协调。责任主体涉及发改、能源、交通、住建等多部门，以及地方政府和能源企业。实施路径上，应制定国家加氢站建设中长期规划，优先在重点城市群、港口、高速路网等区域布局，并对加氢站建设与运营给予适当的建设补贴和氢气销售价格政策支持。同时，通过政府采购、示范项目等方式，拓展氢能在重型卡车、长途客运、船舶、储能等领域的示范应用，并探索建立“制储加用”一体化商业模式。此举旨在破解基础设施滞后制约市场发展的矛盾，通过创造有效需求拉动整个产业链，预期将加速氢能商业化进程，培育成熟稳定的市场生态。</w:t>
      </w:r>
    </w:p>
    <w:p>
      <w:r>
        <w:t>（完）</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