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关于欧盟最新人工智能监管政策及全球竞争态势的分析研判</w:t>
      </w:r>
    </w:p>
    <w:p>
      <w:r>
        <w:t>一、基本情况</w:t>
      </w:r>
    </w:p>
    <w:p>
      <w:r>
        <w:t>近期，欧盟在人工智能（AI）监管领域连续推出重要政策，全球AI产业竞争与地缘博弈态势同步加剧，对我国互联网及科技企业发展环境产生多重影响。</w:t>
      </w:r>
    </w:p>
    <w:p>
      <w:r>
        <w:t>首先，欧盟加速构建AI监管法律框架。欧盟委员会于2025年7月11日公布最终版《通用人工智能行为准则》，并于8月2日起正式实施。该准则围绕安全与保障、透明度及版权三大方面，为通用人工智能（GPAI）模型的开发提供了合规工具。根据规定，在8月2日前构建的AI模型有2年调整期，之后构建的则有1年调整期。紧接着，欧盟委员会于7月18日发布针对“具有系统性风险”的AI模型的指导方针，要求此类模型（如谷歌、OpenAI、Meta等开发的模型）履行更严格的义务，包括进行模型评估、风险缓解、对抗性测试、重大事件报告及加强网络安全防护，违规企业将面临高额罚款。此外，欧盟监管机构持续依据《数字市场法案》（DMA）等法规对大型科技公司展开反垄断调查，例如在2025年12月初拟就Meta在其即时通讯应用WhatsApp中整合AI功能一事启动新的调查。</w:t>
      </w:r>
    </w:p>
    <w:p>
      <w:r>
        <w:t>其次，全球AI竞争呈现“技术发展”与“管制封锁”并行的鲜明特征。一方面，AI技术持续快速演进。2024年，大模型架构创新涌现（如Mamba、RWKV等挑战Transformer），追求推理能力的“新Scaling Law”成为焦点，视频生成、世界模型、具身智能与空间智能等技术推动了对通用人工智能（AGI）的探索。产业应用层面，AI正深入千行百业，但原生AI爆款应用仍待突破。另一方面，以美国为首的西方国家加紧通过出口管制、立法等手段构建技术壁垒。2025年1月，美国拜登政府出台全球AI芯片出口管制新规，将全球分为三个管控层级，严格限制向中国（Tier 3）等国家和地区出口高端AI芯片（如英伟达H100），并对AI模型权重的出口进行管控。此前，美国国会已推动《2025年美国人工智能能力与中国脱钩法案》提案，意图禁止从中国进口AI模型，甚至考虑对下载特定中国AI应用的行为处以重罚。美国国防部、NASA等政府机构已先行禁止使用DeepSeek等中国AI模型。</w:t>
      </w:r>
    </w:p>
    <w:p>
      <w:r>
        <w:t>综合研判，当前全球AI领域已形成以中美欧为主要参与方的“三极”格局，技术竞赛与规则制定竞争同步白热化。欧盟试图通过领先的监管规则设置全球标准，保护市场并塑造伦理范式；美国则着力通过技术封锁和国内大规模基建（如“星际之门”超算计划）维持其领先优势。这一系列动态使得我国互联网企业在开拓国际市场，特别是欧美市场时，将同时面临更高的合规成本、更严的技术准入限制以及更复杂的知识产权环境。同时，外部压力也可能倒逼国内AI产业在基础架构、核心算法及关键硬件领域加速自主创新。</w:t>
      </w:r>
    </w:p>
    <w:p>
      <w:pPr>
        <w:pStyle w:val="Heading1"/>
      </w:pPr>
      <w:r>
        <w:t>二、 内容及分析</w:t>
      </w:r>
    </w:p>
    <w:p>
      <w:r>
        <w:t>一是明确政策目标与总体要求。该政策旨在通过系统性措施，提升特定领域的发展质量与效率，其核心目标是构建一个更加协调、可持续的运行体系。政策总体要求坚持目标导向与问题导向相结合，统筹发展与安全，确保各项任务落到实处，最终实现预定发展蓝图。</w:t>
      </w:r>
    </w:p>
    <w:p>
      <w:r>
        <w:t>二是细化主要任务与实施路径。政策具体部署了多项关键任务，包括但不限于优化产业结构、加强科技创新支撑、完善基础设施建设以及推动绿色低碳转型。例如，在科技创新方面，政策明确提出要增加研发投入，设立专项基金以支持关键技术攻关。在基础设施建设上，规划了具体的项目清单与分阶段建设目标，如计划在特定时期内新建或改造一定数量的关键设施。</w:t>
      </w:r>
    </w:p>
    <w:p>
      <w:r>
        <w:t>三是确立重点支持领域与对象。政策划定了若干优先支持的重点领域，如高端制造、数字经济、民生服务等，并明确了相应的扶持对象，包括符合条件的企业、科研机构及特定区域。政策提供了具体的支持措施，例如对从事重点领域业务的企业给予一定比例的税收优惠，或为特定研发项目提供定额补贴。</w:t>
      </w:r>
    </w:p>
    <w:p>
      <w:r>
        <w:t>四是制定配套保障措施与监管机制。为确保政策有效执行，文件规定了组织协调、资金保障、人才支持等多方面措施。同时，建立了相应的监督评估与动态调整机制，要求定期对政策实施效果进行监测评估，并根据评估结果适时优化调整政策工具，以保障政策目标的实现。</w:t>
      </w:r>
    </w:p>
    <w:p>
      <w:r>
        <w:t>五是界定政策实施范围与期限。政策明确了其适用的地理范围、行业范围以及主体范围。同时，文件规定了政策的生效日期、特定条款的有效期限以及整体政策的评估周期，为各项工作的推进提供了清晰的时间框架。</w:t>
      </w:r>
    </w:p>
    <w:p>
      <w:pPr>
        <w:pStyle w:val="Heading1"/>
      </w:pPr>
      <w:r>
        <w:t>三、对策建议</w:t>
      </w:r>
    </w:p>
    <w:p>
      <w:r>
        <w:t>一是强化顶层设计与标准体系建设，破解技术路线与标准不统一的核心瓶颈。针对当前氢能产业技术路线多样、关键设备接口与性能标准缺失的问题，政府应发挥主导作用，联合行业权威机构，加速构建覆盖制、储、运、加、用全链条的国家级技术标准体系。具体实施路径上，可由国家能源主管部门牵头，组织科研院所、龙头企业成立专项工作组，优先制定并发布加氢站建设规范、储氢容器安全标准以及燃料电池关键部件性能测试方法。通过设立标准认证与准入制度，引导企业技术研发与产品制造向统一、安全、高效的方向收敛，从而降低产业链上下游的对接成本与安全风险，为规模化应用扫清障碍。</w:t>
      </w:r>
    </w:p>
    <w:p>
      <w:r>
        <w:t>二是构建多元化供给与基础设施网络，保障氢源稳定并降低终端用氢成本。当前氢能发展受制于高昂的绿氢成本与薄弱的加氢网络。政府需通过政策与资金组合拳，推动氢源结构优化与基础设施超前布局。责任主体上，地方政府应结合区域资源禀赋，在风光水电资源富集区规划大型绿氢示范项目，并通过财政补贴、税收优惠等方式，引导能源国企与社会资本共同投资建设。实施路径上，应制定加氢站建设中长期规划，将其纳入新型基础设施范畴，在土地审批、建设运营等方面给予明确支持。同时，探索建立“制储加一体化”商业模式和跨区域输氢试点，逐步形成经济可靠的氢能供应体系，有效降低燃料电池汽车的运营成本，提振市场信心。</w:t>
      </w:r>
    </w:p>
    <w:p>
      <w:r>
        <w:t>三是创新市场推广与跨部门协同机制，培育可持续的商业生态。针对应用场景单一、商业模式不清晰的问题，建议从国家层面加强产业协同与市场牵引。政府应联合交通、工业等重点应用领域的主管部门，制定分阶段、分领域的氢能替代目标与实施方案。例如，可率先在政府主导的市政车辆、长途重卡等固定线路场景进行规模化示范运营，并建立相应的采购与运营补贴机制。实施路径上，需打破部门壁垒，建立由发改、能源、交通、财政等多部门参与的常态化协调机制，统筹解决车辆准入、运营监管、安全管控等跨领域问题。通过打造可复制、可盈利的示范项目，吸引更多社会主体参与，最终形成市场驱动、政策保障的良性发展格局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