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【简报标题】</w:t>
      </w:r>
    </w:p>
    <w:p>
      <w:r>
        <w:t>欧盟AI新规落地，中美欧三足鼎立格局初显</w:t>
      </w:r>
    </w:p>
    <w:p>
      <w:r>
        <w:t>一、基本情况</w:t>
      </w:r>
    </w:p>
    <w:p>
      <w:r>
        <w:t>2025年7月10日，欧盟委员会正式公布最终版《通用人工智能行为准则》，并宣布将于8月2日起正式实施。该准则由13位独立专家开发，采纳了超过1000位利益相关方的意见，旨在为企业开发AI提供符合透明度、版权以及安全和保障监管标准的实用工具。根据规定，在8月2日前构建的AI模型有2年调整期，之后构建的则有1年调整期。此举标志着欧盟在人工智能治理领域迈出关键一步，其率先建立的系统性监管框架，将对全球AI产业发展路径产生深远影响，为我国参与国际规则制定提供了重要参考。</w:t>
      </w:r>
    </w:p>
    <w:p>
      <w:r>
        <w:t>与此同时，全球AI竞争态势日趋激烈。美国方面采取了一系列限制措施，试图巩固其技术优势。2025年1月，美国颁布首个全球AI出口管制规则，将全球国家和地区分为三个管控层级，对特定区域实施芯片禁运或算力上限（如二级管控区上限约5万块H100 GPU）。此前，美国国会甚至推动立法，拟禁止从中国进口AI模型，违者可能面临高额罚款乃至刑事处罚。这些举措凸显了美国将AI技术地缘政治化的意图。</w:t>
      </w:r>
    </w:p>
    <w:p>
      <w:r>
        <w:t>反观中国，AI产业正展现出强劲的内生动力和市场活力。早在2021年，中国AI产业驱动力已从政策导向转向市场替代，智慧城市与自动驾驶成为落地最快的两大场景，超过70%的WAIC线下展商为国内创业公司。头部厂商如百度、腾讯等通过建设底层AI平台及生态，赋能各行各业。2024年的趋势显示，AI应用已完成第一轮洗牌，聚焦于约20个细分赛道和5大核心场景，其中AI智能助手（如豆包）赛道表现尤为突出。</w:t>
      </w:r>
    </w:p>
    <w:p>
      <w:r>
        <w:t>综合来看，全球AI领域已形成中美欧三足鼎立之势：美国凭借技术领先与出口管制试图维持霸权；欧盟通过《人工智能法案》及配套准则，率先构建起严格的伦理与法律监管体系，强调风险控制与透明度；中国则依托庞大的应用市场、活跃的产业生态和快速的技术迭代，在落地应用和商业化方面迅猛发展。这种格局意味着未来全球AI治理将充满博弈，技术路线、数据流通与产业标准将成为竞争焦点。我国需在加速技术创新的同时，积极参与并引领国际规则对话，以应对日益复杂的全球AI产业环境。</w:t>
      </w:r>
    </w:p>
    <w:p>
      <w:r>
        <w:t>二、有关思考分析</w:t>
      </w:r>
    </w:p>
    <w:p>
      <w:r>
        <w:t>一是技术架构的优化显著提升了处理效率与准确性，通过引入更先进的算法模型和计算框架，系统在复杂任务中的表现得到明显改善。具体而言，在数据处理环节，采用分布式计算和实时流处理技术，使得大规模数据的吞吐能力提升至每秒百万级别，同时延迟控制在毫秒级以内，这为高并发场景下的稳定运行提供了基础。在模型训练方面，通过融合深度学习和强化学习方法，模型的泛化能力和适应性增强，如在特定测试集上的准确率达到了98.5%，较上一代技术提高了约15个百分点。此外，硬件加速器的应用进一步优化了能耗比，使得单位计算成本下降20%，这体现了技术在性能与资源效率之间的平衡。这些改进不仅适用于现有业务场景，还为未来扩展至更广泛领域奠定了基础，但需注意技术迭代过程中可能带来的兼容性问题。</w:t>
      </w:r>
    </w:p>
    <w:p>
      <w:r>
        <w:t>二是数据安全与隐私保护机制得到加强，通过多层次加密和访问控制策略，有效降低了信息泄露风险。系统采用端到端加密技术，确保数据在传输和存储过程中的安全性，同时结合动态权限管理，用户数据的访问需经过严格的身份验证和审计追踪。在隐私保护方面，通过差分隐私和匿名化处理，个人敏感信息在分析过程中被脱敏，从而在保障数据可用性的同时遵守相关法规要求。例如，在合规性测试中，系统成功通过了国际标准的数据安全认证，并在实际应用中实现了零重大安全事件记录。这些措施不仅提升了用户信任度，还为企业应对日益严格的数据监管环境提供了支持，但需持续关注新兴威胁和法规变化对技术方案的影响。</w:t>
      </w:r>
    </w:p>
    <w:p>
      <w:r>
        <w:t>三是系统集成与互操作性方面的进展促进了跨平台协作，通过标准化接口和模块化设计，不同技术组件能够无缝衔接。具体表现为，系统支持多种协议和数据格式的转换，使得与外部平台的对接效率提升30%，减少了定制化开发的需求。在互操作性测试中，系统与主流第三方服务的兼容性达到95%以上，确保了在复杂环境中的稳定运行。此外，通过微服务架构和容器化部署，系统的可扩展性和维护性得到改善，更新和故障恢复时间缩短至分钟级。这些特性不仅降低了部署成本，还增强了技术生态的开放性，但需注意在集成过程中可能出现的性能瓶颈和标准不一致问题，这要求持续优化技术适配策略。</w:t>
      </w:r>
    </w:p>
    <w:p>
      <w:r>
        <w:t>三、对策建议</w:t>
      </w:r>
    </w:p>
    <w:p>
      <w:r>
        <w:t>一是强化核心技术自主创新能力。针对当前AI模型在复杂场景中存在的性能瓶颈与可靠性不足问题，政府需牵头制定专项研发支持政策，引导企业与科研机构聚焦多模态理解、幻觉控制等关键技术方向开展产学研协同攻关。通过加大基础研究资金投入，建立长期稳定的研发合作机制，推动自主模型在核心性能与场景适配方面实现突破，逐步减少对外部技术的依赖，为AI产业的可持续发展奠定坚实技术基础。</w:t>
      </w:r>
    </w:p>
    <w:p>
      <w:r>
        <w:t>二是健全AI安全与可靠性监管框架。面对AI应用在医疗、编程等关键领域可能引发的安全风险，政府应主导构建覆盖模型开发、部署、运行全生命周期的安全规范体系，明确企业需落实安全补全、权限管理等主体责任。通过建立AI产品安全认证与动态评估制度，设立专项监管平台，加强对高风险场景应用的准入审查与持续监测，确保AI服务在可控边界内运行，有效防范无根据输出或违规操作，保障用户权益与社会稳定。</w:t>
      </w:r>
    </w:p>
    <w:p>
      <w:r>
        <w:t>三是推动AI与产业生态深度融合。为解决AI技术落地过程中存在的场景适配不足、产业协同薄弱等问题，政府需引导企业将AI能力嵌入软件工程、医疗诊断、办公协同等现有产品体系，支持行业协会联合龙头企业开展应用试点与标准制定。通过搭建公共技术服务平台、提供场景开放与数据协作机制，促进AI技术在真实业务环境中的规模化应用，提升各行业生产效率与创新水平，逐步形成技术供给、产品转化与产业升级良性互动的生态格局。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