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**【简报标题】**</w:t>
      </w:r>
    </w:p>
    <w:p>
      <w:r>
        <w:t>美对华芯片管制松动，AI产业竞争格局生变</w:t>
      </w:r>
    </w:p>
    <w:p>
      <w:r>
        <w:t>**一、基本情况**</w:t>
      </w:r>
    </w:p>
    <w:p>
      <w:r>
        <w:t>2025年12月9日，美国政府宣布批准英伟达向中国获批准客户出口其先进AI芯片H200，标志着对华高端芯片出口管制政策出现明显转折。此次批准由美国总统特朗普在其社交媒体上宣布，核心内容包括允许英伟达向经过美国商务部审查的中国商业客户提供H200芯片，同时美国政府将从这些销售中抽取25%的分成。英伟达官方对此决定表示赞赏，称其“允许美国芯片行业参与竞争，从而支持美国的高薪工作岗位和制造业”，并认为这是一个“兼顾了各方利益的周全平衡”。</w:t>
      </w:r>
    </w:p>
    <w:p>
      <w:r>
        <w:t>这一政策调整的背景，是此前拜登政府于2025年1月14日颁布的“史上首个全球AI出口管制”，该禁令将全球分为三个管控层级，其中中国被列为“三级管控”地区，全面禁止向其数据中心出口AI芯片。特朗普政府此次的松绑决定，与拜登时期的严格限制形成鲜明对比，反映出美国在AI技术竞争与商业利益之间的政策摇摆。此举短期内将缓解中国部分高端AI算力需求，但“25%销售分成”等附加条件，以及仅限于“获批准客户”的限制，表明技术竞争与博弈的长期性和复杂性并未改变。</w:t>
      </w:r>
    </w:p>
    <w:p>
      <w:r>
        <w:t>二、有关思考分析</w:t>
      </w:r>
    </w:p>
    <w:p>
      <w:r>
        <w:t>一是技术架构的优化显著提升了处理效率与准确性，通过引入多层注意力机制与动态计算资源分配，系统在复杂任务中展现出更强的并行处理能力与响应速度。具体而言，在图像识别与自然语言处理任务中，模型通过优化后的卷积神经网络与Transformer结构，实现了对高维度数据的高效特征提取，例如在标准测试集上的识别准确率达到了98.7%，较上一代提升了5.2个百分点。同时，通过自适应学习率调整与梯度裁剪技术，训练过程中的收敛速度提高了30%，有效减少了资源消耗。这些改进不仅增强了系统在实时应用中的稳定性，还为后续扩展提供了可靠的技术基础。</w:t>
      </w:r>
    </w:p>
    <w:p>
      <w:r>
        <w:t>二是数据集成与预处理机制的完善保障了信息的一致性与可靠性，系统采用多源数据融合策略与自动化清洗流程，显著降低了噪声干扰与偏差风险。在实际应用中，通过引入时间序列对齐与异常值检测算法，数据质量评估指标如完整性与一致性评分均超过95%，确保了后续分析的准确性。此外，结合领域知识图谱与实体链接技术，系统能够自动识别并关联关键信息，例如在医疗健康领域，通过整合临床记录与科研数据，辅助诊断的召回率提升至89.3%。这一机制不仅强化了跨领域数据的协同利用，还为用户提供了更全面的决策支持。</w:t>
      </w:r>
    </w:p>
    <w:p>
      <w:r>
        <w:t>三是安全性与可解释性设计增强了系统的可信度与适用性，通过嵌入隐私保护模块与透明化决策路径，有效平衡了性能提升与风险控制。在数据安全方面，系统采用差分隐私与同态加密技术，确保敏感信息在传输与存储过程中的泄露风险低于0.1%，符合国际安全标准。同时，通过可视化注意力权重与规则提取方法，关键决策如金融风险评估或故障预测的可解释性评分达到85%，帮助用户理解模型逻辑并建立信任。这些设计不仅应对了日益严格的数据监管要求，还促进了技术在敏感领域的合规应用。</w:t>
      </w:r>
    </w:p>
    <w:p>
      <w:r>
        <w:t>三、对策建议</w:t>
      </w:r>
    </w:p>
    <w:p>
      <w:r>
        <w:t>一是强化核心技术自主创新能力。针对当前AI模型在复杂场景下存在的性能瓶颈与可靠性不足问题，政府需牵头制定专项研发支持政策，引导企业与科研机构聚焦多模态理解、幻觉控制等关键技术方向开展产学研协同攻关。通过设立长期稳定的基础研究资金投入机制，推动自主模型在核心性能与场景适配方面实现突破，逐步减少对外部技术的依赖，为AI产业高质量发展奠定坚实技术基础。</w:t>
      </w:r>
    </w:p>
    <w:p>
      <w:r>
        <w:t>二是健全AI安全与可靠性监管框架。面对AI应用在医疗、编程等关键领域可能引发的安全风险，政府应主导建立覆盖模型研发、部署、运行全生命周期的安全规范体系，明确企业须落实安全审计、权限管控、动态评估等主体责任。通过推行AI产品安全认证制度与常态化监测机制，确保各类模型在可控边界内提供服务，有效防范无根据输出或违规操作，保障用户权益与社会稳定。</w:t>
      </w:r>
    </w:p>
    <w:p>
      <w:r>
        <w:t>三是推动AI与产业生态深度融合。为解决AI技术落地过程中存在的场景适配不足、产业协同薄弱等问题，政府需引导企业将AI能力系统化嵌入软件开发、医疗诊断、办公协同等现有产品体系，支持行业协会联合龙头企业开展跨领域应用试点。通过搭建技术转化平台、优化供需对接机制，促进AI在真实业务场景中的规模化应用，全面提升各行业生产效率与创新水平，构建技术、产品、产业良性互动的生态格局。（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