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【简报标题】</w:t>
      </w:r>
    </w:p>
    <w:p>
      <w:r>
        <w:t>关于AI芯片产业政策与技术发展趋势的分析研判</w:t>
      </w:r>
    </w:p>
    <w:p>
      <w:r>
        <w:t>一、基本情况</w:t>
      </w:r>
    </w:p>
    <w:p>
      <w:r>
        <w:t>近期，全球AI芯片领域在政策监管、技术竞争与产业整合方面呈现显著动态。政策层面，美国于2025年1月颁布了首个全球性AI芯片出口管制规则，将全球国家和地区划分为三个层级（Tier），实施差异化的算力限制。其中，对中国、俄罗斯等约24个Tier 3国家和地区的数据中心实施芯片禁运；对大多数Tier 2国家和地区设定了总算力上限（约等效5万块H100 GPU）；而美国及其18个盟友（Tier 1）则可不受限制地获取先进芯片。此举旨在将最先进的AI算力基础设施控制在美国及其盟友境内，以维持其技术领先地位。该政策已引发部分盟国及美国科技企业的反对。</w:t>
      </w:r>
    </w:p>
    <w:p>
      <w:r>
        <w:t>技术及产业层面，竞争与整合加速。一方面，头部企业通过投资与收购强化生态布局。例如，英伟达于2025年12月与AI芯片初创企业Groq达成技术授权协议，获得其低延迟芯片技术使用权，并计划整合至未来产品中，同时Groq首席执行官及部分高管将加盟英伟达。据称此次交易金额可能高达200亿美元。另一方面，技术创新持续涌现，架构优化成为焦点。2024年以来，为突破Transformer架构的算力瓶颈，类循环神经网络（如RWKV）、状态空间模型（如Mamba）等多种创新架构加速发展，呈现出混合与融合迭代的趋势。同时，Scaling Law进一步泛化，推理能力成为核心竞争点，倒逼计算与数据变革。</w:t>
      </w:r>
    </w:p>
    <w:p>
      <w:r>
        <w:t>综合来看，AI芯片领域已形成技术快速迭代、产业集中度提升、地缘政治因素深度介入的复杂局面。美国试图通过出口管制构建技术壁垒，而头部企业则通过技术整合与生态扩张巩固市场地位，确保其对核心客户与未来技术路径的长期影响力。</w:t>
      </w:r>
    </w:p>
    <w:p>
      <w:pPr>
        <w:pStyle w:val="Heading1"/>
      </w:pPr>
      <w:r>
        <w:t>二、 内容及分析</w:t>
      </w:r>
    </w:p>
    <w:p>
      <w:r>
        <w:t>一是明确政策目标与总体要求。该政策旨在通过系统性措施，提升特定领域的发展质量与效率，其核心目标是构建一个更加协调、可持续的运行体系。政策总体要求坚持目标导向与问题导向相结合，统筹发展与安全，推动实现更高质量、更有效率、更加公平、更可持续的发展。文件确立了未来一段时期的指导思想、基本原则和主要目标，为后续具体措施的制定与实施提供了根本遵循。</w:t>
      </w:r>
    </w:p>
    <w:p>
      <w:r>
        <w:t>二是细化关键领域的具体任务与措施。政策在多个关键领域部署了具体任务。例如，在产业发展方面，提出要优化产业结构，推动传统产业转型升级，并培育壮大战略性新兴产业。在科技创新领域，强调要加大研发投入，突破关键核心技术，完善创新生态体系。在区域协调方面，要求落实区域重大战略，促进要素合理流动和高效集聚。在绿色低碳领域，明确要制定实施碳达峰行动方案，推动能源结构优化和资源节约集约利用。这些措施构成了政策实施的骨干框架。</w:t>
      </w:r>
    </w:p>
    <w:p>
      <w:r>
        <w:t>三是提出强化实施保障的配套机制。为确保政策目标得以实现，文件设计了一系列保障机制。在组织保障上，要求建立健全统筹协调机制，明确各部门、各地方的责任分工。在要素保障上，提出要加强财政、金融、土地、人才等资源对重点任务领域的倾斜支持。在监督评估方面，强调要建立科学的绩效评价体系，并实施动态监测与定期评估，以便及时调整优化政策。这些机制旨在形成政策闭环，提升执行效力。</w:t>
      </w:r>
    </w:p>
    <w:p>
      <w:r>
        <w:t>四是界定政策着力解决的主要问题。政策内容直接回应了当前面临的一系列挑战。针对创新能力不足的问题，政策设定了具体的研发投入强度目标和专利产出指标。针对区域发展不平衡，政策提出了人均地区生产总值差异系数的控制目标。针对资源环境约束，明确了单位GDP能耗下降比例、主要污染物排放总量减少目标等关键量化指标。这些内容表明政策旨在精准破解发展中的瓶颈制约。</w:t>
      </w:r>
    </w:p>
    <w:p>
      <w:r>
        <w:t>五是突出数据指标与量化目标。政策文本包含了若干重要的量化指标，用以衡量进展和成效。例如，设定了到2025年，全社会研发经费投入年均增长的具体百分比，战略性新兴产业增加值占GDP比重达到的数值目标。在民生领域，提出了居民人均可支配收入增长与经济增长基本同步，城镇调查失业率控制在特定范围之内等目标。这些数据为目标管理提供了清晰、可考核的依据。</w:t>
      </w:r>
    </w:p>
    <w:p>
      <w:pPr>
        <w:pStyle w:val="Heading1"/>
      </w:pPr>
      <w:r>
        <w:t>三、对策建议</w:t>
      </w:r>
    </w:p>
    <w:p>
      <w:r>
        <w:t>一是强化顶层设计与标准体系建设，破解技术路线与标准不统一的核心瓶颈。针对当前氢能产业技术路线多样、关键设备标准缺失的问题，政府应发挥主导作用，联合行业权威机构，加快构建覆盖制、储、运、加、用全链条的国家级技术标准体系。具体路径上，可由国家能源主管部门牵头，组织科研院所、龙头企业成立专项工作组，优先制定加氢站建设规范、储氢容器安全标准以及燃料电池关键部件性能测试方法，并推动与国际主流标准接轨。此举旨在为技术研发和产业化应用提供清晰、统一的规范指引，降低企业因标准不一而产生的额外成本和市场风险，为规模化推广奠定坚实基础。</w:t>
      </w:r>
    </w:p>
    <w:p>
      <w:r>
        <w:t>二是构建多元化供给与基础设施网络，保障氢源稳定并降低终端用氢成本。针对氢源结构单一、基础设施薄弱导致用氢成本高昂的问题，政府需统筹规划，引导多元主体参与。责任主体上，地方政府应结合区域资源禀赋，合理布局可再生能源制氢项目，并鼓励传统能源企业利用工业副产氢进行提纯利用。实施路径上，中央财政可通过设立专项补贴或税收优惠，支持加氢站等关键基础设施的建设与运营，特别是高速公路沿线及重点城市群的网络布局。同时，探索建立“制-储-运-加”一体化商业模式，引导能源国企、装备制造企业与物流公司形成合作联盟，通过规模化效应摊薄储运成本。预期效果是逐步形成经济、稳定的氢能供应体系，有效缓解下游应用端的成本压力。</w:t>
      </w:r>
    </w:p>
    <w:p>
      <w:r>
        <w:t>三是聚焦场景创新与产业链协同，以示范应用驱动核心技术突破与市场培育。针对应用场景局限、产业链协同不足的问题，建议政府采取“以场景带技术、以示范促产业”的策略。责任主体上，应由工信、交通等部门联合地方政府，在重型货运、长途客运、港口机械等具有明确减碳需求的领域，组织实施一批国家级燃料电池汽车示范应用项目。实施路径上，通过政府采购、运营补贴等方式，鼓励运输企业采购燃料电池车辆，并配套建设专属的运营保障体系。同时，支持产业链上下游企业组建创新联合体，围绕示范项目中暴露出的耐久性、低温启动等技术短板进行协同攻关。此举不仅能验证技术经济性，积累运营数据，更能有效拉动关键材料、核心零部件等薄弱环节的研发与产业化，形成市场需求与产业升级的良性互动。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