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【简报标题】</w:t>
      </w:r>
    </w:p>
    <w:p>
      <w:r>
        <w:t>关于阿里云通义千问系列大模型近期动态的分析研判</w:t>
      </w:r>
    </w:p>
    <w:p>
      <w:r>
        <w:t>一、基本情况</w:t>
      </w:r>
    </w:p>
    <w:p>
      <w:r>
        <w:t>近期，阿里云通义千问系列大模型在技术研发、开源策略及市场应用方面呈现密集推进态势，主要动态集中于产品迭代、性能提升与生态扩展。</w:t>
      </w:r>
    </w:p>
    <w:p>
      <w:r>
        <w:t>在技术产品层面，阿里于2025年9月23日发布并开源了全球首个原生端到端全模态AI模型Qwen3-Omni。该模型能够统一处理文本、图像、音频和视频输入，并以文本或自然语音流式输出，在36项音频/视频基准测试中有22项达到最新水平。同期，阿里还开源了支持17种音色、10种语言的文本转语音模型Qwen3-TTS，以及图像编辑模型Qwen-Image-Edit-2509。此前，阿里已于2025年8月9日宣布其AI编程智能体Qwen Code每日向中国大陆用户提供2000次免费运行权限。</w:t>
      </w:r>
    </w:p>
    <w:p>
      <w:r>
        <w:t>在开源与性能竞争方面，阿里持续强化其开源模型阵列。早在2024年4月30日，其开源的Qwen1.5-110B模型便在多项基准测试中超越同期Llama 3 70B，重返开源大模型性能榜首。该模型支持32K上下文长度及包括中文在内的多种语言，在3个月内已是通义千问开源的第8款模型，显示出“把开源进行到底”的明确策略。</w:t>
      </w:r>
    </w:p>
    <w:p>
      <w:r>
        <w:t>在产业应用与落地层面，阿里云通义大模型业务负责人于2024年5月指出，AIGC应用落地的关键是从业务和场景出发，并以结果为导向。其认为，真正在工作流中应用的AIGC需在至少3轮交互内达到95%以上的准确率。这一观点在行业讨论中引发关注。此外，通义千问的开源模型已被第三方广泛采用，如小红书于2025年8月1日发布的社交大模型RedOne，便基于Qwen2.5开源模型进行继续预训练，在多项社交任务上取得平均14.02%的性能提升。</w:t>
      </w:r>
    </w:p>
    <w:p>
      <w:r>
        <w:t>综合研判，阿里云通义千问正通过高频次、多模态的技术开源，快速扩大其开发者生态与行业影响力，同时在性能基准上保持竞争力，并积极推动大模型在具体业务场景中的落地应用。</w:t>
      </w:r>
    </w:p>
    <w:p>
      <w:pPr>
        <w:pStyle w:val="Heading1"/>
      </w:pPr>
      <w:r>
        <w:t>二、 内容及分析</w:t>
      </w:r>
    </w:p>
    <w:p>
      <w:r>
        <w:t>一是明确政策目标与总体要求。该政策旨在通过系统性措施，提升特定领域的发展质量与效率，其核心目标是构建一个更加协调、可持续的运行体系。政策总体要求坚持目标导向与问题导向相结合，统筹发展与安全，推动实现更高质量、更有效率、更加公平、更可持续的发展。文件确立了到2025年的阶段性目标与到2035年的远景目标，为各项工作的开展提供了清晰的指引框架。</w:t>
      </w:r>
    </w:p>
    <w:p>
      <w:r>
        <w:t>二是细化重点任务与实施路径。政策具体部署了若干关键领域的重点任务。在产业升级方面，提出要优化产业结构，推动传统产业改造提升和战略性新兴产业发展壮大，并设定了具体的产业增加值占比目标。在科技创新方面，强调要强化国家战略科技力量，完善科技创新体系，计划大幅提升研发经费投入强度。在绿色低碳领域，明确了能耗强度下降和主要污染物排放总量减少的具体约束性指标，要求制定分行业分领域的实施路线图。</w:t>
      </w:r>
    </w:p>
    <w:p>
      <w:r>
        <w:t>三是健全支撑保障与配套机制。为确保政策目标顺利实现，文件规划了相应的支撑体系。在资金保障上，提出要加大财政投入力度，优化支出结构，并引导金融资源和社会资本向重点领域倾斜。在基础设施建设方面，列出了需要优先推进的一批重大工程项目清单，涉及交通、能源、信息等领域。同时，政策要求完善相关法律法规和标准体系，加强知识产权保护，为创新活动提供稳定的制度环境。</w:t>
      </w:r>
    </w:p>
    <w:p>
      <w:r>
        <w:t>四是强化组织实施与监督评估。政策对落实机制作出了明确规定。要求建立健全中央统筹、省负总责、市县抓落实的工作机制，压实各级主体责任。文件制定了详细的年度计划与分工方案，确保任务分解到位。在监督考核方面，将关键指标纳入相关考核评价体系，并引入第三方评估机制，定期对政策实施效果进行跟踪评估和动态调整，以保障政策执行的严肃性和有效性。</w:t>
      </w:r>
    </w:p>
    <w:p>
      <w:pPr>
        <w:pStyle w:val="Heading1"/>
      </w:pPr>
      <w:r>
        <w:t>三、对策建议</w:t>
      </w:r>
    </w:p>
    <w:p>
      <w:r>
        <w:t>一是强化顶层设计与标准体系建设，破解技术路线与标准不统一的核心瓶颈。针对当前氢能产业技术路线多样、关键设备标准缺失、跨区域互通互认困难等问题，政府应发挥主导作用，牵头组织科研机构、龙头企业及行业协会，加快构建覆盖制氢、储运、加注及燃料电池全链条的国家级技术标准体系。具体实施路径上，需由工业和信息化部、国家能源局等部委联合发布强制性或推荐性国家标准，明确技术门槛与安全规范，并建立全国统一的氢能产品认证与质量监督平台。此举旨在为产业链上下游企业提供清晰的技术指引，降低因标准不一导致的重复研发与市场分割成本，为规模化应用奠定坚实基础。</w:t>
      </w:r>
    </w:p>
    <w:p>
      <w:r>
        <w:t>二是构建多元化氢源供给与基础设施网络，缓解绿氢成本高与加氢站不足的供需矛盾。问题的根源在于可再生能源制氢经济性不足与基础设施投资巨大。政府需通过财政、税收、金融等政策工具进行精准引导。责任主体上，国家能源局应会同财政部，设立氢能基础设施专项补贴基金，对符合条件的绿氢生产项目及加氢站建设运营给予阶段性补贴。同时，鼓励能源央企、地方国企与社会资本合作，在重点区域优先布局加氢网络，并探索利用现有油气基础设施进行改造升级。该措施预期能有效降低终端用氢成本，刺激燃料电池汽车等下游市场需求，形成供给与需求相互促进的良性循环。</w:t>
      </w:r>
    </w:p>
    <w:p>
      <w:r>
        <w:t>三是完善产业协同创新与安全保障机制，应对核心技术依赖与安全监管挑战。深层原因在于关键材料与部件自主化率低，以及氢能作为危化品与能源的双重属性带来的监管复杂化。政府应推动建立“政产学研用金”协同创新平台，由国家发改委、科技部牵头，聚焦质子交换膜、碳纸、催化剂等卡脖子环节，组织联合攻关并给予长期稳定研发资金支持。在安全监管层面，应急管理部、市场监管总局需牵头制定并严格执行全生命周期安全监管法规，明确各环节责任主体，推广智能化安全监测技术与应急预案。通过创新与安全双轮驱动，旨在提升产业链自主可控水平，筑牢产业发展的安全底线，增强社会公众与市场投资者的信心。</w:t>
      </w:r>
    </w:p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