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3366"/>
          <w:sz w:val="40"/>
        </w:rPr>
        <w:t>Ayuda memoria</w:t>
      </w:r>
    </w:p>
    <w:p>
      <w:r>
        <w:rPr>
          <w:rFonts w:ascii="Calibri" w:hAnsi="Calibri"/>
          <w:b/>
          <w:color w:val="505050"/>
          <w:sz w:val="28"/>
        </w:rPr>
        <w:t>Empresas exportadoras a Uruguay - Ruta Exportadora</w:t>
      </w:r>
    </w:p>
    <w:p>
      <w:pPr>
        <w:spacing w:line="276" w:lineRule="auto" w:after="160"/>
      </w:pPr>
      <w:r>
        <w:rPr>
          <w:rFonts w:ascii="Calibri" w:hAnsi="Calibri"/>
          <w:sz w:val="22"/>
        </w:rPr>
        <w:t>Durante el 2026 se atendieron a 62 empresas exportadoras que atienden al mercado de Uruguay, a través de 170 productos (número de partidas únicas), el monto exportado en el 2025 (enero-diciembre) fue de USD 12.0 millones y en el 2024 fue USD 16.7 millones, con lo que se observó una disminución de 28.06% con respecto al año anterior.</w:t>
      </w:r>
    </w:p>
    <w:p>
      <w:pPr>
        <w:spacing w:line="276" w:lineRule="auto" w:after="240"/>
      </w:pPr>
      <w:r>
        <w:rPr>
          <w:rFonts w:ascii="Calibri" w:hAnsi="Calibri"/>
          <w:sz w:val="22"/>
        </w:rPr>
        <w:t>Los principales productos exportados en el 2025 fueron US$ 3.0 millones en pasta de cacao desgrasada total o parcialmente, US$ 1.7 millones en aceites esenciales de limón., US$ 1.0 millones en barquillos y obleas, incluso rellenos (gaufrettes , wafers) y waffles, USD 739 mil en demás preparaciones y conservas de pescado, USD 502 mil en arándanos rojos, mirtilos y demás frutos del género vaccinium, frescos. Las principales regiones exportadoras son Lima Metropolitana (US$ 10.5 millones / 50 empresas), Callao (USD 648 mil / 3 empresas), Ica (USD 370 mil / 3 empresas), Huánuco (USD 290 mil / 1 empresa), Piura (USD 94 mil / 3 empresas).</w:t>
      </w:r>
    </w:p>
    <w:p>
      <w:pPr>
        <w:spacing w:after="120"/>
      </w:pPr>
      <w:r>
        <w:rPr>
          <w:rFonts w:ascii="Calibri" w:hAnsi="Calibri"/>
          <w:b/>
          <w:sz w:val="22"/>
        </w:rPr>
        <w:t>Los principales programas en donde participaron las empresas fueron: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Seminario PREVENCIÓN DE RIESGOS EN EL COMERCIO EXTERIOR - Emiratos Árabes Unidos: 6 empresas participantes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Programa de capacitación en medición y gestión de Huella de Carbono de producto - vestimenta - 07 al 30 de abril: 5 empresas participantes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Requisitos de  acceso en EE.UU. y la UE para exportar Confecciones  21-05-26 (10 a.m.): 5 empresas participantes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BRCGS FOOD SAFETY VERSIÓN 9 (Grupo 1- 2026): 4 empresas participantes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4to Encuentro de Mujeres empresarias “Ella Exporta”: Una visión hacia los mercados globales: 4 empresas participantes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Seminario: Logística Terrestre en el Comercio con Ecuador: 4 empresas participantes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Envío de muestras para ferias internacionales - SNI: 3 empresas participantes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Costos de Exportación: Claves para el Comercio Internacional - SNI: 3 empresas participantes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Requisitos de etiquetado para cosméticos en CHINA 25/05/26 4p.m.: 3 empresas participantes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Curso de implementadores de debida diligencia para café y cacao: 3 empresas participantes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Requisitos de rotulado y etiquetado para la exportación de alimentos a la Estados Unidos Grupo 1 - 2026 (12 de mayo): 3 empresas participantes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CURSO VIRTUAL: Plan de Defensa Alimentaria, cumpliendo la Ley FSMA de los Estados Unidos (07 y 10 de agosto) 2026: 3 empresas participantes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Charla virtual: CalCacao: la herramienta para medir y mejorar el impacto ambiental en la cadena de valor del cacao peruano - 25 de marzo - 4 pm: 3 empresas participantes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Seminario: Prevención de riesgos en el Comercio Exterior - Chile: 3 empresas participantes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Webinar Informativo: Programa de Implementación del estándar de Buenas Prácticas de Comercio Justo Perú 2026: 3 empresas participantes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