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Amazonas 2026</w:t>
      </w:r>
    </w:p>
    <w:p/>
    <w:p>
      <w:r>
        <w:rPr>
          <w:rFonts w:ascii="Arial" w:hAnsi="Arial"/>
          <w:sz w:val="22"/>
        </w:rPr>
        <w:t>Durante el 2026 se vienen atendiendo a 129 empresas de la región de Amazonas, a través de 120 actividades, 104 en Lima y 16 en regiones. Los principales sectores son Agronegocios con 53%, Industria de la Vestimenta y Decoración con 24% e Manufacturas Diversas con 14%. De las 129 empresas atendidas, 61 exportaron a 77 mercados, 380 productos un monto de USD 3,730 millones, siendo sus principales productos minerales de hierro y sus concentrados, sin aglomerar (USD 1,232.4 millones), arándanos rojos, mirtilos y demás frutos del género vaccinium, frescos (USD 306.1 millones), uvas frescas (USD 257.6 millones) y cacao en grano, entero o partido, crudo excepto para siembra (USD 162.1 millones). Sus principales mercados atendidos son China (USD 1,300.7 millones), Estados Unidos (USD 855.3 millones) y Países Bajos (USD 231.5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Lanzamiento del proyecto COMPETE | 11 Set. - 9:00 a.m. | Arequipa, Peru | Auditorio de la Cámara de Comercio e Industria de Arequipa a 10 empresas</w:t>
      </w:r>
    </w:p>
    <w:p>
      <w:pPr>
        <w:pStyle w:val="ListBullet"/>
      </w:pPr>
      <w:r>
        <w:rPr>
          <w:rFonts w:ascii="Arial" w:hAnsi="Arial"/>
          <w:sz w:val="22"/>
        </w:rPr>
        <w:t>V FORO INTERNACIONAL DE DIVERSIFICACIÓN EXPORTADORA LAMBAYEQUE a 9 empresas</w:t>
      </w:r>
    </w:p>
    <w:p>
      <w:pPr>
        <w:pStyle w:val="ListBullet"/>
      </w:pPr>
      <w:r>
        <w:rPr>
          <w:rFonts w:ascii="Arial" w:hAnsi="Arial"/>
          <w:sz w:val="22"/>
        </w:rPr>
        <w:t>CURSO VIRTUAL: Plan de Defensa Alimentaria, cumpliendo la Ley FSMA de los Estados Unidos (07 y 10 de agosto) 2026 a 8 empresas</w:t>
      </w:r>
    </w:p>
    <w:p>
      <w:pPr>
        <w:pStyle w:val="ListBullet"/>
      </w:pPr>
      <w:r>
        <w:rPr>
          <w:rFonts w:ascii="Arial" w:hAnsi="Arial"/>
          <w:sz w:val="22"/>
        </w:rPr>
        <w:t>Charla virtual: CalCafé: la herramienta para medir y mejorar el impacto ambiental en la cadena de valor del café peruano - 26 de marzo - 4 pm a 7 empresas</w:t>
      </w:r>
    </w:p>
    <w:p>
      <w:pPr>
        <w:pStyle w:val="ListBullet"/>
      </w:pPr>
      <w:r>
        <w:rPr>
          <w:rFonts w:ascii="Arial" w:hAnsi="Arial"/>
          <w:sz w:val="22"/>
        </w:rPr>
        <w:t>Programa de medición de huella ambiental de café – CalCafé a 6 empresas</w:t>
      </w:r>
    </w:p>
    <w:p>
      <w:pPr>
        <w:pStyle w:val="ListBullet"/>
      </w:pPr>
      <w:r>
        <w:rPr>
          <w:rFonts w:ascii="Arial" w:hAnsi="Arial"/>
          <w:sz w:val="22"/>
        </w:rPr>
        <w:t>CAPACITACIÓN VIRTUAL : PLAN DE EXPORTACIÓN - COSTOS a 6 empresas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5 empresas</w:t>
      </w:r>
    </w:p>
    <w:p>
      <w:pPr>
        <w:pStyle w:val="ListBullet"/>
      </w:pPr>
      <w:r>
        <w:rPr>
          <w:rFonts w:ascii="Arial" w:hAnsi="Arial"/>
          <w:sz w:val="22"/>
        </w:rPr>
        <w:t>Programa de Debida Diligencia para el cumplimiento del EUDR 2026 a 5 empresas</w:t>
      </w:r>
    </w:p>
    <w:p>
      <w:pPr>
        <w:pStyle w:val="ListBullet"/>
      </w:pPr>
      <w:r>
        <w:rPr>
          <w:rFonts w:ascii="Arial" w:hAnsi="Arial"/>
          <w:sz w:val="22"/>
        </w:rPr>
        <w:t>Curso Controles Preventivos para Alimentos - Nacional (Agosto/Octubre 2026)) a 5 empresas</w:t>
      </w:r>
    </w:p>
    <w:p>
      <w:pPr>
        <w:pStyle w:val="ListBullet"/>
      </w:pPr>
      <w:r>
        <w:rPr>
          <w:rFonts w:ascii="Arial" w:hAnsi="Arial"/>
          <w:sz w:val="22"/>
        </w:rPr>
        <w:t>Taller contratos internacionales - SNI a 4 empresas</w:t>
      </w:r>
    </w:p>
    <w:p>
      <w:pPr>
        <w:pStyle w:val="ListBullet"/>
      </w:pPr>
      <w:r>
        <w:rPr>
          <w:rFonts w:ascii="Arial" w:hAnsi="Arial"/>
          <w:sz w:val="22"/>
        </w:rPr>
        <w:t>Capacitación uso y aplicación de Global Forest Watch Pro para el monitoreo y cumplimiento del EUDR en las cadenas de café y cacao - Chachapoyas a 4 empresas</w:t>
      </w:r>
    </w:p>
    <w:p>
      <w:pPr>
        <w:pStyle w:val="ListBullet"/>
      </w:pPr>
      <w:r>
        <w:rPr>
          <w:rFonts w:ascii="Arial" w:hAnsi="Arial"/>
          <w:sz w:val="22"/>
        </w:rPr>
        <w:t>INNOVACIÓN E INTELIGENCIA ARTIFICIAL APLICADA A LA EXPORTACIÓN a 4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- 25 de febrero VIRTUAL a 3 empresas</w:t>
      </w:r>
    </w:p>
    <w:p>
      <w:pPr>
        <w:pStyle w:val="ListBullet"/>
      </w:pPr>
      <w:r>
        <w:rPr>
          <w:rFonts w:ascii="Arial" w:hAnsi="Arial"/>
          <w:sz w:val="22"/>
        </w:rPr>
        <w:t>Charla virtual: CalCacao: la herramienta para medir y mejorar el impacto ambiental en la cadena de valor del cacao peruano - 25 de marzo - 4 pm a 3 empresas</w:t>
      </w:r>
    </w:p>
    <w:p>
      <w:pPr>
        <w:pStyle w:val="ListBullet"/>
      </w:pPr>
      <w:r>
        <w:rPr>
          <w:rFonts w:ascii="Arial" w:hAnsi="Arial"/>
          <w:sz w:val="22"/>
        </w:rPr>
        <w:t>Programa Diagnóstico Financiero - Café a 3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- 13 de mayo VIRTUAL a 3 empresas</w:t>
      </w:r>
    </w:p>
    <w:p>
      <w:pPr>
        <w:pStyle w:val="ListBullet"/>
      </w:pPr>
      <w:r>
        <w:rPr>
          <w:rFonts w:ascii="Arial" w:hAnsi="Arial"/>
          <w:sz w:val="22"/>
        </w:rPr>
        <w:t>Programa de capacitación en medición y gestión de Huella de Carbono de Producto - Agronegocios a 3 empresas</w:t>
      </w:r>
    </w:p>
    <w:p>
      <w:pPr>
        <w:pStyle w:val="ListBullet"/>
      </w:pPr>
      <w:r>
        <w:rPr>
          <w:rFonts w:ascii="Arial" w:hAnsi="Arial"/>
          <w:sz w:val="22"/>
        </w:rPr>
        <w:t>Talleres Logísticos- Ingredientes naturales a 3 empresas</w:t>
      </w:r>
    </w:p>
    <w:p>
      <w:pPr>
        <w:pStyle w:val="ListBullet"/>
      </w:pPr>
      <w:r>
        <w:rPr>
          <w:rFonts w:ascii="Arial" w:hAnsi="Arial"/>
          <w:sz w:val="22"/>
        </w:rPr>
        <w:t>LOGÍSTICA DOOR TO DOOR PERÚ - ESTADOS UNIDOS a 3 empresas</w:t>
      </w:r>
    </w:p>
    <w:p>
      <w:pPr>
        <w:pStyle w:val="ListBullet"/>
      </w:pPr>
      <w:r>
        <w:rPr>
          <w:rFonts w:ascii="Arial" w:hAnsi="Arial"/>
          <w:sz w:val="22"/>
        </w:rPr>
        <w:t>Envío de muestras para ferias internacionales - SNI a 3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