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Ayacucho 2026</w:t>
      </w:r>
    </w:p>
    <w:p/>
    <w:p>
      <w:r>
        <w:rPr>
          <w:rFonts w:ascii="Arial" w:hAnsi="Arial"/>
          <w:sz w:val="22"/>
        </w:rPr>
        <w:t>Durante el 2026 se vienen atendiendo a 68 empresas de la región de Ayacucho, a través de 52 actividades, 47 en Lima y 5 en regiones. Los principales sectores son Agronegocios con 46%, Industria de la Vestimenta y Decoración con 44% e Manufacturas Diversas con 7%. De las 68 empresas atendidas, 6 exportaron a 14 mercados, 60 productos un monto de USD 7 millones, siendo sus principales productos cacao en grano, entero o partido, crudo excepto para siembra (USD 2.3 millones), las demás plantas, partes de plantas, semillas y frutos de las especies utilizadas principalmente en perfumería, medicina o para usos insecticidas, parasiticidas o similares excepto refrigerados, congelados (USD 1.9 millones), frijol adzuki excepto para siembra (USD 0.5 millones) y los demás suéteres (jerseys), de lana o pelo fino; a excepción de los con cuello de cisne (sous pull, turtle neck). (USD 0.5 millones). Sus principales mercados atendidos son Bélgica (USD 2.0 millones), China (USD 1.4 millones) y República De Corea (Corea Del Sur) (USD 0.9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Internacionaliza tu Negocio con Exporta Fácil: De la Teoría a la Práctica - SERPOST a 17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 Expo Perú Los Andes 2026 a 9 empresas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la Estados Unidos (6 de mayo) a 8 empresas</w:t>
      </w:r>
    </w:p>
    <w:p>
      <w:pPr>
        <w:pStyle w:val="ListBullet"/>
      </w:pPr>
      <w:r>
        <w:rPr>
          <w:rFonts w:ascii="Arial" w:hAnsi="Arial"/>
          <w:sz w:val="22"/>
        </w:rPr>
        <w:t>Requisitos de acceso en EE.UU. y la UE para exportar Home Deco 22-05-26 (3pm) a 4 empresas</w:t>
      </w:r>
    </w:p>
    <w:p>
      <w:pPr>
        <w:pStyle w:val="ListBullet"/>
      </w:pPr>
      <w:r>
        <w:rPr>
          <w:rFonts w:ascii="Arial" w:hAnsi="Arial"/>
          <w:sz w:val="22"/>
        </w:rPr>
        <w:t>Requisitos de etiquetado para cosméticos en EE.UU.  28/04/26  - 4p.m. a 3 empresas</w:t>
      </w:r>
    </w:p>
    <w:p>
      <w:pPr>
        <w:pStyle w:val="ListBullet"/>
      </w:pPr>
      <w:r>
        <w:rPr>
          <w:rFonts w:ascii="Arial" w:hAnsi="Arial"/>
          <w:sz w:val="22"/>
        </w:rPr>
        <w:t>Exporta Fácil: Guía Práctica para Iniciar tu Proceso de Exportación a 3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Expo Amazónica 2026 a 3 empresas</w:t>
      </w:r>
    </w:p>
    <w:p>
      <w:pPr>
        <w:pStyle w:val="ListBullet"/>
      </w:pPr>
      <w:r>
        <w:rPr>
          <w:rFonts w:ascii="Arial" w:hAnsi="Arial"/>
          <w:sz w:val="22"/>
        </w:rPr>
        <w:t>Cálculo de Naturalidad en Cosméticos  21-07-26  a las 4p.m virtual a 2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Ingredientes Naturales a 2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2 empresas</w:t>
      </w:r>
    </w:p>
    <w:p>
      <w:pPr>
        <w:pStyle w:val="ListBullet"/>
      </w:pPr>
      <w:r>
        <w:rPr>
          <w:rFonts w:ascii="Arial" w:hAnsi="Arial"/>
          <w:sz w:val="22"/>
        </w:rPr>
        <w:t>Registro de Cosméticos Terminados en China: Requisitos Regulatorios y Procedimiento ante la NMPA   19 de julio 2026 a 2 empresas</w:t>
      </w:r>
    </w:p>
    <w:p>
      <w:pPr>
        <w:pStyle w:val="ListBullet"/>
      </w:pPr>
      <w:r>
        <w:rPr>
          <w:rFonts w:ascii="Arial" w:hAnsi="Arial"/>
          <w:sz w:val="22"/>
        </w:rPr>
        <w:t>Registro de Ingredientes Cosméticos en China: Procedimiento, Evaluación de Seguridad 01/07/26 desde 4p.m. a 2 empresas</w:t>
      </w:r>
    </w:p>
    <w:p>
      <w:pPr>
        <w:pStyle w:val="ListBullet"/>
      </w:pPr>
      <w:r>
        <w:rPr>
          <w:rFonts w:ascii="Arial" w:hAnsi="Arial"/>
          <w:sz w:val="22"/>
        </w:rPr>
        <w:t>Talleres Logísticos - Café a 2 empresas</w:t>
      </w:r>
    </w:p>
    <w:p>
      <w:pPr>
        <w:pStyle w:val="ListBullet"/>
      </w:pPr>
      <w:r>
        <w:rPr>
          <w:rFonts w:ascii="Arial" w:hAnsi="Arial"/>
          <w:sz w:val="22"/>
        </w:rPr>
        <w:t>Certificado de Origen para la exportación de confecciones a EE.UU. (12 de agosto) a 2 empresas</w:t>
      </w:r>
    </w:p>
    <w:p>
      <w:pPr>
        <w:pStyle w:val="ListBullet"/>
      </w:pPr>
      <w:r>
        <w:rPr>
          <w:rFonts w:ascii="Arial" w:hAnsi="Arial"/>
          <w:sz w:val="22"/>
        </w:rPr>
        <w:t>Capacitación: Empaques y embalajes en exportación - MINCETUR a 2 empresas</w:t>
      </w:r>
    </w:p>
    <w:p>
      <w:pPr>
        <w:pStyle w:val="ListBullet"/>
      </w:pPr>
      <w:r>
        <w:rPr>
          <w:rFonts w:ascii="Arial" w:hAnsi="Arial"/>
          <w:sz w:val="22"/>
        </w:rPr>
        <w:t>Ruta Especializada Prov. Máquinas, equipos e insumos a 1 empresa</w:t>
      </w:r>
    </w:p>
    <w:p>
      <w:pPr>
        <w:pStyle w:val="ListBullet"/>
      </w:pPr>
      <w:r>
        <w:rPr>
          <w:rFonts w:ascii="Arial" w:hAnsi="Arial"/>
          <w:sz w:val="22"/>
        </w:rPr>
        <w:t>Aprendiendo a exportar con exporta fácil - SERPOST a 1 empresa</w:t>
      </w:r>
    </w:p>
    <w:p>
      <w:pPr>
        <w:pStyle w:val="ListBullet"/>
      </w:pPr>
      <w:r>
        <w:rPr>
          <w:rFonts w:ascii="Arial" w:hAnsi="Arial"/>
          <w:sz w:val="22"/>
        </w:rPr>
        <w:t>Programa de Implementación de la norma internacional – Standard 100 (2026) vestimenta y home deco - Inicia el 15 de Abril a 1 empresa</w:t>
      </w:r>
    </w:p>
    <w:p>
      <w:pPr>
        <w:pStyle w:val="ListBullet"/>
      </w:pPr>
      <w:r>
        <w:rPr>
          <w:rFonts w:ascii="Arial" w:hAnsi="Arial"/>
          <w:sz w:val="22"/>
        </w:rPr>
        <w:t>Charla informativa: Programa Debida Diligencia para el cumplimiento del EUDR 2026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- 25 de febrero VIRTUAL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