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Cajamarca 2026</w:t>
      </w:r>
    </w:p>
    <w:p/>
    <w:p>
      <w:r>
        <w:rPr>
          <w:rFonts w:ascii="Arial" w:hAnsi="Arial"/>
          <w:sz w:val="22"/>
        </w:rPr>
        <w:t>Durante el 2026 se vienen atendiendo a 105 empresas de la región de Cajamarca, a través de 83 actividades, 75 en Lima y 8 en regiones. Los principales sectores son Agronegocios con 91%, Industria de la Vestimenta y Decoración con 4% e Manufacturas Diversas con 3%. De las 105 empresas atendidas, 44 exportaron a 31 mercados, 6 productos un monto de USD 230 millones, siendo sus principales productos café sin tostar y sin descafeinar excepto para siembra (USD 229.5 millones), cacao en grano, entero o partido, crudo excepto para siembra (USD 0.5 millones), mangos y mangostanes, frescos o secos (USD 0.1 millones) y aparatos para la preparación de café o te (USD 0.0 millones). Sus principales mercados atendidos son Estados Unidos (USD 88.2 millones), Canadá (USD 38.0 millones) y Bélgica (USD 28.9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Charla virtual: CalCafé: la herramienta para medir y mejorar el impacto ambiental en la cadena de valor del café peruano - 26 de marzo - 4 pm a 24 empresas</w:t>
      </w:r>
    </w:p>
    <w:p>
      <w:pPr>
        <w:pStyle w:val="ListBullet"/>
      </w:pPr>
      <w:r>
        <w:rPr>
          <w:rFonts w:ascii="Arial" w:hAnsi="Arial"/>
          <w:sz w:val="22"/>
        </w:rPr>
        <w:t>Presentación de resultados "Programa de Debida Diligencia para el cumplimiento del EUDR"- Cajamarca a 16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Café a 11 empresas</w:t>
      </w:r>
    </w:p>
    <w:p>
      <w:pPr>
        <w:pStyle w:val="ListBullet"/>
      </w:pPr>
      <w:r>
        <w:rPr>
          <w:rFonts w:ascii="Arial" w:hAnsi="Arial"/>
          <w:sz w:val="22"/>
        </w:rPr>
        <w:t>Estructura de costos logísticos de exportación - Asistencia Técnica - Café a 11 empresas</w:t>
      </w:r>
    </w:p>
    <w:p>
      <w:pPr>
        <w:pStyle w:val="ListBullet"/>
      </w:pPr>
      <w:r>
        <w:rPr>
          <w:rFonts w:ascii="Arial" w:hAnsi="Arial"/>
          <w:sz w:val="22"/>
        </w:rPr>
        <w:t>Capacitación uso y aplicación de Global Forest Watch Pro para el monitoreo y cumplimiento del EUDR en las cadenas de café y cacao- Jaén a 10 empresas</w:t>
      </w:r>
    </w:p>
    <w:p>
      <w:pPr>
        <w:pStyle w:val="ListBullet"/>
      </w:pPr>
      <w:r>
        <w:rPr>
          <w:rFonts w:ascii="Arial" w:hAnsi="Arial"/>
          <w:sz w:val="22"/>
        </w:rPr>
        <w:t>Programa de medición de huella ambiental de café – CalCafé a 10 empresas</w:t>
      </w:r>
    </w:p>
    <w:p>
      <w:pPr>
        <w:pStyle w:val="ListBullet"/>
      </w:pPr>
      <w:r>
        <w:rPr>
          <w:rFonts w:ascii="Arial" w:hAnsi="Arial"/>
          <w:sz w:val="22"/>
        </w:rPr>
        <w:t>PROMPERÚ Herramientas Financieras – Manejo y aplicación a 8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7 empresas</w:t>
      </w:r>
    </w:p>
    <w:p>
      <w:pPr>
        <w:pStyle w:val="ListBullet"/>
      </w:pPr>
      <w:r>
        <w:rPr>
          <w:rFonts w:ascii="Arial" w:hAnsi="Arial"/>
          <w:sz w:val="22"/>
        </w:rPr>
        <w:t>Muestra de Mensajería Internacional - MINCETUR a 7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Inicio 22 septiembre a 6 empresas</w:t>
      </w:r>
    </w:p>
    <w:p>
      <w:pPr>
        <w:pStyle w:val="ListBullet"/>
      </w:pPr>
      <w:r>
        <w:rPr>
          <w:rFonts w:ascii="Arial" w:hAnsi="Arial"/>
          <w:sz w:val="22"/>
        </w:rPr>
        <w:t>Charla informativa: Programa Debida Diligencia para el cumplimiento del EUDR 2026 a 5 empresas</w:t>
      </w:r>
    </w:p>
    <w:p>
      <w:pPr>
        <w:pStyle w:val="ListBullet"/>
      </w:pPr>
      <w:r>
        <w:rPr>
          <w:rFonts w:ascii="Arial" w:hAnsi="Arial"/>
          <w:sz w:val="22"/>
        </w:rPr>
        <w:t>V FORO INTERNACIONAL DE DIVERSIFICACIÓN EXPORTADORA LAMBAYEQUE a 5 empresas</w:t>
      </w:r>
    </w:p>
    <w:p>
      <w:pPr>
        <w:pStyle w:val="ListBullet"/>
      </w:pPr>
      <w:r>
        <w:rPr>
          <w:rFonts w:ascii="Arial" w:hAnsi="Arial"/>
          <w:sz w:val="22"/>
        </w:rPr>
        <w:t>Talleres Logísticos - Café a 5 empresas</w:t>
      </w:r>
    </w:p>
    <w:p>
      <w:pPr>
        <w:pStyle w:val="ListBullet"/>
      </w:pPr>
      <w:r>
        <w:rPr>
          <w:rFonts w:ascii="Arial" w:hAnsi="Arial"/>
          <w:sz w:val="22"/>
        </w:rPr>
        <w:t>Capacitación sobre el uso de la herramienta Exporta Fácil - MINCETUR a 5 empresas</w:t>
      </w:r>
    </w:p>
    <w:p>
      <w:pPr>
        <w:pStyle w:val="ListBullet"/>
      </w:pPr>
      <w:r>
        <w:rPr>
          <w:rFonts w:ascii="Arial" w:hAnsi="Arial"/>
          <w:sz w:val="22"/>
        </w:rPr>
        <w:t>Programa de Trazabilidad en alimentos orgánicos cacao, café y granos andinos 2026 a 4 empresas</w:t>
      </w:r>
    </w:p>
    <w:p>
      <w:pPr>
        <w:pStyle w:val="ListBullet"/>
      </w:pPr>
      <w:r>
        <w:rPr>
          <w:rFonts w:ascii="Arial" w:hAnsi="Arial"/>
          <w:sz w:val="22"/>
        </w:rPr>
        <w:t>RPE:Capacitación en Gestión Financiera y productos de financiamiento para la actividad exportadora - MINCETUR a 4 empresas</w:t>
      </w:r>
    </w:p>
    <w:p>
      <w:pPr>
        <w:pStyle w:val="ListBullet"/>
      </w:pPr>
      <w:r>
        <w:rPr>
          <w:rFonts w:ascii="Arial" w:hAnsi="Arial"/>
          <w:sz w:val="22"/>
        </w:rPr>
        <w:t>Capacitación en materia legal de operaciones de comercio exterior - Café a 4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CalCacao: la herramienta para medir y mejorar el impacto ambiental en la cadena de valor del cacao peruano - 25 de marzo - 4 pm a 3 empresas</w:t>
      </w:r>
    </w:p>
    <w:p>
      <w:pPr>
        <w:pStyle w:val="ListBullet"/>
      </w:pPr>
      <w:r>
        <w:rPr>
          <w:rFonts w:ascii="Arial" w:hAnsi="Arial"/>
          <w:sz w:val="22"/>
        </w:rPr>
        <w:t>Programa de Debida Diligencia para el cumplimiento del EUDR 2026 a 3 empresas</w:t>
      </w:r>
    </w:p>
    <w:p>
      <w:pPr>
        <w:pStyle w:val="ListBullet"/>
      </w:pPr>
      <w:r>
        <w:rPr>
          <w:rFonts w:ascii="Arial" w:hAnsi="Arial"/>
          <w:sz w:val="22"/>
        </w:rPr>
        <w:t>Requisitos de rotulado y etiquetado para la exportación de alimentos a EE.UU (23 DE JUNIO 2026) a 3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