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Ayuda memoria de las atenciones de la Ruta Exportadora en Cusco 2026</w:t>
      </w:r>
    </w:p>
    <w:p/>
    <w:p>
      <w:r>
        <w:rPr>
          <w:rFonts w:ascii="Arial" w:hAnsi="Arial"/>
          <w:sz w:val="22"/>
        </w:rPr>
        <w:t>Durante el 2026 se vienen atendiendo a 96 empresas de la región de Cusco, a través de 114 actividades, 107 en Lima y 7 en regiones. Los principales sectores son Agronegocios con 45%, Industria de la Vestimenta y Decoración con 38% e Manufacturas Diversas con 14%. De las 96 empresas atendidas, 22 exportaron a 27 mercados, 49 productos un monto de USD 24 millones, siendo sus principales productos café sin tostar y sin descafeinar excepto para siembra (USD 14.3 millones), materias colorantes de origen vegetal de achiote (onoto, bija) (USD 5.2 millones), cocaína; sus sales, ésteres y demás derivados (USD 1.4 millones) y cacao en grano, entero o partido, crudo excepto para siembra (USD 1.1 millones). Sus principales mercados atendidos son Estados Unidos (USD 11.7 millones), Alemania (USD 3.8 millones) y Reino Unido (USD 2.8 millones).</w:t>
      </w:r>
    </w:p>
    <w:p>
      <w:r>
        <w:rPr>
          <w:rFonts w:ascii="Arial" w:hAnsi="Arial"/>
          <w:b/>
          <w:sz w:val="22"/>
        </w:rPr>
        <w:t>Las principales atenciones recibidas en el 2026 son:</w:t>
      </w:r>
    </w:p>
    <w:p>
      <w:pPr>
        <w:pStyle w:val="ListBullet"/>
      </w:pPr>
      <w:r>
        <w:rPr>
          <w:rFonts w:ascii="Arial" w:hAnsi="Arial"/>
          <w:sz w:val="22"/>
        </w:rPr>
        <w:t>Requisitos para la exportación de Joyería (25 de junio) a 10 empresas</w:t>
      </w:r>
    </w:p>
    <w:p>
      <w:pPr>
        <w:pStyle w:val="ListBullet"/>
      </w:pPr>
      <w:r>
        <w:rPr>
          <w:rFonts w:ascii="Arial" w:hAnsi="Arial"/>
          <w:sz w:val="22"/>
        </w:rPr>
        <w:t>Tendencias de artículos de decoración y regalo Post-Feria Ambiente Alemania - Casos de éxito  2026 a 9 empresas</w:t>
      </w:r>
    </w:p>
    <w:p>
      <w:pPr>
        <w:pStyle w:val="ListBullet"/>
      </w:pPr>
      <w:r>
        <w:rPr>
          <w:rFonts w:ascii="Arial" w:hAnsi="Arial"/>
          <w:sz w:val="22"/>
        </w:rPr>
        <w:t>Webinar Informativo: Programa de Implementación del estándar de Buenas Prácticas de Comercio Justo Perú 2026 a 6 empresas</w:t>
      </w:r>
    </w:p>
    <w:p>
      <w:pPr>
        <w:pStyle w:val="ListBullet"/>
      </w:pPr>
      <w:r>
        <w:rPr>
          <w:rFonts w:ascii="Arial" w:hAnsi="Arial"/>
          <w:sz w:val="22"/>
        </w:rPr>
        <w:t>Logística de Comercio exterior - MINCETUR a 5 empresas</w:t>
      </w:r>
    </w:p>
    <w:p>
      <w:pPr>
        <w:pStyle w:val="ListBullet"/>
      </w:pPr>
      <w:r>
        <w:rPr>
          <w:rFonts w:ascii="Arial" w:hAnsi="Arial"/>
          <w:sz w:val="22"/>
        </w:rPr>
        <w:t>Curso de implementadores de debida diligencia para café y cacao a 5 empresas</w:t>
      </w:r>
    </w:p>
    <w:p>
      <w:pPr>
        <w:pStyle w:val="ListBullet"/>
      </w:pPr>
      <w:r>
        <w:rPr>
          <w:rFonts w:ascii="Arial" w:hAnsi="Arial"/>
          <w:sz w:val="22"/>
        </w:rPr>
        <w:t>Miércoles Exportador - 18 de febrero VIRTUAL a 4 empresas</w:t>
      </w:r>
    </w:p>
    <w:p>
      <w:pPr>
        <w:pStyle w:val="ListBullet"/>
      </w:pPr>
      <w:r>
        <w:rPr>
          <w:rFonts w:ascii="Arial" w:hAnsi="Arial"/>
          <w:sz w:val="22"/>
        </w:rPr>
        <w:t>Programa Diagnóstico Financiero - Café a 4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- 22 de julio VIRTUAL a 4 empresas</w:t>
      </w:r>
    </w:p>
    <w:p>
      <w:pPr>
        <w:pStyle w:val="ListBullet"/>
      </w:pPr>
      <w:r>
        <w:rPr>
          <w:rFonts w:ascii="Arial" w:hAnsi="Arial"/>
          <w:sz w:val="22"/>
        </w:rPr>
        <w:t>Cálculo de Naturalidad en Cosméticos  21-07-26  a las 4p.m virtual a 3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- 18 de marzo VIRTUAL a 3 empresas</w:t>
      </w:r>
    </w:p>
    <w:p>
      <w:pPr>
        <w:pStyle w:val="ListBullet"/>
      </w:pPr>
      <w:r>
        <w:rPr>
          <w:rFonts w:ascii="Arial" w:hAnsi="Arial"/>
          <w:sz w:val="22"/>
        </w:rPr>
        <w:t>Charla virtual: CalCafé: la herramienta para medir y mejorar el impacto ambiental en la cadena de valor del café peruano - 26 de marzo - 4 pm a 3 empresas</w:t>
      </w:r>
    </w:p>
    <w:p>
      <w:pPr>
        <w:pStyle w:val="ListBullet"/>
      </w:pPr>
      <w:r>
        <w:rPr>
          <w:rFonts w:ascii="Arial" w:hAnsi="Arial"/>
          <w:sz w:val="22"/>
        </w:rPr>
        <w:t>Miércoles del Exportador - 08 de abril VIRTUAL a 3 empresas</w:t>
      </w:r>
    </w:p>
    <w:p>
      <w:pPr>
        <w:pStyle w:val="ListBullet"/>
      </w:pPr>
      <w:r>
        <w:rPr>
          <w:rFonts w:ascii="Arial" w:hAnsi="Arial"/>
          <w:sz w:val="22"/>
        </w:rPr>
        <w:t>Registro de Ingredientes Cosméticos en China: Procedimiento, Evaluación de Seguridad 01/07/26 desde 4p.m. a 3 empresas</w:t>
      </w:r>
    </w:p>
    <w:p>
      <w:pPr>
        <w:pStyle w:val="ListBullet"/>
      </w:pPr>
      <w:r>
        <w:rPr>
          <w:rFonts w:ascii="Arial" w:hAnsi="Arial"/>
          <w:sz w:val="22"/>
        </w:rPr>
        <w:t>Requisitos de etiquetado para cosméticos en CHINA 25/05/26 4p.m. a 3 empresas</w:t>
      </w:r>
    </w:p>
    <w:p>
      <w:pPr>
        <w:pStyle w:val="ListBullet"/>
      </w:pPr>
      <w:r>
        <w:rPr>
          <w:rFonts w:ascii="Arial" w:hAnsi="Arial"/>
          <w:sz w:val="22"/>
        </w:rPr>
        <w:t>Capacitaciones y Asistencia Técnica - Programa de Implementación del estándar de Buenas Prácticas de Comercio Justo Perú 2026 a 3 empresas</w:t>
      </w:r>
    </w:p>
    <w:p>
      <w:pPr>
        <w:pStyle w:val="ListBullet"/>
      </w:pPr>
      <w:r>
        <w:rPr>
          <w:rFonts w:ascii="Arial" w:hAnsi="Arial"/>
          <w:sz w:val="22"/>
        </w:rPr>
        <w:t>ASISTENCIA TÉCNICA EN GESTION COMERCIAL LINEA  CACAO E INDREDIENTES NATURALES_CUSCO a 3 empresas</w:t>
      </w:r>
    </w:p>
    <w:p>
      <w:pPr>
        <w:pStyle w:val="ListBullet"/>
      </w:pPr>
      <w:r>
        <w:rPr>
          <w:rFonts w:ascii="Arial" w:hAnsi="Arial"/>
          <w:sz w:val="22"/>
        </w:rPr>
        <w:t>Lanzamiento del proyecto COMPETE | 11 Set. - 9:00 a.m. | Arequipa, Peru | Auditorio de la Cámara de Comercio e Industria de Arequipa a 3 empresas</w:t>
      </w:r>
    </w:p>
    <w:p>
      <w:pPr>
        <w:pStyle w:val="ListBullet"/>
      </w:pPr>
      <w:r>
        <w:rPr>
          <w:rFonts w:ascii="Arial" w:hAnsi="Arial"/>
          <w:sz w:val="22"/>
        </w:rPr>
        <w:t>Negociaciones con Impacto - Expo Amazónica 2026 a 3 empresas</w:t>
      </w:r>
    </w:p>
    <w:p>
      <w:pPr>
        <w:pStyle w:val="ListBullet"/>
      </w:pPr>
      <w:r>
        <w:rPr>
          <w:rFonts w:ascii="Arial" w:hAnsi="Arial"/>
          <w:sz w:val="22"/>
        </w:rPr>
        <w:t>PROMPERÚ Herramientas Financieras – Manejo y aplicación a 2 empresas</w:t>
      </w:r>
    </w:p>
    <w:p>
      <w:pPr>
        <w:pStyle w:val="ListBullet"/>
      </w:pPr>
      <w:r>
        <w:rPr>
          <w:rFonts w:ascii="Arial" w:hAnsi="Arial"/>
          <w:sz w:val="22"/>
        </w:rPr>
        <w:t>Requisitos técnicos para exportar prendas de vestir a la Comunidad Andina 18/03/26 a 2 empresas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