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Ayuda memoria de las atenciones de la Ruta Exportadora en Huánuco 2026</w:t>
      </w:r>
    </w:p>
    <w:p/>
    <w:p>
      <w:r>
        <w:rPr>
          <w:rFonts w:ascii="Arial" w:hAnsi="Arial"/>
          <w:sz w:val="22"/>
        </w:rPr>
        <w:t>Durante el 2026 se vienen atendiendo a 39 empresas de la región de Huánuco, a través de 47 actividades, 41 en Lima y 6 en regiones. Los principales sectores son Agronegocios con 54%, Industria de la Vestimenta y Decoración con 28% e Manufacturas Diversas con 10%. De las 39 empresas atendidas, 7 exportaron a 36 mercados, 79 productos un monto de USD 44 millones, siendo sus principales productos pasta de cacao sin desgrasar (USD 10.0 millones), manteca de cacao con un índice de acidez expresado en ácido oleico superior a 1% pero inferior o igual a 1.65% (USD 8.5 millones), barras y perfiles de aleaciones de cobre a base de cobre-cinc (latón) (USD 6.2 millones) y cacao en polvo sin adición de azúcar ni otro edulcorante. (USD 4.3 millones). Sus principales mercados atendidos son Estados Unidos (USD 8.5 millones), Países Bajos (USD 6.9 millones) y Ecuador (USD 6.4 millones).</w:t>
      </w:r>
    </w:p>
    <w:p>
      <w:r>
        <w:rPr>
          <w:rFonts w:ascii="Arial" w:hAnsi="Arial"/>
          <w:b/>
          <w:sz w:val="22"/>
        </w:rPr>
        <w:t>Las principales atenciones recibidas en el 2026 son:</w:t>
      </w:r>
    </w:p>
    <w:p>
      <w:pPr>
        <w:pStyle w:val="ListBullet"/>
      </w:pPr>
      <w:r>
        <w:rPr>
          <w:rFonts w:ascii="Arial" w:hAnsi="Arial"/>
          <w:sz w:val="22"/>
        </w:rPr>
        <w:t>Miércoles del Exportador - 09 de setiembre PRESENCIAL- Auditorio CAMARA DE COMERCIO DE HUÁNUCO a 9 empresas</w:t>
      </w:r>
    </w:p>
    <w:p>
      <w:pPr>
        <w:pStyle w:val="ListBullet"/>
      </w:pPr>
      <w:r>
        <w:rPr>
          <w:rFonts w:ascii="Arial" w:hAnsi="Arial"/>
          <w:sz w:val="22"/>
        </w:rPr>
        <w:t>Charla virtual: CalCacao: la herramienta para medir y mejorar el impacto ambiental en la cadena de valor del cacao peruano - 25 de marzo - 4 pm a 4 empresas</w:t>
      </w:r>
    </w:p>
    <w:p>
      <w:pPr>
        <w:pStyle w:val="ListBullet"/>
      </w:pPr>
      <w:r>
        <w:rPr>
          <w:rFonts w:ascii="Arial" w:hAnsi="Arial"/>
          <w:sz w:val="22"/>
        </w:rPr>
        <w:t>Tendencias de artículos de decoración y regalo Post-Feria Ambiente Alemania - Casos de éxito  2026 a 4 empresas</w:t>
      </w:r>
    </w:p>
    <w:p>
      <w:pPr>
        <w:pStyle w:val="ListBullet"/>
      </w:pPr>
      <w:r>
        <w:rPr>
          <w:rFonts w:ascii="Arial" w:hAnsi="Arial"/>
          <w:sz w:val="22"/>
        </w:rPr>
        <w:t>Curso de implementadores de debida diligencia para café y cacao a 3 empresas</w:t>
      </w:r>
    </w:p>
    <w:p>
      <w:pPr>
        <w:pStyle w:val="ListBullet"/>
      </w:pPr>
      <w:r>
        <w:rPr>
          <w:rFonts w:ascii="Arial" w:hAnsi="Arial"/>
          <w:sz w:val="22"/>
        </w:rPr>
        <w:t>Capacitación sobre el uso de la herramienta Exporta Fácil - MINCETUR a 3 empresas</w:t>
      </w:r>
    </w:p>
    <w:p>
      <w:pPr>
        <w:pStyle w:val="ListBullet"/>
      </w:pPr>
      <w:r>
        <w:rPr>
          <w:rFonts w:ascii="Arial" w:hAnsi="Arial"/>
          <w:sz w:val="22"/>
        </w:rPr>
        <w:t>Talleres Logísticos - Café a 2 empresas</w:t>
      </w:r>
    </w:p>
    <w:p>
      <w:pPr>
        <w:pStyle w:val="ListBullet"/>
      </w:pPr>
      <w:r>
        <w:rPr>
          <w:rFonts w:ascii="Arial" w:hAnsi="Arial"/>
          <w:sz w:val="22"/>
        </w:rPr>
        <w:t>Negociaciones con Impacto -  Expo Perú Los Andes 2026 a 2 empresas</w:t>
      </w:r>
    </w:p>
    <w:p>
      <w:pPr>
        <w:pStyle w:val="ListBullet"/>
      </w:pPr>
      <w:r>
        <w:rPr>
          <w:rFonts w:ascii="Arial" w:hAnsi="Arial"/>
          <w:sz w:val="22"/>
        </w:rPr>
        <w:t>Certificado de Origen para la exportación de confecciones a EE.UU. (12 de agosto) a 2 empresas</w:t>
      </w:r>
    </w:p>
    <w:p>
      <w:pPr>
        <w:pStyle w:val="ListBullet"/>
      </w:pPr>
      <w:r>
        <w:rPr>
          <w:rFonts w:ascii="Arial" w:hAnsi="Arial"/>
          <w:sz w:val="22"/>
        </w:rPr>
        <w:t>Miércoles del Exportador - 05 de agosto VIRTUAL a 2 empresas</w:t>
      </w:r>
    </w:p>
    <w:p>
      <w:pPr>
        <w:pStyle w:val="ListBullet"/>
      </w:pPr>
      <w:r>
        <w:rPr>
          <w:rFonts w:ascii="Arial" w:hAnsi="Arial"/>
          <w:sz w:val="22"/>
        </w:rPr>
        <w:t>Capacitación: Empaques y embalajes en exportación - MINCETUR a 2 empresas</w:t>
      </w:r>
    </w:p>
    <w:p>
      <w:pPr>
        <w:pStyle w:val="ListBullet"/>
      </w:pPr>
      <w:r>
        <w:rPr>
          <w:rFonts w:ascii="Arial" w:hAnsi="Arial"/>
          <w:sz w:val="22"/>
        </w:rPr>
        <w:t>Taller virtual de Innovación Exportadora; 27 de agosto de 2026 a 2 empresas</w:t>
      </w:r>
    </w:p>
    <w:p>
      <w:pPr>
        <w:pStyle w:val="ListBullet"/>
      </w:pPr>
      <w:r>
        <w:rPr>
          <w:rFonts w:ascii="Arial" w:hAnsi="Arial"/>
          <w:sz w:val="22"/>
        </w:rPr>
        <w:t>PROMPERÚ Herramientas Financieras – Manejo y aplicación a 1 empresa</w:t>
      </w:r>
    </w:p>
    <w:p>
      <w:pPr>
        <w:pStyle w:val="ListBullet"/>
      </w:pPr>
      <w:r>
        <w:rPr>
          <w:rFonts w:ascii="Arial" w:hAnsi="Arial"/>
          <w:sz w:val="22"/>
        </w:rPr>
        <w:t>Diseño y Desarrollo de colecciones Joyería 2026 a 1 empresa</w:t>
      </w:r>
    </w:p>
    <w:p>
      <w:pPr>
        <w:pStyle w:val="ListBullet"/>
      </w:pPr>
      <w:r>
        <w:rPr>
          <w:rFonts w:ascii="Arial" w:hAnsi="Arial"/>
          <w:sz w:val="22"/>
        </w:rPr>
        <w:t>Miércoles Exportador - 11 febrero VIRTUAL a 1 empresa</w:t>
      </w:r>
    </w:p>
    <w:p>
      <w:pPr>
        <w:pStyle w:val="ListBullet"/>
      </w:pPr>
      <w:r>
        <w:rPr>
          <w:rFonts w:ascii="Arial" w:hAnsi="Arial"/>
          <w:sz w:val="22"/>
        </w:rPr>
        <w:t>Charla informativa: Programa Debida Diligencia para el cumplimiento del EUDR 2026 a 1 empresa</w:t>
      </w:r>
    </w:p>
    <w:p>
      <w:pPr>
        <w:pStyle w:val="ListBullet"/>
      </w:pPr>
      <w:r>
        <w:rPr>
          <w:rFonts w:ascii="Arial" w:hAnsi="Arial"/>
          <w:sz w:val="22"/>
        </w:rPr>
        <w:t>Taller virtual de Transformación Digital; 25 de febrero de 2026 a 1 empresa</w:t>
      </w:r>
    </w:p>
    <w:p>
      <w:pPr>
        <w:pStyle w:val="ListBullet"/>
      </w:pPr>
      <w:r>
        <w:rPr>
          <w:rFonts w:ascii="Arial" w:hAnsi="Arial"/>
          <w:sz w:val="22"/>
        </w:rPr>
        <w:t>Miércoles del Exportador - 04 de marzo VIRTUAL a 1 empresa</w:t>
      </w:r>
    </w:p>
    <w:p>
      <w:pPr>
        <w:pStyle w:val="ListBullet"/>
      </w:pPr>
      <w:r>
        <w:rPr>
          <w:rFonts w:ascii="Arial" w:hAnsi="Arial"/>
          <w:sz w:val="22"/>
        </w:rPr>
        <w:t>Miércoles del Exportador - 11 de marzo VIRTUAL a 1 empresa</w:t>
      </w:r>
    </w:p>
    <w:p>
      <w:pPr>
        <w:pStyle w:val="ListBullet"/>
      </w:pPr>
      <w:r>
        <w:rPr>
          <w:rFonts w:ascii="Arial" w:hAnsi="Arial"/>
          <w:sz w:val="22"/>
        </w:rPr>
        <w:t>Taller de Lecciones Aprendidas - Programa de Debida Diligencia en Cadenas de Suministro a 1 empresa</w:t>
      </w:r>
    </w:p>
    <w:p>
      <w:pPr>
        <w:pStyle w:val="ListBullet"/>
      </w:pPr>
      <w:r>
        <w:rPr>
          <w:rFonts w:ascii="Arial" w:hAnsi="Arial"/>
          <w:sz w:val="22"/>
        </w:rPr>
        <w:t>Charla virtual: CalCafé: la herramienta para medir y mejorar el impacto ambiental en la cadena de valor del café peruano - 26 de marzo - 4 pm a 1 empresa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