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Huancavelica 2026</w:t>
      </w:r>
    </w:p>
    <w:p/>
    <w:p>
      <w:r>
        <w:rPr>
          <w:rFonts w:ascii="Arial" w:hAnsi="Arial"/>
          <w:sz w:val="22"/>
        </w:rPr>
        <w:t>Durante el 2026 se vienen atendiendo a 14 empresas de la región de Huancavelica, a través de 11 actividades, 7 en Lima y 4 en regiones. Los principales sectores son Industria de la Vestimenta y Decoración con 64%, Agronegocios con 14% e Manufacturas Diversas con 14%. De las 14 empresas atendidas, 0 exportaron a 0 mercados, 0 productos un monto de USD 0 millones, siendo sus principales productos sin productos destacados. Sus principales mercados atendidos son sin mercados destacados.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PLANEX 2026 - MRC a 3 empresas</w:t>
      </w:r>
    </w:p>
    <w:p>
      <w:pPr>
        <w:pStyle w:val="ListBullet"/>
      </w:pPr>
      <w:r>
        <w:rPr>
          <w:rFonts w:ascii="Arial" w:hAnsi="Arial"/>
          <w:sz w:val="22"/>
        </w:rPr>
        <w:t>Negociaciones con Impacto -  Expo Perú Los Andes 2026 a 3 empresas</w:t>
      </w:r>
    </w:p>
    <w:p>
      <w:pPr>
        <w:pStyle w:val="ListBullet"/>
      </w:pPr>
      <w:r>
        <w:rPr>
          <w:rFonts w:ascii="Arial" w:hAnsi="Arial"/>
          <w:sz w:val="22"/>
        </w:rPr>
        <w:t>Requisitos de  acceso en EE.UU. y la UE para exportar Confecciones  21-05-26 (10 a.m.) a 2 empresas</w:t>
      </w:r>
    </w:p>
    <w:p>
      <w:pPr>
        <w:pStyle w:val="ListBullet"/>
      </w:pPr>
      <w:r>
        <w:rPr>
          <w:rFonts w:ascii="Arial" w:hAnsi="Arial"/>
          <w:sz w:val="22"/>
        </w:rPr>
        <w:t>Conversatorio para la Guía de Exportación de Joyas a 1 empresa</w:t>
      </w:r>
    </w:p>
    <w:p>
      <w:pPr>
        <w:pStyle w:val="ListBullet"/>
      </w:pPr>
      <w:r>
        <w:rPr>
          <w:rFonts w:ascii="Arial" w:hAnsi="Arial"/>
          <w:sz w:val="22"/>
        </w:rPr>
        <w:t>Miércoles Exportador - 18 de febrero VIRTUAL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- 11 de marzo VIRTUAL a 1 empresa</w:t>
      </w:r>
    </w:p>
    <w:p>
      <w:pPr>
        <w:pStyle w:val="ListBullet"/>
      </w:pPr>
      <w:r>
        <w:rPr>
          <w:rFonts w:ascii="Arial" w:hAnsi="Arial"/>
          <w:sz w:val="22"/>
        </w:rPr>
        <w:t>Webinar Informativo: Programa de Implementación del estándar de Buenas Prácticas de Comercio Justo Perú 2026 a 1 empresa</w:t>
      </w:r>
    </w:p>
    <w:p>
      <w:pPr>
        <w:pStyle w:val="ListBullet"/>
      </w:pPr>
      <w:r>
        <w:rPr>
          <w:rFonts w:ascii="Arial" w:hAnsi="Arial"/>
          <w:sz w:val="22"/>
        </w:rPr>
        <w:t>Tendencias de artículos de decoración y regalo Post-Feria Ambiente Alemania - Casos de éxito  2026 a 1 empresa</w:t>
      </w:r>
    </w:p>
    <w:p>
      <w:pPr>
        <w:pStyle w:val="ListBullet"/>
      </w:pPr>
      <w:r>
        <w:rPr>
          <w:rFonts w:ascii="Arial" w:hAnsi="Arial"/>
          <w:sz w:val="22"/>
        </w:rPr>
        <w:t>Internacionaliza tu Negocio con Exporta Fácil: De la Teoría a la Práctica - SERPOST a 1 empresa</w:t>
      </w:r>
    </w:p>
    <w:p>
      <w:pPr>
        <w:pStyle w:val="ListBullet"/>
      </w:pPr>
      <w:r>
        <w:rPr>
          <w:rFonts w:ascii="Arial" w:hAnsi="Arial"/>
          <w:sz w:val="22"/>
        </w:rPr>
        <w:t>Capacitación en materia legal de operaciones de comercio exterior - Prov. Máquinas, equipos e insumos a 1 empresa</w:t>
      </w:r>
    </w:p>
    <w:p>
      <w:pPr>
        <w:pStyle w:val="ListBullet"/>
      </w:pPr>
      <w:r>
        <w:rPr>
          <w:rFonts w:ascii="Arial" w:hAnsi="Arial"/>
          <w:sz w:val="22"/>
        </w:rPr>
        <w:t>Negociacion comercial internacional para empresas sector vestimenta a 1 empresa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