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Junín 2026</w:t>
      </w:r>
    </w:p>
    <w:p/>
    <w:p>
      <w:r>
        <w:rPr>
          <w:rFonts w:ascii="Arial" w:hAnsi="Arial"/>
          <w:sz w:val="22"/>
        </w:rPr>
        <w:t>Durante el 2026 se vienen atendiendo a 149 empresas de la región de Junín, a través de 134 actividades, 123 en Lima y 11 en regiones. Los principales sectores son Agronegocios con 75%, Industria de la Vestimenta y Decoración con 14% e Manufacturas Diversas con 7%. De las 149 empresas atendidas, 50 exportaron a 34 mercados, 58 productos un monto de USD 230 millones, siendo sus principales productos café sin tostar y sin descafeinar excepto para siembra (USD 95.0 millones), cacao en grano, entero o partido, crudo excepto para siembra (USD 90.5 millones), jengibre sin triturar ni pulverizar (USD 18.9 millones) y piñas tropicales (ananás) ,frescas o secas (USD 13.9 millones). Sus principales mercados atendidos son Alemania (USD 62.2 millones), Italia (USD 45.3 millones) y Estados Unidos (USD 43.9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PLANEX 2026 - MRC a 15 empresas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15 empresas</w:t>
      </w:r>
    </w:p>
    <w:p>
      <w:pPr>
        <w:pStyle w:val="ListBullet"/>
      </w:pPr>
      <w:r>
        <w:rPr>
          <w:rFonts w:ascii="Arial" w:hAnsi="Arial"/>
          <w:sz w:val="22"/>
        </w:rPr>
        <w:t>Capacitación uso y aplicación de Global Forest Watch Pro para el monitoreo y cumplimiento del EUDR en las cadenas de café y cacao - Pichanaqui a 15 empresas</w:t>
      </w:r>
    </w:p>
    <w:p>
      <w:pPr>
        <w:pStyle w:val="ListBullet"/>
      </w:pPr>
      <w:r>
        <w:rPr>
          <w:rFonts w:ascii="Arial" w:hAnsi="Arial"/>
          <w:sz w:val="22"/>
        </w:rPr>
        <w:t>Charla virtual: CalCafé: la herramienta para medir y mejorar el impacto ambiental en la cadena de valor del café peruano - 26 de marzo - 4 pm a 13 empresas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11 empresas</w:t>
      </w:r>
    </w:p>
    <w:p>
      <w:pPr>
        <w:pStyle w:val="ListBullet"/>
      </w:pPr>
      <w:r>
        <w:rPr>
          <w:rFonts w:ascii="Arial" w:hAnsi="Arial"/>
          <w:sz w:val="22"/>
        </w:rPr>
        <w:t>Curso de implementadores de debida diligencia para café y cacao a 11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 Expo Perú Los Andes 2026 a 8 empresas</w:t>
      </w:r>
    </w:p>
    <w:p>
      <w:pPr>
        <w:pStyle w:val="ListBullet"/>
      </w:pPr>
      <w:r>
        <w:rPr>
          <w:rFonts w:ascii="Arial" w:hAnsi="Arial"/>
          <w:sz w:val="22"/>
        </w:rPr>
        <w:t>Capacitación sobre el uso de la herramienta Exporta Fácil - MINCETUR a 8 empresas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Café a 7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- 18 de febrero VIRTUAL a 6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- 18 de marzo VIRTUAL a 6 empresas</w:t>
      </w:r>
    </w:p>
    <w:p>
      <w:pPr>
        <w:pStyle w:val="ListBullet"/>
      </w:pPr>
      <w:r>
        <w:rPr>
          <w:rFonts w:ascii="Arial" w:hAnsi="Arial"/>
          <w:sz w:val="22"/>
        </w:rPr>
        <w:t>Charla virtual: CalCacao: la herramienta para medir y mejorar el impacto ambiental en la cadena de valor del cacao peruano - 25 de marzo - 4 pm a 6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- 08 de abril VIRTUAL a 6 empresas</w:t>
      </w:r>
    </w:p>
    <w:p>
      <w:pPr>
        <w:pStyle w:val="ListBullet"/>
      </w:pPr>
      <w:r>
        <w:rPr>
          <w:rFonts w:ascii="Arial" w:hAnsi="Arial"/>
          <w:sz w:val="22"/>
        </w:rPr>
        <w:t>Programa de Debida Diligencia para el cumplimiento del EUDR 2026 a 6 empresas</w:t>
      </w:r>
    </w:p>
    <w:p>
      <w:pPr>
        <w:pStyle w:val="ListBullet"/>
      </w:pPr>
      <w:r>
        <w:rPr>
          <w:rFonts w:ascii="Arial" w:hAnsi="Arial"/>
          <w:sz w:val="22"/>
        </w:rPr>
        <w:t>RPE: Capacitación sobre Beneficios Tributarios para la Exportación de Bienes - MINCETUR a 6 empresas</w:t>
      </w:r>
    </w:p>
    <w:p>
      <w:pPr>
        <w:pStyle w:val="ListBullet"/>
      </w:pPr>
      <w:r>
        <w:rPr>
          <w:rFonts w:ascii="Arial" w:hAnsi="Arial"/>
          <w:sz w:val="22"/>
        </w:rPr>
        <w:t>Estructura de costos logísticos de exportación - Asistencia Técnica - Café a 6 empresas</w:t>
      </w:r>
    </w:p>
    <w:p>
      <w:pPr>
        <w:pStyle w:val="ListBullet"/>
      </w:pPr>
      <w:r>
        <w:rPr>
          <w:rFonts w:ascii="Arial" w:hAnsi="Arial"/>
          <w:sz w:val="22"/>
        </w:rPr>
        <w:t>Talleres Logísticos - Café a 5 empresas</w:t>
      </w:r>
    </w:p>
    <w:p>
      <w:pPr>
        <w:pStyle w:val="ListBullet"/>
      </w:pPr>
      <w:r>
        <w:rPr>
          <w:rFonts w:ascii="Arial" w:hAnsi="Arial"/>
          <w:sz w:val="22"/>
        </w:rPr>
        <w:t>Estructura de costos logísticos de exportación - Asistencia Técnica - Ingredientes naturales a 5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- 04 febrero VIRTUAL a 4 empresas</w:t>
      </w:r>
    </w:p>
    <w:p>
      <w:pPr>
        <w:pStyle w:val="ListBullet"/>
      </w:pPr>
      <w:r>
        <w:rPr>
          <w:rFonts w:ascii="Arial" w:hAnsi="Arial"/>
          <w:sz w:val="22"/>
        </w:rPr>
        <w:t>Cálculo de Naturalidad en Cosméticos  21-07-26  a las 4p.m virtual a 4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