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Lambayeque 2026</w:t>
      </w:r>
    </w:p>
    <w:p/>
    <w:p>
      <w:r>
        <w:rPr>
          <w:rFonts w:ascii="Arial" w:hAnsi="Arial"/>
          <w:sz w:val="22"/>
        </w:rPr>
        <w:t>Durante el 2026 se vienen atendiendo a 140 empresas de la región de Lambayeque, a través de 67 actividades, 61 en Lima y 6 en regiones. Los principales sectores son Industria de la Vestimenta y Decoración con 39%, Agronegocios con 39% e Manufacturas Diversas con 12%. De las 140 empresas atendidas, 14 exportaron a 30 mercados, 32 productos un monto de USD 65 millones, siendo sus principales productos café sin tostar y sin descafeinar excepto para siembra (USD 29.4 millones), bananas frescas tipo «cavendish valery» (USD 20.9 millones), aguacates (paltas) , frescas o secas (USD 4.9 millones) y frijoles de las especies vigna mungo(l)hepper o vigna radiata(l)wilczek,excepto para la siembra (USD 2.5 millones). Sus principales mercados atendidos son Países Bajos (USD 24.1 millones), Estados Unidos (USD 8.4 millones) y Alemania (USD 6.6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106 empresas</w:t>
      </w:r>
    </w:p>
    <w:p>
      <w:pPr>
        <w:pStyle w:val="ListBullet"/>
      </w:pPr>
      <w:r>
        <w:rPr>
          <w:rFonts w:ascii="Arial" w:hAnsi="Arial"/>
          <w:sz w:val="22"/>
        </w:rPr>
        <w:t>Foro de diversificación Chiclayo - PROMPERÚ a 4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- 11 de marzo VIRTUAL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3 empresas</w:t>
      </w:r>
    </w:p>
    <w:p>
      <w:pPr>
        <w:pStyle w:val="ListBullet"/>
      </w:pPr>
      <w:r>
        <w:rPr>
          <w:rFonts w:ascii="Arial" w:hAnsi="Arial"/>
          <w:sz w:val="22"/>
        </w:rPr>
        <w:t>CURSO VIRTUAL: Plan de Defensa Alimentaria, cumpliendo la Ley FSMA de los Estados Unidos (07 y 10 de agosto) 2026 a 3 empresas</w:t>
      </w:r>
    </w:p>
    <w:p>
      <w:pPr>
        <w:pStyle w:val="ListBullet"/>
      </w:pPr>
      <w:r>
        <w:rPr>
          <w:rFonts w:ascii="Arial" w:hAnsi="Arial"/>
          <w:sz w:val="22"/>
        </w:rPr>
        <w:t>Diseño y Desarrollo de colecciones Joyería 2026 a 2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2 empresas</w:t>
      </w:r>
    </w:p>
    <w:p>
      <w:pPr>
        <w:pStyle w:val="ListBullet"/>
      </w:pPr>
      <w:r>
        <w:rPr>
          <w:rFonts w:ascii="Arial" w:hAnsi="Arial"/>
          <w:sz w:val="22"/>
        </w:rPr>
        <w:t>Exporta Europa 2026 - MEX edición especial - presencial (22 de abril de 2026) a 2 empresas</w:t>
      </w:r>
    </w:p>
    <w:p>
      <w:pPr>
        <w:pStyle w:val="ListBullet"/>
      </w:pPr>
      <w:r>
        <w:rPr>
          <w:rFonts w:ascii="Arial" w:hAnsi="Arial"/>
          <w:sz w:val="22"/>
        </w:rPr>
        <w:t>Tendencias de artículos de decoración y regalo Post-Feria Ambiente Alemania - Casos de éxito  2026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Exporta Fácil: Guía Práctica para Iniciar tu Proceso de Exportación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- 13 de mayo VIRTUAL a 2 empresas</w:t>
      </w:r>
    </w:p>
    <w:p>
      <w:pPr>
        <w:pStyle w:val="ListBullet"/>
      </w:pPr>
      <w:r>
        <w:rPr>
          <w:rFonts w:ascii="Arial" w:hAnsi="Arial"/>
          <w:sz w:val="22"/>
        </w:rPr>
        <w:t>Seminario: Logística Terrestre en el Comercio con Ecuador a 2 empresas</w:t>
      </w:r>
    </w:p>
    <w:p>
      <w:pPr>
        <w:pStyle w:val="ListBullet"/>
      </w:pPr>
      <w:r>
        <w:rPr>
          <w:rFonts w:ascii="Arial" w:hAnsi="Arial"/>
          <w:sz w:val="22"/>
        </w:rPr>
        <w:t>Talleres Logísticos-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- 10 de junio VIRTUAL a 2 empresas</w:t>
      </w:r>
    </w:p>
    <w:p>
      <w:pPr>
        <w:pStyle w:val="ListBullet"/>
      </w:pPr>
      <w:r>
        <w:rPr>
          <w:rFonts w:ascii="Arial" w:hAnsi="Arial"/>
          <w:sz w:val="22"/>
        </w:rPr>
        <w:t>Requisitos para la exportación de Joyería (25 de junio)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julio VIRTUAL a 2 empresas</w:t>
      </w:r>
    </w:p>
    <w:p>
      <w:pPr>
        <w:pStyle w:val="ListBullet"/>
      </w:pPr>
      <w:r>
        <w:rPr>
          <w:rFonts w:ascii="Arial" w:hAnsi="Arial"/>
          <w:sz w:val="22"/>
        </w:rPr>
        <w:t>Negociacion comercial internacional para empresas sector vestimenta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- 22 de julio VIRTUAL a 2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