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Loreto 2026</w:t>
      </w:r>
    </w:p>
    <w:p/>
    <w:p>
      <w:r>
        <w:rPr>
          <w:rFonts w:ascii="Arial" w:hAnsi="Arial"/>
          <w:sz w:val="22"/>
        </w:rPr>
        <w:t>Durante el 2026 se vienen atendiendo a 49 empresas de la región de Loreto, a través de 38 actividades, 31 en Lima y 7 en regiones. Los principales sectores son Agronegocios con 31%, Industria de la Vestimenta y Decoración con 29% e Manufacturas Diversas con 24%. De las 49 empresas atendidas, 1 exportaron a 3 mercados, 1 productos un monto de USD 0 millones, siendo sus principales productos los demás aceites esenciales, excepto los de agrios (cítricos). (USD 0.2 millones). Sus principales mercados atendidos son Austria (USD 0.1 millones), Reino Unido (USD 0.1 millones) y Alemania (USD 0.0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CAPACITACIÓN VIRTUAL : PLAN DE EXPORTACIÓN - COSTOS a 14 empresas</w:t>
      </w:r>
    </w:p>
    <w:p>
      <w:pPr>
        <w:pStyle w:val="ListBullet"/>
      </w:pPr>
      <w:r>
        <w:rPr>
          <w:rFonts w:ascii="Arial" w:hAnsi="Arial"/>
          <w:sz w:val="22"/>
        </w:rPr>
        <w:t>INNOVACIÓN E INTELIGENCIA ARTIFICIAL APLICADA A LA EXPORTACIÓN a 10 empresas</w:t>
      </w:r>
    </w:p>
    <w:p>
      <w:pPr>
        <w:pStyle w:val="ListBullet"/>
      </w:pPr>
      <w:r>
        <w:rPr>
          <w:rFonts w:ascii="Arial" w:hAnsi="Arial"/>
          <w:sz w:val="22"/>
        </w:rPr>
        <w:t>DIFUSIÓN DEL FESTIVAL SUMAQ 2026 a 6 empresas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6 empresas</w:t>
      </w:r>
    </w:p>
    <w:p>
      <w:pPr>
        <w:pStyle w:val="ListBullet"/>
      </w:pPr>
      <w:r>
        <w:rPr>
          <w:rFonts w:ascii="Arial" w:hAnsi="Arial"/>
          <w:sz w:val="22"/>
        </w:rPr>
        <w:t>Participación en ferias y Ruedas de negocios a 5 empresas</w:t>
      </w:r>
    </w:p>
    <w:p>
      <w:pPr>
        <w:pStyle w:val="ListBullet"/>
      </w:pPr>
      <w:r>
        <w:rPr>
          <w:rFonts w:ascii="Arial" w:hAnsi="Arial"/>
          <w:sz w:val="22"/>
        </w:rPr>
        <w:t>Exportación de cacao a EEUU y Bélgica: acceso a mercados y gestión logística a 4 empresas</w:t>
      </w:r>
    </w:p>
    <w:p>
      <w:pPr>
        <w:pStyle w:val="ListBullet"/>
      </w:pPr>
      <w:r>
        <w:rPr>
          <w:rFonts w:ascii="Arial" w:hAnsi="Arial"/>
          <w:sz w:val="22"/>
        </w:rPr>
        <w:t>Seminario PREVENCIÓN DE RIESGOS EN EL COMERCIO EXTERIOR - Emiratos Árabes Unidos a 3 empresas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CHINA 25/05/26 4p.m. a 3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Expo Amazónica 2026 a 3 empresas</w:t>
      </w:r>
    </w:p>
    <w:p>
      <w:pPr>
        <w:pStyle w:val="ListBullet"/>
      </w:pPr>
      <w:r>
        <w:rPr>
          <w:rFonts w:ascii="Arial" w:hAnsi="Arial"/>
          <w:sz w:val="22"/>
        </w:rPr>
        <w:t>Programa Ruta Exportadora Básica con el AV, Edición I a 2 empresas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Algodón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2 empresas</w:t>
      </w:r>
    </w:p>
    <w:p>
      <w:pPr>
        <w:pStyle w:val="ListBullet"/>
      </w:pPr>
      <w:r>
        <w:rPr>
          <w:rFonts w:ascii="Arial" w:hAnsi="Arial"/>
          <w:sz w:val="22"/>
        </w:rPr>
        <w:t>Webinar: Importancia de los sistemas de trazabilidad para los frutos amazónicos con enfoque 3T a 2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- 13 de mayo VIRTUAL a 2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2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2 empresas</w:t>
      </w:r>
    </w:p>
    <w:p>
      <w:pPr>
        <w:pStyle w:val="ListBullet"/>
      </w:pPr>
      <w:r>
        <w:rPr>
          <w:rFonts w:ascii="Arial" w:hAnsi="Arial"/>
          <w:sz w:val="22"/>
        </w:rPr>
        <w:t>Herramientas digitales en la logística de exportación - MINCETUR a 1 empresa</w:t>
      </w:r>
    </w:p>
    <w:p>
      <w:pPr>
        <w:pStyle w:val="ListBullet"/>
      </w:pPr>
      <w:r>
        <w:rPr>
          <w:rFonts w:ascii="Arial" w:hAnsi="Arial"/>
          <w:sz w:val="22"/>
        </w:rPr>
        <w:t>Charla informativa: Programa Debida Diligencia para el cumplimiento del EUDR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1 empresa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