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Moquegua 2026</w:t>
      </w:r>
    </w:p>
    <w:p/>
    <w:p>
      <w:r>
        <w:rPr>
          <w:rFonts w:ascii="Arial" w:hAnsi="Arial"/>
          <w:sz w:val="22"/>
        </w:rPr>
        <w:t>Durante el 2026 se vienen atendiendo a 16 empresas de la región de Moquegua, a través de 15 actividades, 12 en Lima y 3 en regiones. Los principales sectores son Agronegocios con 88% e Productos Pesqueros con 12%. De las 16 empresas atendidas, 1 exportaron a 6 mercados, 2 productos un monto de USD 19 millones, siendo sus principales productos jibias (sepias)* y globitos; calamares y potas congelados (USD 16.3 millones) y jibias (sepias)*, globitos, calamares y potas precocida congelada (USD 2.7 millones). Sus principales mercados atendidos son España (USD 8.0 millones), China (USD 6.1 millones) y Japón (USD 3.3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VI FORO INTERNACIONAL DE DIVERSIFICACIÓN EXPORTADORA “TACNA, POTENCIAL EXPORTADOR QUE TRASCIENDE FRONTERAS” a 9 empresas</w:t>
      </w:r>
    </w:p>
    <w:p>
      <w:pPr>
        <w:pStyle w:val="ListBullet"/>
      </w:pPr>
      <w:r>
        <w:rPr>
          <w:rFonts w:ascii="Arial" w:hAnsi="Arial"/>
          <w:sz w:val="22"/>
        </w:rPr>
        <w:t>Desarrollo del Plan de Negocio de Exportación 2026 | Tacna | Inicio 03 de Febrero a 4 empresas</w:t>
      </w:r>
    </w:p>
    <w:p>
      <w:pPr>
        <w:pStyle w:val="ListBullet"/>
      </w:pPr>
      <w:r>
        <w:rPr>
          <w:rFonts w:ascii="Arial" w:hAnsi="Arial"/>
          <w:sz w:val="22"/>
        </w:rPr>
        <w:t>Storytelling y Negociación Internacional - Expo Perú Sur 2026 a 2 empresas</w:t>
      </w:r>
    </w:p>
    <w:p>
      <w:pPr>
        <w:pStyle w:val="ListBullet"/>
      </w:pPr>
      <w:r>
        <w:rPr>
          <w:rFonts w:ascii="Arial" w:hAnsi="Arial"/>
          <w:sz w:val="22"/>
        </w:rPr>
        <w:t>PROMPERÚ Herramientas Financieras – Manejo y aplicación a 1 empresa</w:t>
      </w:r>
    </w:p>
    <w:p>
      <w:pPr>
        <w:pStyle w:val="ListBullet"/>
      </w:pPr>
      <w:r>
        <w:rPr>
          <w:rFonts w:ascii="Arial" w:hAnsi="Arial"/>
          <w:sz w:val="22"/>
        </w:rPr>
        <w:t>Cálculo de Naturalidad en Cosméticos  21-07-26  a las 4p.m virtual a 1 empresa</w:t>
      </w:r>
    </w:p>
    <w:p>
      <w:pPr>
        <w:pStyle w:val="ListBullet"/>
      </w:pPr>
      <w:r>
        <w:rPr>
          <w:rFonts w:ascii="Arial" w:hAnsi="Arial"/>
          <w:sz w:val="22"/>
        </w:rPr>
        <w:t>Domina el Proceso de Exportación con Exporta Fácil - SERPOST a 1 empresa</w:t>
      </w:r>
    </w:p>
    <w:p>
      <w:pPr>
        <w:pStyle w:val="ListBullet"/>
      </w:pPr>
      <w:r>
        <w:rPr>
          <w:rFonts w:ascii="Arial" w:hAnsi="Arial"/>
          <w:sz w:val="22"/>
        </w:rPr>
        <w:t>Diagnóstico BRCGS para Empresas del sector Pesca y Acuicultura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- 01 de Abril VIRTUAL a 1 empresa</w:t>
      </w:r>
    </w:p>
    <w:p>
      <w:pPr>
        <w:pStyle w:val="ListBullet"/>
      </w:pPr>
      <w:r>
        <w:rPr>
          <w:rFonts w:ascii="Arial" w:hAnsi="Arial"/>
          <w:sz w:val="22"/>
        </w:rPr>
        <w:t>Diagnóstico ISO22000 para Empresas del sector Pesca y Acuicultura a 1 empresa</w:t>
      </w:r>
    </w:p>
    <w:p>
      <w:pPr>
        <w:pStyle w:val="ListBullet"/>
      </w:pPr>
      <w:r>
        <w:rPr>
          <w:rFonts w:ascii="Arial" w:hAnsi="Arial"/>
          <w:sz w:val="22"/>
        </w:rPr>
        <w:t>Seminario PREVENCIÓN DE RIESGOS EN EL COMERCIO EXTERIOR - Emiratos Árabes Unidos a 1 empresa</w:t>
      </w:r>
    </w:p>
    <w:p>
      <w:pPr>
        <w:pStyle w:val="ListBullet"/>
      </w:pPr>
      <w:r>
        <w:rPr>
          <w:rFonts w:ascii="Arial" w:hAnsi="Arial"/>
          <w:sz w:val="22"/>
        </w:rPr>
        <w:t>Implementación BRCGS para Empresas del sector Pesca y Acuicultura a 1 empresa</w:t>
      </w:r>
    </w:p>
    <w:p>
      <w:pPr>
        <w:pStyle w:val="ListBullet"/>
      </w:pPr>
      <w:r>
        <w:rPr>
          <w:rFonts w:ascii="Arial" w:hAnsi="Arial"/>
          <w:sz w:val="22"/>
        </w:rPr>
        <w:t>Requisitos de etiquetado para cosméticos en CHINA 25/05/26 4p.m. a 1 empresa</w:t>
      </w:r>
    </w:p>
    <w:p>
      <w:pPr>
        <w:pStyle w:val="ListBullet"/>
      </w:pPr>
      <w:r>
        <w:rPr>
          <w:rFonts w:ascii="Arial" w:hAnsi="Arial"/>
          <w:sz w:val="22"/>
        </w:rPr>
        <w:t>Requisitos de etiquetado para cosméticos en Europa  - 15 de mayo 2026 4p.m.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- 20 de mayo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- 16 de setiembre VIRTUAL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