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Pasco 2026</w:t>
      </w:r>
    </w:p>
    <w:p/>
    <w:p>
      <w:r>
        <w:rPr>
          <w:rFonts w:ascii="Arial" w:hAnsi="Arial"/>
          <w:sz w:val="22"/>
        </w:rPr>
        <w:t>Durante el 2026 se vienen atendiendo a 13 empresas de la región de Pasco, a través de 24 actividades, 23 en Lima y 1 en regiones. Los principales sectores son Agronegocios con 85%, Industria de la Vestimenta y Decoración con 8% e Manufacturas Diversas con 8%. De las 13 empresas atendidas, 3 exportaron a 3 mercados, 4 productos un monto de USD 1 millones, siendo sus principales productos café sin tostar y sin descafeinar excepto para siembra (USD 1.0 millones), autoclaves de torrefacción (USD 0.0 millones), los demás autoclaves (USD 0.0 millones) y las demás máquinas y aparatos para molienda (USD 0.0 millones). Sus principales mercados atendidos son Alemania (USD 0.8 millones), Bélgica (USD 0.2 millones) y Chile (USD 0.0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Charla virtual: CalCafé: la herramienta para medir y mejorar el impacto ambiental en la cadena de valor del café peruano - 26 de marzo - 4 pm a 5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Inicio 22 septiembre a 3 empresas</w:t>
      </w:r>
    </w:p>
    <w:p>
      <w:pPr>
        <w:pStyle w:val="ListBullet"/>
      </w:pPr>
      <w:r>
        <w:rPr>
          <w:rFonts w:ascii="Arial" w:hAnsi="Arial"/>
          <w:sz w:val="22"/>
        </w:rPr>
        <w:t>Domina el Proceso de Exportación con Exporta Fácil - SERPOST a 2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2 empresas</w:t>
      </w:r>
    </w:p>
    <w:p>
      <w:pPr>
        <w:pStyle w:val="ListBullet"/>
      </w:pPr>
      <w:r>
        <w:rPr>
          <w:rFonts w:ascii="Arial" w:hAnsi="Arial"/>
          <w:sz w:val="22"/>
        </w:rPr>
        <w:t>RPE: Capacitación sobre Beneficios Tributarios para la Exportación de Bienes - MINCETUR a 2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- 11 febrero VIRTUAL a 1 empresa</w:t>
      </w:r>
    </w:p>
    <w:p>
      <w:pPr>
        <w:pStyle w:val="ListBullet"/>
      </w:pPr>
      <w:r>
        <w:rPr>
          <w:rFonts w:ascii="Arial" w:hAnsi="Arial"/>
          <w:sz w:val="22"/>
        </w:rPr>
        <w:t>Taller virtual de Innovación Exportadora; 27 de febrero de 2026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- 11 de marzo VIRTUAL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1 empresa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1 empresa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CHINA 25/05/26 4p.m. a 1 empresa</w:t>
      </w:r>
    </w:p>
    <w:p>
      <w:pPr>
        <w:pStyle w:val="ListBullet"/>
      </w:pPr>
      <w:r>
        <w:rPr>
          <w:rFonts w:ascii="Arial" w:hAnsi="Arial"/>
          <w:sz w:val="22"/>
        </w:rPr>
        <w:t>Programa de medición de huella ambiental de cacao – CalCacao a 1 empresa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1 empresa</w:t>
      </w:r>
    </w:p>
    <w:p>
      <w:pPr>
        <w:pStyle w:val="ListBullet"/>
      </w:pPr>
      <w:r>
        <w:rPr>
          <w:rFonts w:ascii="Arial" w:hAnsi="Arial"/>
          <w:sz w:val="22"/>
        </w:rPr>
        <w:t>Taller presencial de Estrategias de Innovación para exportadores; 06 de mayo de 2026 a 1 empresa</w:t>
      </w:r>
    </w:p>
    <w:p>
      <w:pPr>
        <w:pStyle w:val="ListBullet"/>
      </w:pPr>
      <w:r>
        <w:rPr>
          <w:rFonts w:ascii="Arial" w:hAnsi="Arial"/>
          <w:sz w:val="22"/>
        </w:rPr>
        <w:t>Capacitación uso y aplicación de Global Forest Watch Pro para el monitoreo y cumplimiento del EUDR en las cadenas de café y cacao - Pichanaqui a 1 empresa</w:t>
      </w:r>
    </w:p>
    <w:p>
      <w:pPr>
        <w:pStyle w:val="ListBullet"/>
      </w:pPr>
      <w:r>
        <w:rPr>
          <w:rFonts w:ascii="Arial" w:hAnsi="Arial"/>
          <w:sz w:val="22"/>
        </w:rPr>
        <w:t>Curso de implementadores de debida diligencia para café y cacao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- 17 de junio VIRTUAL a 1 empresa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 Prov. Máquinas, equipos e insumos a 1 empresa</w:t>
      </w:r>
    </w:p>
    <w:p>
      <w:pPr>
        <w:pStyle w:val="ListBullet"/>
      </w:pPr>
      <w:r>
        <w:rPr>
          <w:rFonts w:ascii="Arial" w:hAnsi="Arial"/>
          <w:sz w:val="22"/>
        </w:rPr>
        <w:t>RPE:Capacitación en Gestión Financiera y productos de financiamiento para la actividad exportadora - MINCETUR a 1 empresa</w:t>
      </w:r>
    </w:p>
    <w:p>
      <w:pPr>
        <w:pStyle w:val="ListBullet"/>
      </w:pPr>
      <w:r>
        <w:rPr>
          <w:rFonts w:ascii="Arial" w:hAnsi="Arial"/>
          <w:sz w:val="22"/>
        </w:rPr>
        <w:t>Miércoles del Exportador - 05 de agosto VIRTUAL a 1 empresa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