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Piura 2026</w:t>
      </w:r>
    </w:p>
    <w:p/>
    <w:p>
      <w:r>
        <w:rPr>
          <w:rFonts w:ascii="Arial" w:hAnsi="Arial"/>
          <w:sz w:val="22"/>
        </w:rPr>
        <w:t>Durante el 2026 se vienen atendiendo a 154 empresas de la región de Piura, a través de 128 actividades, 120 en Lima y 8 en regiones. Los principales sectores son Agronegocios con 56%, Industria de la Vestimenta y Decoración con 19% e Productos Pesqueros con 14%. De las 154 empresas atendidas, 56 exportaron a 70 mercados, 109 productos un monto de USD 926 millones, siendo sus principales productos uvas frescas (USD 345.7 millones), jibias (sepias)* y globitos; calamares y potas congelados (USD 130.9 millones), mangos y mangostanes, frescos o secos (USD 65.9 millones) y los demás frutas y otros frutos, sin cocer o cocidos en agua o vapor, congelados, sin adición de azúcar u otro edulcorante. (USD 48.7 millones). Sus principales mercados atendidos son Estados Unidos (USD 234.5 millones), Países Bajos (USD 159.6 millones) y China (USD 92.2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Módulo de Finanzas - 5ta edición del Programa “Gestor de Facilitación del Comercio Exterior” - MINCETUR a 13 empresas</w:t>
      </w:r>
    </w:p>
    <w:p>
      <w:pPr>
        <w:pStyle w:val="ListBullet"/>
      </w:pPr>
      <w:r>
        <w:rPr>
          <w:rFonts w:ascii="Arial" w:hAnsi="Arial"/>
          <w:sz w:val="22"/>
        </w:rPr>
        <w:t>Claims y fichas técnicas para la exportación de sombreros de paja toquilla - 17 de setiembre, 2026 a 12 empresas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Grupo 1 - 2026 (12 de mayo) a 8 empresas</w:t>
      </w:r>
    </w:p>
    <w:p>
      <w:pPr>
        <w:pStyle w:val="ListBullet"/>
      </w:pPr>
      <w:r>
        <w:rPr>
          <w:rFonts w:ascii="Arial" w:hAnsi="Arial"/>
          <w:sz w:val="22"/>
        </w:rPr>
        <w:t>Capacitación: "Gestión de Riesgos Sanitarios y Admisibilidad para el Acceso a Mercados Internacionales de Productos Pesqueros y Acuícolas" a 8 empresas</w:t>
      </w:r>
    </w:p>
    <w:p>
      <w:pPr>
        <w:pStyle w:val="ListBullet"/>
      </w:pPr>
      <w:r>
        <w:rPr>
          <w:rFonts w:ascii="Arial" w:hAnsi="Arial"/>
          <w:sz w:val="22"/>
        </w:rPr>
        <w:t>Talleres Logísticos- Ingredientes naturales a 7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6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6 empresas</w:t>
      </w:r>
    </w:p>
    <w:p>
      <w:pPr>
        <w:pStyle w:val="ListBullet"/>
      </w:pPr>
      <w:r>
        <w:rPr>
          <w:rFonts w:ascii="Arial" w:hAnsi="Arial"/>
          <w:sz w:val="22"/>
        </w:rPr>
        <w:t>Seminario: Logística Terrestre en el Comercio con Ecuador a 6 empresas</w:t>
      </w:r>
    </w:p>
    <w:p>
      <w:pPr>
        <w:pStyle w:val="ListBullet"/>
      </w:pPr>
      <w:r>
        <w:rPr>
          <w:rFonts w:ascii="Arial" w:hAnsi="Arial"/>
          <w:sz w:val="22"/>
        </w:rPr>
        <w:t>CURSO VIRTUAL: Plan de Defensa Alimentaria, cumpliendo la Ley FSMA de los Estados Unidos (07 y 10 de agosto) 2026 a 6 empresas</w:t>
      </w:r>
    </w:p>
    <w:p>
      <w:pPr>
        <w:pStyle w:val="ListBullet"/>
      </w:pPr>
      <w:r>
        <w:rPr>
          <w:rFonts w:ascii="Arial" w:hAnsi="Arial"/>
          <w:sz w:val="22"/>
        </w:rPr>
        <w:t>Ruta Exportadora 2026 | Negociaciones con Impacto a 6 empresas</w:t>
      </w:r>
    </w:p>
    <w:p>
      <w:pPr>
        <w:pStyle w:val="ListBullet"/>
      </w:pPr>
      <w:r>
        <w:rPr>
          <w:rFonts w:ascii="Arial" w:hAnsi="Arial"/>
          <w:sz w:val="22"/>
        </w:rPr>
        <w:t>Conversatorio para la Guía de Exportación de Joyas a 5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5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5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5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Internacionalización Fase II | Inicio 11 agosto a 5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- 26 de agosto VIRTUAL a 5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- 02 de setiembre VIRTUAL a 5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- 30 de setiembre VIRTUAL a 5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- 07 de octubre VIRTUAL a 5 empresas</w:t>
      </w:r>
    </w:p>
    <w:p>
      <w:pPr>
        <w:pStyle w:val="ListBullet"/>
      </w:pPr>
      <w:r>
        <w:rPr>
          <w:rFonts w:ascii="Arial" w:hAnsi="Arial"/>
          <w:sz w:val="22"/>
        </w:rPr>
        <w:t>BRCGS FOOD SAFETY VERSIÓN 9 (Grupo 1- 2026) a 4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