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Puno 2026</w:t>
      </w:r>
    </w:p>
    <w:p/>
    <w:p>
      <w:r>
        <w:rPr>
          <w:rFonts w:ascii="Arial" w:hAnsi="Arial"/>
          <w:sz w:val="22"/>
        </w:rPr>
        <w:t>Durante el 2026 se vienen atendiendo a 25 empresas de la región de Puno, a través de 54 actividades, 52 en Lima y 2 en regiones. Los principales sectores son Industria de la Vestimenta y Decoración con 44%, Agronegocios con 32% e Productos Pesqueros con 16%. De las 25 empresas atendidas, 5 exportaron a 11 mercados, 20 productos un monto de USD 3 millones, siendo sus principales productos café sin tostar y sin descafeinar excepto para siembra (USD 2.4 millones), los demás suéteres (jerseys), de lana o pelo fino; a excepción de los con cuello de cisne (sous pull, turtle neck). (USD 0.1 millones), hilados de lana o pelo fino para venta al por menor con un contenido &gt;=85% en peso (USD 0.0 millones) y cardiganes de los demás pelos finos (USD 0.0 millones). Sus principales mercados atendidos son Alemania (USD 1.0 millones), Irlanda (USD 0.4 millones) y Bélgica (USD 0.3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RPE: Capacitación sobre Beneficios Tributarios para la Exportación de Bienes - MINCETUR a 3 empresas</w:t>
      </w:r>
    </w:p>
    <w:p>
      <w:pPr>
        <w:pStyle w:val="ListBullet"/>
      </w:pPr>
      <w:r>
        <w:rPr>
          <w:rFonts w:ascii="Arial" w:hAnsi="Arial"/>
          <w:sz w:val="22"/>
        </w:rPr>
        <w:t>Webinar Informativo: Programa de Implementación del estándar de Buenas Prácticas de Comercio Justo Perú 2026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Logística para el ecommerce - MINCETUR a 2 empresas</w:t>
      </w:r>
    </w:p>
    <w:p>
      <w:pPr>
        <w:pStyle w:val="ListBullet"/>
      </w:pPr>
      <w:r>
        <w:rPr>
          <w:rFonts w:ascii="Arial" w:hAnsi="Arial"/>
          <w:sz w:val="22"/>
        </w:rPr>
        <w:t>Exporta Fácil: Guía Práctica para Iniciar tu Proceso de Exportación a 2 empresas</w:t>
      </w:r>
    </w:p>
    <w:p>
      <w:pPr>
        <w:pStyle w:val="ListBullet"/>
      </w:pPr>
      <w:r>
        <w:rPr>
          <w:rFonts w:ascii="Arial" w:hAnsi="Arial"/>
          <w:sz w:val="22"/>
        </w:rPr>
        <w:t>Requisitos de  acceso en EE.UU. y la UE para exportar Confecciones  21-05-26 (10 a.m.) a 2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2 empresas</w:t>
      </w:r>
    </w:p>
    <w:p>
      <w:pPr>
        <w:pStyle w:val="ListBullet"/>
      </w:pPr>
      <w:r>
        <w:rPr>
          <w:rFonts w:ascii="Arial" w:hAnsi="Arial"/>
          <w:sz w:val="22"/>
        </w:rPr>
        <w:t>Capacitación: "Gestión de Riesgos Sanitarios y Admisibilidad para el Acceso a Mercados Internacionales de Productos Pesqueros y Acuícolas" a 2 empresas</w:t>
      </w:r>
    </w:p>
    <w:p>
      <w:pPr>
        <w:pStyle w:val="ListBullet"/>
      </w:pPr>
      <w:r>
        <w:rPr>
          <w:rFonts w:ascii="Arial" w:hAnsi="Arial"/>
          <w:sz w:val="22"/>
        </w:rPr>
        <w:t>Ruta Especializada Prov. Máquinas, equipos e insumos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- 04 febrero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1 empresa</w:t>
      </w:r>
    </w:p>
    <w:p>
      <w:pPr>
        <w:pStyle w:val="ListBullet"/>
      </w:pPr>
      <w:r>
        <w:rPr>
          <w:rFonts w:ascii="Arial" w:hAnsi="Arial"/>
          <w:sz w:val="22"/>
        </w:rPr>
        <w:t>"Oportunidades Comerciales  y "Herramientas de Inteligencia Comercial RUTA ALGODON" a 1 empresa</w:t>
      </w:r>
    </w:p>
    <w:p>
      <w:pPr>
        <w:pStyle w:val="ListBullet"/>
      </w:pPr>
      <w:r>
        <w:rPr>
          <w:rFonts w:ascii="Arial" w:hAnsi="Arial"/>
          <w:sz w:val="22"/>
        </w:rPr>
        <w:t>Programa de Acceso a Mercados – PAM (vestimenta y home deco)) 2026 Abril a 1 empresa</w:t>
      </w:r>
    </w:p>
    <w:p>
      <w:pPr>
        <w:pStyle w:val="ListBullet"/>
      </w:pPr>
      <w:r>
        <w:rPr>
          <w:rFonts w:ascii="Arial" w:hAnsi="Arial"/>
          <w:sz w:val="22"/>
        </w:rPr>
        <w:t>Charla informativa: Programa Debida Diligencia para el cumplimiento del EUDR 2026 a 1 empresa</w:t>
      </w:r>
    </w:p>
    <w:p>
      <w:pPr>
        <w:pStyle w:val="ListBullet"/>
      </w:pPr>
      <w:r>
        <w:rPr>
          <w:rFonts w:ascii="Arial" w:hAnsi="Arial"/>
          <w:sz w:val="22"/>
        </w:rPr>
        <w:t>Taller virtual de Innovación Exportadora; 27 de febrero de 2026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- 04 de marzo VIRTUAL a 1 empresa</w:t>
      </w:r>
    </w:p>
    <w:p>
      <w:pPr>
        <w:pStyle w:val="ListBullet"/>
      </w:pPr>
      <w:r>
        <w:rPr>
          <w:rFonts w:ascii="Arial" w:hAnsi="Arial"/>
          <w:sz w:val="22"/>
        </w:rPr>
        <w:t>Regulaciones y Estándares de Calidad para Confecciones en EE. UU. a 1 empresa</w:t>
      </w:r>
    </w:p>
    <w:p>
      <w:pPr>
        <w:pStyle w:val="ListBullet"/>
      </w:pPr>
      <w:r>
        <w:rPr>
          <w:rFonts w:ascii="Arial" w:hAnsi="Arial"/>
          <w:sz w:val="22"/>
        </w:rPr>
        <w:t>Regulaciones y Estándares de Calidad para productos home deco en EE. UU. a 1 empresa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Prov. Máquinas, equipos e insumos a 1 empresa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Algodón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