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Ayuda memoria de las atenciones de la Ruta Exportadora en San Martín 2026</w:t>
      </w:r>
    </w:p>
    <w:p/>
    <w:p>
      <w:r>
        <w:rPr>
          <w:rFonts w:ascii="Arial" w:hAnsi="Arial"/>
          <w:sz w:val="22"/>
        </w:rPr>
        <w:t>Durante el 2026 se vienen atendiendo a 83 empresas de la región de San Martín, a través de 78 actividades, 67 en Lima y 11 en regiones. Los principales sectores son Agronegocios con 81%, Industria de la Vestimenta y Decoración con 7% e Manufacturas Diversas con 7%. De las 83 empresas atendidas, 25 exportaron a 31 mercados, 20 productos un monto de USD 106 millones, siendo sus principales productos cacao en grano, entero o partido, crudo excepto para siembra (USD 50.1 millones), café sin tostar y sin descafeinar excepto para siembra (USD 38.0 millones), palmitos preparados o conservados de otro modo (USD 13.0 millones) y demás frutas o frutos y demás partículas comestibles de plantas, preparadas o conservadas de otro modo (USD 1.2 millones). Sus principales mercados atendidos son Italia (USD 23.4 millones), Países Bajos (USD 18.1 millones) y Estados Unidos (USD 17.1 millones).</w:t>
      </w:r>
    </w:p>
    <w:p>
      <w:r>
        <w:rPr>
          <w:rFonts w:ascii="Arial" w:hAnsi="Arial"/>
          <w:b/>
          <w:sz w:val="22"/>
        </w:rPr>
        <w:t>Las principales atenciones recibidas en el 2026 son:</w:t>
      </w:r>
    </w:p>
    <w:p>
      <w:pPr>
        <w:pStyle w:val="ListBullet"/>
      </w:pPr>
      <w:r>
        <w:rPr>
          <w:rFonts w:ascii="Arial" w:hAnsi="Arial"/>
          <w:sz w:val="22"/>
        </w:rPr>
        <w:t>Negociaciones con Impacto - Expo Amazónica 2026 a 8 empresas</w:t>
      </w:r>
    </w:p>
    <w:p>
      <w:pPr>
        <w:pStyle w:val="ListBullet"/>
      </w:pPr>
      <w:r>
        <w:rPr>
          <w:rFonts w:ascii="Arial" w:hAnsi="Arial"/>
          <w:sz w:val="22"/>
        </w:rPr>
        <w:t>Charla virtual: CalCafé: la herramienta para medir y mejorar el impacto ambiental en la cadena de valor del café peruano - 26 de marzo - 4 pm a 7 empresas</w:t>
      </w:r>
    </w:p>
    <w:p>
      <w:pPr>
        <w:pStyle w:val="ListBullet"/>
      </w:pPr>
      <w:r>
        <w:rPr>
          <w:rFonts w:ascii="Arial" w:hAnsi="Arial"/>
          <w:sz w:val="22"/>
        </w:rPr>
        <w:t>Lanzamiento del proyecto COMPETE | 11 Set. - 9:00 a.m. | Arequipa, Peru | Auditorio de la Cámara de Comercio e Industria de Arequipa a 7 empresas</w:t>
      </w:r>
    </w:p>
    <w:p>
      <w:pPr>
        <w:pStyle w:val="ListBullet"/>
      </w:pPr>
      <w:r>
        <w:rPr>
          <w:rFonts w:ascii="Arial" w:hAnsi="Arial"/>
          <w:sz w:val="22"/>
        </w:rPr>
        <w:t>Presentación de resultados "Programa de Debida Diligencia para el cumplimiento del EUDR"- San Martín a 6 empresas</w:t>
      </w:r>
    </w:p>
    <w:p>
      <w:pPr>
        <w:pStyle w:val="ListBullet"/>
      </w:pPr>
      <w:r>
        <w:rPr>
          <w:rFonts w:ascii="Arial" w:hAnsi="Arial"/>
          <w:sz w:val="22"/>
        </w:rPr>
        <w:t>Charla virtual: CalCacao: la herramienta para medir y mejorar el impacto ambiental en la cadena de valor del cacao peruano - 25 de marzo - 4 pm a 6 empresas</w:t>
      </w:r>
    </w:p>
    <w:p>
      <w:pPr>
        <w:pStyle w:val="ListBullet"/>
      </w:pPr>
      <w:r>
        <w:rPr>
          <w:rFonts w:ascii="Arial" w:hAnsi="Arial"/>
          <w:sz w:val="22"/>
        </w:rPr>
        <w:t>CAPACITACIÓN VIRTUAL : PLAN DE EXPORTACIÓN - COSTOS a 6 empresas</w:t>
      </w:r>
    </w:p>
    <w:p>
      <w:pPr>
        <w:pStyle w:val="ListBullet"/>
      </w:pPr>
      <w:r>
        <w:rPr>
          <w:rFonts w:ascii="Arial" w:hAnsi="Arial"/>
          <w:sz w:val="22"/>
        </w:rPr>
        <w:t>Logística de Comercio exterior - MINCETUR a 5 empresas</w:t>
      </w:r>
    </w:p>
    <w:p>
      <w:pPr>
        <w:pStyle w:val="ListBullet"/>
      </w:pPr>
      <w:r>
        <w:rPr>
          <w:rFonts w:ascii="Arial" w:hAnsi="Arial"/>
          <w:sz w:val="22"/>
        </w:rPr>
        <w:t>Programa de Debida Diligencia para el cumplimiento del EUDR 2026 a 5 empresas</w:t>
      </w:r>
    </w:p>
    <w:p>
      <w:pPr>
        <w:pStyle w:val="ListBullet"/>
      </w:pPr>
      <w:r>
        <w:rPr>
          <w:rFonts w:ascii="Arial" w:hAnsi="Arial"/>
          <w:sz w:val="22"/>
        </w:rPr>
        <w:t>Capacitación uso y aplicación de Global Forest Watch Pro para el monitoreo y cumplimiento del EUDR en las cadenas de café y cacao - Tarapoto a 5 empresas</w:t>
      </w:r>
    </w:p>
    <w:p>
      <w:pPr>
        <w:pStyle w:val="ListBullet"/>
      </w:pPr>
      <w:r>
        <w:rPr>
          <w:rFonts w:ascii="Arial" w:hAnsi="Arial"/>
          <w:sz w:val="22"/>
        </w:rPr>
        <w:t>Talleres Logísticos - Café a 5 empresas</w:t>
      </w:r>
    </w:p>
    <w:p>
      <w:pPr>
        <w:pStyle w:val="ListBullet"/>
      </w:pPr>
      <w:r>
        <w:rPr>
          <w:rFonts w:ascii="Arial" w:hAnsi="Arial"/>
          <w:sz w:val="22"/>
        </w:rPr>
        <w:t>Charla informativa: Programa Debida Diligencia para el cumplimiento del EUDR 2026 a 4 empresas</w:t>
      </w:r>
    </w:p>
    <w:p>
      <w:pPr>
        <w:pStyle w:val="ListBullet"/>
      </w:pPr>
      <w:r>
        <w:rPr>
          <w:rFonts w:ascii="Arial" w:hAnsi="Arial"/>
          <w:sz w:val="22"/>
        </w:rPr>
        <w:t>Programa Diagnóstico Financiero - Café a 4 empresas</w:t>
      </w:r>
    </w:p>
    <w:p>
      <w:pPr>
        <w:pStyle w:val="ListBullet"/>
      </w:pPr>
      <w:r>
        <w:rPr>
          <w:rFonts w:ascii="Arial" w:hAnsi="Arial"/>
          <w:sz w:val="22"/>
        </w:rPr>
        <w:t>RPE: Capacitación sobre Beneficios Tributarios para la Exportación de Bienes - MINCETUR a 4 empresas</w:t>
      </w:r>
    </w:p>
    <w:p>
      <w:pPr>
        <w:pStyle w:val="ListBullet"/>
      </w:pPr>
      <w:r>
        <w:rPr>
          <w:rFonts w:ascii="Arial" w:hAnsi="Arial"/>
          <w:sz w:val="22"/>
        </w:rPr>
        <w:t>RPE:Capacitación en Gestión Financiera y productos de financiamiento para la actividad exportadora - MINCETUR a 4 empresas</w:t>
      </w:r>
    </w:p>
    <w:p>
      <w:pPr>
        <w:pStyle w:val="ListBullet"/>
      </w:pPr>
      <w:r>
        <w:rPr>
          <w:rFonts w:ascii="Arial" w:hAnsi="Arial"/>
          <w:sz w:val="22"/>
        </w:rPr>
        <w:t>Capacitación: Empaques y embalajes en exportación - MINCETUR a 4 empresas</w:t>
      </w:r>
    </w:p>
    <w:p>
      <w:pPr>
        <w:pStyle w:val="ListBullet"/>
      </w:pPr>
      <w:r>
        <w:rPr>
          <w:rFonts w:ascii="Arial" w:hAnsi="Arial"/>
          <w:sz w:val="22"/>
        </w:rPr>
        <w:t>Taller especializado Inteligencia artificial aplicada a la exportación, edición I- 2026 a 3 empresas</w:t>
      </w:r>
    </w:p>
    <w:p>
      <w:pPr>
        <w:pStyle w:val="ListBullet"/>
      </w:pPr>
      <w:r>
        <w:rPr>
          <w:rFonts w:ascii="Arial" w:hAnsi="Arial"/>
          <w:sz w:val="22"/>
        </w:rPr>
        <w:t>Requisitos de rotulado y etiquetado para la exportación de alimentos a la Estados Unidos Grupo 1 - 2026 (12 de mayo) a 3 empresas</w:t>
      </w:r>
    </w:p>
    <w:p>
      <w:pPr>
        <w:pStyle w:val="ListBullet"/>
      </w:pPr>
      <w:r>
        <w:rPr>
          <w:rFonts w:ascii="Arial" w:hAnsi="Arial"/>
          <w:sz w:val="22"/>
        </w:rPr>
        <w:t>Exportación de cacao a EEUU y Bélgica: acceso a mercados y gestión logística a 3 empresas</w:t>
      </w:r>
    </w:p>
    <w:p>
      <w:pPr>
        <w:pStyle w:val="ListBullet"/>
      </w:pPr>
      <w:r>
        <w:rPr>
          <w:rFonts w:ascii="Arial" w:hAnsi="Arial"/>
          <w:sz w:val="22"/>
        </w:rPr>
        <w:t>Muestra de Mensajería Internacional - MINCETUR a 3 empresas</w:t>
      </w:r>
    </w:p>
    <w:p>
      <w:pPr>
        <w:pStyle w:val="ListBullet"/>
      </w:pPr>
      <w:r>
        <w:rPr>
          <w:rFonts w:ascii="Arial" w:hAnsi="Arial"/>
          <w:sz w:val="22"/>
        </w:rPr>
        <w:t>DIFUSIÓN DEL FESTIVAL SUMAQ 2026 a 3 empresas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