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Ayuda memoria de las atenciones de la Ruta Exportadora en Tacna 2026</w:t>
      </w:r>
    </w:p>
    <w:p/>
    <w:p>
      <w:r>
        <w:rPr>
          <w:rFonts w:ascii="Arial" w:hAnsi="Arial"/>
          <w:sz w:val="22"/>
        </w:rPr>
        <w:t>Durante el 2026 se vienen atendiendo a 68 empresas de la región de Tacna, a través de 61 actividades, 54 en Lima y 7 en regiones. Los principales sectores son Agronegocios con 71%, Productos Pesqueros con 9% e Manufacturas Diversas con 7%. De las 68 empresas atendidas, 25 exportaron a 33 mercados, 92 productos un monto de USD 81 millones, siendo sus principales productos jibias (sepias)* y globitos; calamares y potas congelados (USD 30.4 millones), aceitunas preparadas o conservadas, sin congelar (USD 13.3 millones), hígados, huevas y lechas, secos, ahumados, salados o en salmuera (USD 7.1 millones) y orégano (origanum vulgare) (USD 3.9 millones). Sus principales mercados atendidos son China (USD 19.6 millones), Brasil (USD 14.9 millones) y Japón (USD 11.7 millones).</w:t>
      </w:r>
    </w:p>
    <w:p>
      <w:r>
        <w:rPr>
          <w:rFonts w:ascii="Arial" w:hAnsi="Arial"/>
          <w:b/>
          <w:sz w:val="22"/>
        </w:rPr>
        <w:t>Las principales atenciones recibidas en el 2026 son:</w:t>
      </w:r>
    </w:p>
    <w:p>
      <w:pPr>
        <w:pStyle w:val="ListBullet"/>
      </w:pPr>
      <w:r>
        <w:rPr>
          <w:rFonts w:ascii="Arial" w:hAnsi="Arial"/>
          <w:sz w:val="22"/>
        </w:rPr>
        <w:t>Desarrollo del Plan de Negocio de Exportación 2026 | Tacna | Inicio 03 de Febrero a 14 empresas</w:t>
      </w:r>
    </w:p>
    <w:p>
      <w:pPr>
        <w:pStyle w:val="ListBullet"/>
      </w:pPr>
      <w:r>
        <w:rPr>
          <w:rFonts w:ascii="Arial" w:hAnsi="Arial"/>
          <w:sz w:val="22"/>
        </w:rPr>
        <w:t>VI FORO INTERNACIONAL DE DIVERSIFICACIÓN EXPORTADORA “TACNA, POTENCIAL EXPORTADOR QUE TRASCIENDE FRONTERAS” a 14 empresas</w:t>
      </w:r>
    </w:p>
    <w:p>
      <w:pPr>
        <w:pStyle w:val="ListBullet"/>
      </w:pPr>
      <w:r>
        <w:rPr>
          <w:rFonts w:ascii="Arial" w:hAnsi="Arial"/>
          <w:sz w:val="22"/>
        </w:rPr>
        <w:t>Talleres Logísticos- Ingredientes naturales a 6 empresas</w:t>
      </w:r>
    </w:p>
    <w:p>
      <w:pPr>
        <w:pStyle w:val="ListBullet"/>
      </w:pPr>
      <w:r>
        <w:rPr>
          <w:rFonts w:ascii="Arial" w:hAnsi="Arial"/>
          <w:sz w:val="22"/>
        </w:rPr>
        <w:t>Miércoles del Exportador - 15 de abril VIRTUAL a 4 empresas</w:t>
      </w:r>
    </w:p>
    <w:p>
      <w:pPr>
        <w:pStyle w:val="ListBullet"/>
      </w:pPr>
      <w:r>
        <w:rPr>
          <w:rFonts w:ascii="Arial" w:hAnsi="Arial"/>
          <w:sz w:val="22"/>
        </w:rPr>
        <w:t>Diagnóstico ISO22000 para Empresas del sector Pesca y Acuicultura a 3 empresas</w:t>
      </w:r>
    </w:p>
    <w:p>
      <w:pPr>
        <w:pStyle w:val="ListBullet"/>
      </w:pPr>
      <w:r>
        <w:rPr>
          <w:rFonts w:ascii="Arial" w:hAnsi="Arial"/>
          <w:sz w:val="22"/>
        </w:rPr>
        <w:t>Storytelling y Negociación Internacional - Expo Perú Sur 2026 a 3 empresas</w:t>
      </w:r>
    </w:p>
    <w:p>
      <w:pPr>
        <w:pStyle w:val="ListBullet"/>
      </w:pPr>
      <w:r>
        <w:rPr>
          <w:rFonts w:ascii="Arial" w:hAnsi="Arial"/>
          <w:sz w:val="22"/>
        </w:rPr>
        <w:t>Capacitación: "Gestión de Riesgos Sanitarios y Admisibilidad para el Acceso a Mercados Internacionales de Productos Pesqueros y Acuícolas" a 3 empresas</w:t>
      </w:r>
    </w:p>
    <w:p>
      <w:pPr>
        <w:pStyle w:val="ListBullet"/>
      </w:pPr>
      <w:r>
        <w:rPr>
          <w:rFonts w:ascii="Arial" w:hAnsi="Arial"/>
          <w:sz w:val="22"/>
        </w:rPr>
        <w:t>Capacitación en materia legal de operaciones de comercio exterior - Ingredientes naturales a 3 empresas</w:t>
      </w:r>
    </w:p>
    <w:p>
      <w:pPr>
        <w:pStyle w:val="ListBullet"/>
      </w:pPr>
      <w:r>
        <w:rPr>
          <w:rFonts w:ascii="Arial" w:hAnsi="Arial"/>
          <w:sz w:val="22"/>
        </w:rPr>
        <w:t>Taller especializado gestión estratégica de datos con POWER BI para empresas exportadoras, edición I, 21 de abril a 2 empresas</w:t>
      </w:r>
    </w:p>
    <w:p>
      <w:pPr>
        <w:pStyle w:val="ListBullet"/>
      </w:pPr>
      <w:r>
        <w:rPr>
          <w:rFonts w:ascii="Arial" w:hAnsi="Arial"/>
          <w:sz w:val="22"/>
        </w:rPr>
        <w:t>Seminario PREVENCIÓN DE RIESGOS EN EL COMERCIO EXTERIOR - Emiratos Árabes Unidos a 2 empresas</w:t>
      </w:r>
    </w:p>
    <w:p>
      <w:pPr>
        <w:pStyle w:val="ListBullet"/>
      </w:pPr>
      <w:r>
        <w:rPr>
          <w:rFonts w:ascii="Arial" w:hAnsi="Arial"/>
          <w:sz w:val="22"/>
        </w:rPr>
        <w:t>Implementación ISO22000 para Empresas del sector Pesca y Acuicultura a 2 empresas</w:t>
      </w:r>
    </w:p>
    <w:p>
      <w:pPr>
        <w:pStyle w:val="ListBullet"/>
      </w:pPr>
      <w:r>
        <w:rPr>
          <w:rFonts w:ascii="Arial" w:hAnsi="Arial"/>
          <w:sz w:val="22"/>
        </w:rPr>
        <w:t>Storytelling y Negociación Internacional Mayo 2026 a 2 empresas</w:t>
      </w:r>
    </w:p>
    <w:p>
      <w:pPr>
        <w:pStyle w:val="ListBullet"/>
      </w:pPr>
      <w:r>
        <w:rPr>
          <w:rFonts w:ascii="Arial" w:hAnsi="Arial"/>
          <w:sz w:val="22"/>
        </w:rPr>
        <w:t>Programa virtual de Innovación Exportadora; 16 de junio de 2026 a 2 empresas</w:t>
      </w:r>
    </w:p>
    <w:p>
      <w:pPr>
        <w:pStyle w:val="ListBullet"/>
      </w:pPr>
      <w:r>
        <w:rPr>
          <w:rFonts w:ascii="Arial" w:hAnsi="Arial"/>
          <w:sz w:val="22"/>
        </w:rPr>
        <w:t>Estructura de costos logísticos de exportación - Asistencia Técnica - Ingredientes naturales a 2 empresas</w:t>
      </w:r>
    </w:p>
    <w:p>
      <w:pPr>
        <w:pStyle w:val="ListBullet"/>
      </w:pPr>
      <w:r>
        <w:rPr>
          <w:rFonts w:ascii="Arial" w:hAnsi="Arial"/>
          <w:sz w:val="22"/>
        </w:rPr>
        <w:t>PROMPERÚ Herramientas Financieras – Manejo y aplicación a 1 empresa</w:t>
      </w:r>
    </w:p>
    <w:p>
      <w:pPr>
        <w:pStyle w:val="ListBullet"/>
      </w:pPr>
      <w:r>
        <w:rPr>
          <w:rFonts w:ascii="Arial" w:hAnsi="Arial"/>
          <w:sz w:val="22"/>
        </w:rPr>
        <w:t>Miércoles Exportador - 11 febrero VIRTUAL a 1 empresa</w:t>
      </w:r>
    </w:p>
    <w:p>
      <w:pPr>
        <w:pStyle w:val="ListBullet"/>
      </w:pPr>
      <w:r>
        <w:rPr>
          <w:rFonts w:ascii="Arial" w:hAnsi="Arial"/>
          <w:sz w:val="22"/>
        </w:rPr>
        <w:t>Miércoles Exportador - 18 de febrero VIRTUAL a 1 empresa</w:t>
      </w:r>
    </w:p>
    <w:p>
      <w:pPr>
        <w:pStyle w:val="ListBullet"/>
      </w:pPr>
      <w:r>
        <w:rPr>
          <w:rFonts w:ascii="Arial" w:hAnsi="Arial"/>
          <w:sz w:val="22"/>
        </w:rPr>
        <w:t>Miércoles del Exportador - 25 de febrero VIRTUAL a 1 empresa</w:t>
      </w:r>
    </w:p>
    <w:p>
      <w:pPr>
        <w:pStyle w:val="ListBullet"/>
      </w:pPr>
      <w:r>
        <w:rPr>
          <w:rFonts w:ascii="Arial" w:hAnsi="Arial"/>
          <w:sz w:val="22"/>
        </w:rPr>
        <w:t>Taller virtual de Innovación Exportadora; 27 de febrero de 2026 a 1 empresa</w:t>
      </w:r>
    </w:p>
    <w:p>
      <w:pPr>
        <w:pStyle w:val="ListBullet"/>
      </w:pPr>
      <w:r>
        <w:rPr>
          <w:rFonts w:ascii="Arial" w:hAnsi="Arial"/>
          <w:sz w:val="22"/>
        </w:rPr>
        <w:t>Requisitos técnicos para exportar prendas de vestir a la Comunidad Andina 18/03/26 a 1 empresa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