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Ucayali 2026</w:t>
      </w:r>
    </w:p>
    <w:p/>
    <w:p>
      <w:r>
        <w:rPr>
          <w:rFonts w:ascii="Arial" w:hAnsi="Arial"/>
          <w:sz w:val="22"/>
        </w:rPr>
        <w:t>Durante el 2026 se vienen atendiendo a 82 empresas de la región de Ucayali, a través de 77 actividades, 70 en Lima y 7 en regiones. Los principales sectores son Agronegocios con 65%, Industria de la Vestimenta y Decoración con 18% e Exportación de Servicios con 7%. De las 82 empresas atendidas, 9 exportaron a 11 mercados, 6 productos un monto de USD 32 millones, siendo sus principales productos cacao en grano, entero o partido, crudo excepto para siembra (USD 31.7 millones), demás chocolate y preparaciones alimenticias que contengan cacao (USD 0.5 millones), cacao en polvo sin adición de azúcar ni otro edulcorante. (USD 0.1 millones) y cacao en grano, entero o partido, tostado (USD 0.1 millones). Sus principales mercados atendidos son Bélgica (USD 12.4 millones), Italia (USD 10.5 millones) y Países Bajos (USD 4.5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INNOVACIÓN E INTELIGENCIA ARTIFICIAL APLICADA A LA EXPORTACIÓN a 20 empresas</w:t>
      </w:r>
    </w:p>
    <w:p>
      <w:pPr>
        <w:pStyle w:val="ListBullet"/>
      </w:pPr>
      <w:r>
        <w:rPr>
          <w:rFonts w:ascii="Arial" w:hAnsi="Arial"/>
          <w:sz w:val="22"/>
        </w:rPr>
        <w:t>Exportación de cacao a EEUU y Bélgica: acceso a mercados y gestión logística a 18 empresas</w:t>
      </w:r>
    </w:p>
    <w:p>
      <w:pPr>
        <w:pStyle w:val="ListBullet"/>
      </w:pPr>
      <w:r>
        <w:rPr>
          <w:rFonts w:ascii="Arial" w:hAnsi="Arial"/>
          <w:sz w:val="22"/>
        </w:rPr>
        <w:t>Participación en ferias y Ruedas de negocios a 14 empresas</w:t>
      </w:r>
    </w:p>
    <w:p>
      <w:pPr>
        <w:pStyle w:val="ListBullet"/>
      </w:pPr>
      <w:r>
        <w:rPr>
          <w:rFonts w:ascii="Arial" w:hAnsi="Arial"/>
          <w:sz w:val="22"/>
        </w:rPr>
        <w:t>CAPACITACIÓN VIRTUAL : PLAN DE EXPORTACIÓN - COSTOS a 11 empresas</w:t>
      </w:r>
    </w:p>
    <w:p>
      <w:pPr>
        <w:pStyle w:val="ListBullet"/>
      </w:pPr>
      <w:r>
        <w:rPr>
          <w:rFonts w:ascii="Arial" w:hAnsi="Arial"/>
          <w:sz w:val="22"/>
        </w:rPr>
        <w:t>DIFUSIÓN DEL FESTIVAL SUMAQ 2026 a 10 empresas</w:t>
      </w:r>
    </w:p>
    <w:p>
      <w:pPr>
        <w:pStyle w:val="ListBullet"/>
      </w:pPr>
      <w:r>
        <w:rPr>
          <w:rFonts w:ascii="Arial" w:hAnsi="Arial"/>
          <w:sz w:val="22"/>
        </w:rPr>
        <w:t>Lanzamiento del proyecto COMPETE | 11 Set. - 9:00 a.m. | Arequipa, Peru | Auditorio de la Cámara de Comercio e Industria de Arequipa a 7 empresas</w:t>
      </w:r>
    </w:p>
    <w:p>
      <w:pPr>
        <w:pStyle w:val="ListBullet"/>
      </w:pPr>
      <w:r>
        <w:rPr>
          <w:rFonts w:ascii="Arial" w:hAnsi="Arial"/>
          <w:sz w:val="22"/>
        </w:rPr>
        <w:t>Muestra de Mensajería Internacional - MINCETUR a 4 empresas</w:t>
      </w:r>
    </w:p>
    <w:p>
      <w:pPr>
        <w:pStyle w:val="ListBullet"/>
      </w:pPr>
      <w:r>
        <w:rPr>
          <w:rFonts w:ascii="Arial" w:hAnsi="Arial"/>
          <w:sz w:val="22"/>
        </w:rPr>
        <w:t>Curso de implementadores de debida diligencia para café y cacao a 4 empresas</w:t>
      </w:r>
    </w:p>
    <w:p>
      <w:pPr>
        <w:pStyle w:val="ListBullet"/>
      </w:pPr>
      <w:r>
        <w:rPr>
          <w:rFonts w:ascii="Arial" w:hAnsi="Arial"/>
          <w:sz w:val="22"/>
        </w:rPr>
        <w:t>Capacitación sobre el uso de la herramienta Exporta Fácil - MINCETUR a 4 empresas</w:t>
      </w:r>
    </w:p>
    <w:p>
      <w:pPr>
        <w:pStyle w:val="ListBullet"/>
      </w:pPr>
      <w:r>
        <w:rPr>
          <w:rFonts w:ascii="Arial" w:hAnsi="Arial"/>
          <w:sz w:val="22"/>
        </w:rPr>
        <w:t>Charla virtual: CalCacao: la herramienta para medir y mejorar el impacto ambiental en la cadena de valor del cacao peruano - 25 de marzo - 4 pm a 3 empresas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3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Expo Amazónica 2026 a 3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- 07 de octubre VIRTUAL a 3 empresas</w:t>
      </w:r>
    </w:p>
    <w:p>
      <w:pPr>
        <w:pStyle w:val="ListBullet"/>
      </w:pPr>
      <w:r>
        <w:rPr>
          <w:rFonts w:ascii="Arial" w:hAnsi="Arial"/>
          <w:sz w:val="22"/>
        </w:rPr>
        <w:t>Miércoles Exportador - 11 febrero VIRTUAL a 2 empresas</w:t>
      </w:r>
    </w:p>
    <w:p>
      <w:pPr>
        <w:pStyle w:val="ListBullet"/>
      </w:pPr>
      <w:r>
        <w:rPr>
          <w:rFonts w:ascii="Arial" w:hAnsi="Arial"/>
          <w:sz w:val="22"/>
        </w:rPr>
        <w:t>4to Encuentro de Mujeres empresarias “Ella Exporta”: Una visión hacia los mercados globales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- 18 de marzo VIRTUAL a 2 empresas</w:t>
      </w:r>
    </w:p>
    <w:p>
      <w:pPr>
        <w:pStyle w:val="ListBullet"/>
      </w:pPr>
      <w:r>
        <w:rPr>
          <w:rFonts w:ascii="Arial" w:hAnsi="Arial"/>
          <w:sz w:val="22"/>
        </w:rPr>
        <w:t>BRCGS FOOD SAFETY VERSIÓN 9 (Grupo 1- 2026) a 2 empresas</w:t>
      </w:r>
    </w:p>
    <w:p>
      <w:pPr>
        <w:pStyle w:val="ListBullet"/>
      </w:pPr>
      <w:r>
        <w:rPr>
          <w:rFonts w:ascii="Arial" w:hAnsi="Arial"/>
          <w:sz w:val="22"/>
        </w:rPr>
        <w:t>Charla virtual: Programa ESG 360°, integrando criterios ESG como estrategia y ventaja comercial - 31 de marzo - 4 p.m.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- 15 de abril VIRTUAL a 2 empresas</w:t>
      </w:r>
    </w:p>
    <w:p>
      <w:pPr>
        <w:pStyle w:val="ListBullet"/>
      </w:pPr>
      <w:r>
        <w:rPr>
          <w:rFonts w:ascii="Arial" w:hAnsi="Arial"/>
          <w:sz w:val="22"/>
        </w:rPr>
        <w:t>Taller especializado gestión estratégica de datos con POWER BI para empresas exportadoras, edición I, 21 de abril a 2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