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5DFF2E" w14:textId="0D654C5C" w:rsidR="00D0727D" w:rsidRDefault="00D0727D" w:rsidP="00D0727D">
      <w:pPr>
        <w:spacing w:after="160" w:line="278" w:lineRule="auto"/>
        <w:ind w:left="720" w:hanging="360"/>
      </w:pPr>
      <w:r>
        <w:t>Science Magazine Article Guidelines</w:t>
      </w:r>
    </w:p>
    <w:p w14:paraId="2CD46BF8" w14:textId="77DD0A29" w:rsidR="00D0727D" w:rsidRDefault="00D0727D" w:rsidP="00D0727D">
      <w:pPr>
        <w:pStyle w:val="ListParagraph"/>
        <w:numPr>
          <w:ilvl w:val="0"/>
          <w:numId w:val="1"/>
        </w:numPr>
        <w:spacing w:after="160" w:line="278" w:lineRule="auto"/>
      </w:pPr>
      <w:hyperlink r:id="rId5" w:history="1">
        <w:r w:rsidRPr="00F730D5">
          <w:rPr>
            <w:rStyle w:val="Hyperlink"/>
          </w:rPr>
          <w:t>https://www-science-org.ezproxy1.library.arizona.edu/content/page/science-information-authors</w:t>
        </w:r>
      </w:hyperlink>
    </w:p>
    <w:p w14:paraId="2ACE36E6" w14:textId="40C6FC93" w:rsidR="00D0727D" w:rsidRDefault="00D0727D" w:rsidP="00D0727D">
      <w:pPr>
        <w:pStyle w:val="ListParagraph"/>
        <w:numPr>
          <w:ilvl w:val="0"/>
          <w:numId w:val="1"/>
        </w:numPr>
        <w:spacing w:after="160" w:line="278" w:lineRule="auto"/>
      </w:pPr>
      <w:r w:rsidRPr="00D0727D">
        <w:t xml:space="preserve">Research Articles should not exceed 3000 words (for the main text), plus an abstract, 3 to 5 display items (figures or tables) with brief legends, about 50 main-text references, and a structured acknowledgments section. </w:t>
      </w:r>
    </w:p>
    <w:p w14:paraId="209AFB19" w14:textId="77777777" w:rsidR="00D0727D" w:rsidRDefault="00D0727D" w:rsidP="00D0727D">
      <w:pPr>
        <w:pStyle w:val="ListParagraph"/>
        <w:numPr>
          <w:ilvl w:val="0"/>
          <w:numId w:val="1"/>
        </w:numPr>
        <w:spacing w:after="160" w:line="278" w:lineRule="auto"/>
      </w:pPr>
      <w:r w:rsidRPr="00D0727D">
        <w:t xml:space="preserve">The main text should be divided into sections with brief subheadings. </w:t>
      </w:r>
    </w:p>
    <w:p w14:paraId="2AC67F78" w14:textId="77777777" w:rsidR="00D0727D" w:rsidRDefault="00D0727D" w:rsidP="00D0727D">
      <w:pPr>
        <w:pStyle w:val="ListParagraph"/>
        <w:numPr>
          <w:ilvl w:val="0"/>
          <w:numId w:val="1"/>
        </w:numPr>
        <w:spacing w:after="160" w:line="278" w:lineRule="auto"/>
      </w:pPr>
      <w:r w:rsidRPr="00D0727D">
        <w:t xml:space="preserve">Materials and Methods should be included in supplementary materials and must provide sufficient detail to allow replication of the study. This should be followed by additional data and figures needed to support the paper’s conclusions. </w:t>
      </w:r>
    </w:p>
    <w:p w14:paraId="6F9186E8" w14:textId="77777777" w:rsidR="00F6293B" w:rsidRDefault="00D0727D" w:rsidP="00D0727D">
      <w:pPr>
        <w:pStyle w:val="ListParagraph"/>
        <w:numPr>
          <w:ilvl w:val="0"/>
          <w:numId w:val="1"/>
        </w:numPr>
        <w:spacing w:after="160" w:line="278" w:lineRule="auto"/>
      </w:pPr>
      <w:r w:rsidRPr="00D0727D">
        <w:t>All data must be available in either the main text or the supplementary materials or must be deposited at a publicly accessible repository and cited in the paper. For more on our open data policy, including information on our partnership with Dryad, please see the “Data and Code Deposition” section of our Editorial Policies.</w:t>
      </w:r>
    </w:p>
    <w:p w14:paraId="149C9DFD" w14:textId="77777777" w:rsidR="00F6293B" w:rsidRDefault="00F6293B">
      <w:pPr>
        <w:spacing w:after="160" w:line="278" w:lineRule="auto"/>
      </w:pPr>
      <w:r>
        <w:br w:type="page"/>
      </w:r>
    </w:p>
    <w:p w14:paraId="221C156D" w14:textId="77777777" w:rsidR="00F6293B" w:rsidRDefault="00F6293B" w:rsidP="00F6293B">
      <w:pPr>
        <w:spacing w:after="160" w:line="278" w:lineRule="auto"/>
      </w:pPr>
      <w:r>
        <w:rPr>
          <w:b/>
          <w:bCs/>
          <w:u w:val="single"/>
        </w:rPr>
        <w:lastRenderedPageBreak/>
        <w:t>Article title:</w:t>
      </w:r>
      <w:r w:rsidRPr="00F6293B">
        <w:rPr>
          <w:b/>
          <w:bCs/>
        </w:rPr>
        <w:t xml:space="preserve"> </w:t>
      </w:r>
      <w:r w:rsidRPr="00F6293B">
        <w:t>Rapid Evolutionary Response to a Virulent, Introduced Parasite in Darwin’s Finches</w:t>
      </w:r>
    </w:p>
    <w:p w14:paraId="500181A9" w14:textId="6B3F9315" w:rsidR="00F6293B" w:rsidRDefault="00F6293B" w:rsidP="00F6293B">
      <w:pPr>
        <w:spacing w:after="160" w:line="278" w:lineRule="auto"/>
      </w:pPr>
      <w:r w:rsidRPr="00A56565">
        <w:rPr>
          <w:b/>
          <w:bCs/>
          <w:u w:val="single"/>
        </w:rPr>
        <w:t>Authors:</w:t>
      </w:r>
      <w:r>
        <w:t xml:space="preserve"> Danny Jackson</w:t>
      </w:r>
      <w:r w:rsidR="00A56565">
        <w:rPr>
          <w:vertAlign w:val="superscript"/>
        </w:rPr>
        <w:t>1*</w:t>
      </w:r>
      <w:r>
        <w:t>, Logan Vossler</w:t>
      </w:r>
      <w:r w:rsidR="00A56565">
        <w:rPr>
          <w:vertAlign w:val="superscript"/>
        </w:rPr>
        <w:t>1</w:t>
      </w:r>
      <w:r>
        <w:t>, Leonardo Campagna</w:t>
      </w:r>
      <w:r w:rsidR="00A56565">
        <w:rPr>
          <w:vertAlign w:val="superscript"/>
        </w:rPr>
        <w:t>2</w:t>
      </w:r>
      <w:r>
        <w:t>, Sangeet Lamichhaney</w:t>
      </w:r>
      <w:r w:rsidR="00A56565">
        <w:rPr>
          <w:vertAlign w:val="superscript"/>
        </w:rPr>
        <w:t>3</w:t>
      </w:r>
      <w:r>
        <w:t>, Jessica Rick</w:t>
      </w:r>
      <w:r w:rsidR="00A56565">
        <w:rPr>
          <w:vertAlign w:val="superscript"/>
        </w:rPr>
        <w:t>1</w:t>
      </w:r>
      <w:r>
        <w:t>, Sabrina McNew</w:t>
      </w:r>
      <w:r w:rsidR="00A56565">
        <w:rPr>
          <w:vertAlign w:val="superscript"/>
        </w:rPr>
        <w:t>1</w:t>
      </w:r>
    </w:p>
    <w:p w14:paraId="34921944" w14:textId="753C84F0" w:rsidR="00A56565" w:rsidRDefault="00A56565" w:rsidP="00F6293B">
      <w:pPr>
        <w:spacing w:after="160" w:line="278" w:lineRule="auto"/>
      </w:pPr>
      <w:r>
        <w:t>Author affiliations:</w:t>
      </w:r>
    </w:p>
    <w:p w14:paraId="76F18836" w14:textId="1A6C0253" w:rsidR="00A56565" w:rsidRDefault="00A56565" w:rsidP="00A56565">
      <w:pPr>
        <w:pStyle w:val="ListParagraph"/>
        <w:numPr>
          <w:ilvl w:val="0"/>
          <w:numId w:val="3"/>
        </w:numPr>
        <w:spacing w:after="160" w:line="278" w:lineRule="auto"/>
      </w:pPr>
      <w:r>
        <w:t>University of Arizona, Department of Ecology and Evolutionary Biology and School of Natural Resources and the Environment, Tucson, Arizona, USA</w:t>
      </w:r>
    </w:p>
    <w:p w14:paraId="48C59DE5" w14:textId="07ABB5CC" w:rsidR="00A56565" w:rsidRDefault="00A56565" w:rsidP="00A56565">
      <w:pPr>
        <w:pStyle w:val="ListParagraph"/>
        <w:numPr>
          <w:ilvl w:val="0"/>
          <w:numId w:val="3"/>
        </w:numPr>
        <w:spacing w:after="160" w:line="278" w:lineRule="auto"/>
      </w:pPr>
      <w:r w:rsidRPr="00A56565">
        <w:t>Department of Ecology &amp; Evolutionary</w:t>
      </w:r>
      <w:r>
        <w:t xml:space="preserve"> </w:t>
      </w:r>
      <w:r w:rsidRPr="00A56565">
        <w:t>Biology and Cornell Lab of Ornithology,</w:t>
      </w:r>
      <w:r>
        <w:t xml:space="preserve"> </w:t>
      </w:r>
      <w:r w:rsidRPr="00A56565">
        <w:t>Cornell University, Ithaca, New York, US</w:t>
      </w:r>
      <w:r>
        <w:t>A</w:t>
      </w:r>
    </w:p>
    <w:p w14:paraId="73181ADD" w14:textId="36B13EDE" w:rsidR="00A56565" w:rsidRDefault="00A56565" w:rsidP="00A56565">
      <w:pPr>
        <w:pStyle w:val="ListParagraph"/>
        <w:numPr>
          <w:ilvl w:val="0"/>
          <w:numId w:val="3"/>
        </w:numPr>
        <w:spacing w:after="160" w:line="278" w:lineRule="auto"/>
      </w:pPr>
      <w:r>
        <w:t xml:space="preserve">Kent State University, Department of Biological Sciences, </w:t>
      </w:r>
      <w:r w:rsidRPr="00A56565">
        <w:t>Kent, OH, USA</w:t>
      </w:r>
    </w:p>
    <w:p w14:paraId="245BD756" w14:textId="77777777" w:rsidR="00A56565" w:rsidRDefault="00A56565" w:rsidP="00F6293B">
      <w:pPr>
        <w:spacing w:after="160" w:line="278" w:lineRule="auto"/>
        <w:rPr>
          <w:b/>
          <w:bCs/>
          <w:u w:val="single"/>
        </w:rPr>
      </w:pPr>
    </w:p>
    <w:p w14:paraId="7EA2959B" w14:textId="1FE35402" w:rsidR="00D0727D" w:rsidRPr="00F6293B" w:rsidRDefault="00A56565" w:rsidP="00F6293B">
      <w:pPr>
        <w:spacing w:after="160" w:line="278" w:lineRule="auto"/>
        <w:rPr>
          <w:b/>
          <w:bCs/>
          <w:u w:val="single"/>
        </w:rPr>
      </w:pPr>
      <w:r>
        <w:rPr>
          <w:b/>
          <w:bCs/>
          <w:u w:val="single"/>
        </w:rPr>
        <w:t>Acknowledgements:</w:t>
      </w:r>
      <w:r w:rsidR="00D0727D" w:rsidRPr="00F6293B">
        <w:rPr>
          <w:b/>
          <w:bCs/>
          <w:u w:val="single"/>
        </w:rPr>
        <w:br w:type="page"/>
      </w:r>
    </w:p>
    <w:p w14:paraId="4BFDC34B" w14:textId="30D5A77C" w:rsidR="00266BBD" w:rsidRDefault="00631E79" w:rsidP="00266BBD">
      <w:pPr>
        <w:spacing w:after="160" w:line="278" w:lineRule="auto"/>
        <w:ind w:firstLine="720"/>
      </w:pPr>
      <w:r>
        <w:lastRenderedPageBreak/>
        <w:t>Parasites exert some of the strongest selective forces on host taxa</w:t>
      </w:r>
      <w:r w:rsidR="00266BBD">
        <w:t xml:space="preserve">, yet the early stages of </w:t>
      </w:r>
      <w:r>
        <w:t>host-parasite coevolution</w:t>
      </w:r>
      <w:r w:rsidR="00266BBD">
        <w:t xml:space="preserve"> are </w:t>
      </w:r>
      <w:r>
        <w:t>poorly understood</w:t>
      </w:r>
      <w:r w:rsidR="00266BBD">
        <w:t xml:space="preserve">. </w:t>
      </w:r>
      <w:r>
        <w:t>Human-mediated</w:t>
      </w:r>
      <w:r w:rsidR="00266BBD">
        <w:t xml:space="preserve"> redistribution of </w:t>
      </w:r>
      <w:r>
        <w:t xml:space="preserve">parasites </w:t>
      </w:r>
      <w:r w:rsidR="00266BBD">
        <w:t xml:space="preserve">has introduced novel parasites to naïve hosts, providing </w:t>
      </w:r>
      <w:r>
        <w:t>a</w:t>
      </w:r>
      <w:r w:rsidR="00266BBD">
        <w:t xml:space="preserve"> unique opportunity to characterize the biological processes that evolve in hosts during the initial stage of host-parasite coevolution, the timeline </w:t>
      </w:r>
      <w:r>
        <w:t>over</w:t>
      </w:r>
      <w:r w:rsidR="00266BBD">
        <w:t xml:space="preserve"> which selection </w:t>
      </w:r>
      <w:r>
        <w:t>on hosts is detectible</w:t>
      </w:r>
      <w:r w:rsidR="00266BBD">
        <w:t xml:space="preserve">, and the extent to which </w:t>
      </w:r>
      <w:r w:rsidR="00964A35">
        <w:t>evolutionary</w:t>
      </w:r>
      <w:r w:rsidR="00266BBD">
        <w:t xml:space="preserve"> patterns are parallel across species. </w:t>
      </w:r>
      <w:r>
        <w:t>Such</w:t>
      </w:r>
      <w:r w:rsidR="00266BBD">
        <w:t xml:space="preserve"> insights are essential for understanding and managing the increasing in</w:t>
      </w:r>
      <w:r>
        <w:t xml:space="preserve">troduced </w:t>
      </w:r>
      <w:r w:rsidR="00266BBD">
        <w:t>parasitic threats to biodiversity worldwide.</w:t>
      </w:r>
    </w:p>
    <w:p w14:paraId="4C24AFEF" w14:textId="013313DC" w:rsidR="00903CDB" w:rsidRPr="009D38DD" w:rsidRDefault="001A5370" w:rsidP="00A1170B">
      <w:pPr>
        <w:spacing w:after="160" w:line="278" w:lineRule="auto"/>
        <w:ind w:firstLine="720"/>
      </w:pPr>
      <w:r>
        <w:t xml:space="preserve">Darwin’s finches </w:t>
      </w:r>
      <w:r w:rsidR="00C33A58">
        <w:t>are a classic example of rapid evolution, with well-</w:t>
      </w:r>
      <w:r w:rsidR="00964A35">
        <w:t xml:space="preserve">studied </w:t>
      </w:r>
      <w:r w:rsidR="00C33A58">
        <w:t>beak traits that evolve</w:t>
      </w:r>
      <w:r w:rsidR="00964A35">
        <w:t xml:space="preserve"> on short time scales</w:t>
      </w:r>
      <w:r w:rsidR="00C33A58">
        <w:t xml:space="preserve"> through character displacement resulting from fluctuating climate conditions and competition for food</w:t>
      </w:r>
      <w:r w:rsidR="00A93664">
        <w:t xml:space="preserve"> </w:t>
      </w:r>
      <w:r w:rsidR="00A93664">
        <w:fldChar w:fldCharType="begin"/>
      </w:r>
      <w:r w:rsidR="00A1170B">
        <w:instrText xml:space="preserve"> ADDIN ZOTERO_ITEM CSL_CITATION {"citationID":"DZh3c1gQ","properties":{"formattedCitation":"({\\i{}1}, {\\i{}2})","plainCitation":"(1, 2)","noteIndex":0},"citationItems":[{"id":1122,"uris":["http://zotero.org/users/15902993/items/SPJSVZLN"],"itemData":{"id":1122,"type":"article-journal","abstract":"Recent adaptive radiations are models for investigating mechanisms contributing to the evolution of biodiversity. An unresolved question is the relative importance of new mutations, ancestral variants, and introgressive hybridization for phenotypic evolution and speciation. Here, we address this issue using Darwin’s finches and investigate the genomic architecture underlying their phenotypic diversity. Admixture mapping for beak and body size in the small, medium, and large ground finches revealed 28 loci showing strong genetic differentiation. These loci represent ancestral haplotype blocks with origins predating speciation events during the Darwin’s finch radiation. Genes expressed in the developing beak are overrepresented in these genomic regions. Ancestral haplotypes constitute genetic modules for selection and act as key determinants of the unusual phenotypic diversity of Darwin’s finches. Such ancestral haplotype blocks can be critical for how species adapt to environmental variability and change.","container-title":"Science Advances","DOI":"10.1126/sciadv.abm5982","issue":"27","note":"publisher: American Association for the Advancement of Science","page":"eabm5982","source":"www-science-org.ezproxy1.library.arizona.edu (Atypon)","title":"Rapid adaptive radiation of Darwin’s finches depends on ancestral genetic modules","volume":"8","author":[{"family":"Rubin","given":"Carl-Johan"},{"family":"Enbody","given":"Erik D."},{"family":"Dobreva","given":"Mariya P."},{"family":"Abzhanov","given":"Arhat"},{"family":"Davis","given":"Brian W."},{"family":"Lamichhaney","given":"Sangeet"},{"family":"Pettersson","given":"Mats"},{"family":"Sendell-Price","given":"Ashley T."},{"family":"Sprehn","given":"C. Grace"},{"family":"Valle","given":"Carlos A."},{"family":"Vasco","given":"Karla"},{"family":"Wallerman","given":"Ola"},{"family":"Grant","given":"B. Rosemary"},{"family":"Grant","given":"Peter R."},{"family":"Andersson","given":"Leif"}],"issued":{"date-parts":[["2022",7,8]]}}},{"id":1104,"uris":["http://zotero.org/users/15902993/items/UR9EDSYX"],"itemData":{"id":1104,"type":"article-journal","abstract":"Ecological character displacement is a process of morphological divergence that reduces competition for limited resources. We used genomic analysis to investigate the genetic basis of a documented character displacement event in Darwin’s finches on Daphne Major in the Galápagos Islands: The medium ground finch diverged from its competitor, the large ground finch, during a severe drought. We discovered a genomic region containing the HMGA2 gene that varies systematically among Darwin’s finch species with different beak sizes. Two haplotypes that diverged early in the radiation were involved in the character displacement event: Genotypes associated with large beak size were at a strong selective disadvantage in medium ground finches (selection coefficient s = 0.59). Thus, a major locus has apparently facilitated a rapid ecological diversification in the adaptive radiation of Darwin’s finches.","container-title":"Science","DOI":"10.1126/science.aad8786","issue":"6284","note":"publisher: American Association for the Advancement of Science","page":"470-474","source":"www-science-org.ezproxy1.library.arizona.edu (Atypon)","title":"A beak size locus in Darwin’s finches facilitated character displacement during a drought","volume":"352","author":[{"family":"Lamichhaney","given":"Sangeet"},{"family":"Han","given":"Fan"},{"family":"Berglund","given":"Jonas"},{"family":"Wang","given":"Chao"},{"family":"Almén","given":"Markus Sällman"},{"family":"Webster","given":"Matthew T."},{"family":"Grant","given":"B. Rosemary"},{"family":"Grant","given":"Peter R."},{"family":"Andersson","given":"Leif"}],"issued":{"date-parts":[["2016",4,22]]}}}],"schema":"https://github.com/citation-style-language/schema/raw/master/csl-citation.json"} </w:instrText>
      </w:r>
      <w:r w:rsidR="00A93664">
        <w:fldChar w:fldCharType="separate"/>
      </w:r>
      <w:r w:rsidR="00A1170B" w:rsidRPr="00A1170B">
        <w:rPr>
          <w:rFonts w:eastAsiaTheme="minorHAnsi"/>
          <w14:ligatures w14:val="standardContextual"/>
        </w:rPr>
        <w:t>(</w:t>
      </w:r>
      <w:r w:rsidR="00A1170B" w:rsidRPr="00A1170B">
        <w:rPr>
          <w:rFonts w:eastAsiaTheme="minorHAnsi"/>
          <w:i/>
          <w:iCs/>
          <w14:ligatures w14:val="standardContextual"/>
        </w:rPr>
        <w:t>1</w:t>
      </w:r>
      <w:r w:rsidR="00A1170B" w:rsidRPr="00A1170B">
        <w:rPr>
          <w:rFonts w:eastAsiaTheme="minorHAnsi"/>
          <w14:ligatures w14:val="standardContextual"/>
        </w:rPr>
        <w:t xml:space="preserve">, </w:t>
      </w:r>
      <w:r w:rsidR="00A1170B" w:rsidRPr="00A1170B">
        <w:rPr>
          <w:rFonts w:eastAsiaTheme="minorHAnsi"/>
          <w:i/>
          <w:iCs/>
          <w14:ligatures w14:val="standardContextual"/>
        </w:rPr>
        <w:t>2</w:t>
      </w:r>
      <w:r w:rsidR="00A1170B" w:rsidRPr="00A1170B">
        <w:rPr>
          <w:rFonts w:eastAsiaTheme="minorHAnsi"/>
          <w14:ligatures w14:val="standardContextual"/>
        </w:rPr>
        <w:t>)</w:t>
      </w:r>
      <w:r w:rsidR="00A93664">
        <w:fldChar w:fldCharType="end"/>
      </w:r>
      <w:r w:rsidR="00C33A58">
        <w:t xml:space="preserve">. This clade consists of </w:t>
      </w:r>
      <w:r>
        <w:t xml:space="preserve">18 species in the tanager family (Thraupidae), 17 species on the Galápagos </w:t>
      </w:r>
      <w:r w:rsidR="00964A35">
        <w:t xml:space="preserve">Islands </w:t>
      </w:r>
      <w:r>
        <w:t xml:space="preserve">and one on Cocos Island, that have diversified over 1-2 million years </w:t>
      </w:r>
      <w:r>
        <w:fldChar w:fldCharType="begin"/>
      </w:r>
      <w:r w:rsidR="00A1170B">
        <w:instrText xml:space="preserve"> ADDIN ZOTERO_ITEM CSL_CITATION {"citationID":"YUaXj2jI","properties":{"formattedCitation":"({\\i{}3})","plainCitation":"(3)","noteIndex":0},"citationItems":[{"id":1115,"uris":["http://zotero.org/users/15902993/items/5YI2VUK7"],"itemData":{"id":1115,"type":"article-journal","abstract":"In this Perspective we show the value of studying living organisms in the field to understand their history. Darwin’s finches are an iconic example of the early stages of speciation in a young adaptive radiation that produced 18 species in little more than a million years. The question they pose is how and why so many species originated and diversified rapidly. A long-term study of four species of finches on the small island of Daphne Major, combined with genomic investigations, provide some answers in terms of extrinsic and intrinsic factors. Beak size and shape, as well as body size, are key heritable features involved in both ecological and reproductive isolation, and their evolution by natural selection was caused by competitor species during prolonged droughts. Introgressive hybridization of related species is rare but recurring, apparently widespread, increases genetic variation, and does not incur a fitness cost. Hybridization can produce a new species. We use a phylogeny based on whole genome sequences of the four finches to infer morphological transitions in their radiation. Several lines of evidence indicate that some species are missing from the early phase of the radiation due to extinction. Combining these results, we re-cast the classical allopatry-then-sympatry theory of adaptive radiation as a competition-selection-hybridization process that generates a diversity of species.","container-title":"Evolutionary Journal of the Linnean Society","DOI":"10.1093/evolinnean/kzae006","ISSN":"2752-938X","issue":"1","journalAbbreviation":"Evolutionary Journal of the Linnean Society","page":"kzae006","source":"Silverchair","title":"From microcosm to macrocosm: adaptive radiation of Darwin’s finches","title-short":"From microcosm to macrocosm","volume":"3","author":[{"family":"Grant","given":"Peter R"},{"family":"Grant","given":"B Rosemary"}],"issued":{"date-parts":[["2024",1,1]]}}}],"schema":"https://github.com/citation-style-language/schema/raw/master/csl-citation.json"} </w:instrText>
      </w:r>
      <w:r>
        <w:fldChar w:fldCharType="separate"/>
      </w:r>
      <w:r w:rsidR="00A1170B" w:rsidRPr="00A1170B">
        <w:rPr>
          <w:rFonts w:eastAsiaTheme="minorHAnsi"/>
          <w14:ligatures w14:val="standardContextual"/>
        </w:rPr>
        <w:t>(</w:t>
      </w:r>
      <w:r w:rsidR="00A1170B" w:rsidRPr="00A1170B">
        <w:rPr>
          <w:rFonts w:eastAsiaTheme="minorHAnsi"/>
          <w:i/>
          <w:iCs/>
          <w14:ligatures w14:val="standardContextual"/>
        </w:rPr>
        <w:t>3</w:t>
      </w:r>
      <w:r w:rsidR="00A1170B" w:rsidRPr="00A1170B">
        <w:rPr>
          <w:rFonts w:eastAsiaTheme="minorHAnsi"/>
          <w14:ligatures w14:val="standardContextual"/>
        </w:rPr>
        <w:t>)</w:t>
      </w:r>
      <w:r>
        <w:fldChar w:fldCharType="end"/>
      </w:r>
      <w:r w:rsidR="00C33A58">
        <w:t xml:space="preserve">. </w:t>
      </w:r>
      <w:r w:rsidR="00A1170B">
        <w:t>But a virulent and</w:t>
      </w:r>
      <w:r w:rsidR="00C33A58">
        <w:t xml:space="preserve"> introduced parasite has reshaped the selective landscape for Darwin’s finches over the last 30 years. </w:t>
      </w:r>
      <w:r w:rsidR="00F678AC">
        <w:t>In 199</w:t>
      </w:r>
      <w:r w:rsidR="00964A35">
        <w:t>8</w:t>
      </w:r>
      <w:r w:rsidR="00F678AC">
        <w:t>, larva</w:t>
      </w:r>
      <w:r w:rsidR="001E0683">
        <w:t>e</w:t>
      </w:r>
      <w:r w:rsidR="00F678AC">
        <w:t xml:space="preserve"> of the vampire fly (</w:t>
      </w:r>
      <w:proofErr w:type="spellStart"/>
      <w:r w:rsidR="00F678AC">
        <w:rPr>
          <w:i/>
          <w:iCs/>
        </w:rPr>
        <w:t>Philornis</w:t>
      </w:r>
      <w:proofErr w:type="spellEnd"/>
      <w:r w:rsidR="00F678AC">
        <w:rPr>
          <w:i/>
          <w:iCs/>
        </w:rPr>
        <w:t xml:space="preserve"> </w:t>
      </w:r>
      <w:proofErr w:type="spellStart"/>
      <w:r w:rsidR="00F678AC">
        <w:rPr>
          <w:i/>
          <w:iCs/>
        </w:rPr>
        <w:t>downsi</w:t>
      </w:r>
      <w:proofErr w:type="spellEnd"/>
      <w:r w:rsidR="00F678AC">
        <w:t>) w</w:t>
      </w:r>
      <w:r w:rsidR="001E0683">
        <w:t>ere</w:t>
      </w:r>
      <w:r w:rsidR="00F678AC">
        <w:t xml:space="preserve"> first observed in the nests of breeding birds in the Galápagos. S</w:t>
      </w:r>
      <w:r w:rsidR="007C4864">
        <w:t>everal endemic passerine species on the Galápagos are now nearing extinction including two species of Darwin’s finch, the Mangrove finch</w:t>
      </w:r>
      <w:r w:rsidR="00515705">
        <w:t xml:space="preserve"> (</w:t>
      </w:r>
      <w:proofErr w:type="spellStart"/>
      <w:r w:rsidR="00515705" w:rsidRPr="00515705">
        <w:rPr>
          <w:i/>
          <w:iCs/>
        </w:rPr>
        <w:t>Camarhynchus</w:t>
      </w:r>
      <w:proofErr w:type="spellEnd"/>
      <w:r w:rsidR="00515705" w:rsidRPr="00515705">
        <w:rPr>
          <w:i/>
          <w:iCs/>
        </w:rPr>
        <w:t xml:space="preserve"> </w:t>
      </w:r>
      <w:proofErr w:type="spellStart"/>
      <w:r w:rsidR="00515705" w:rsidRPr="00515705">
        <w:rPr>
          <w:i/>
          <w:iCs/>
        </w:rPr>
        <w:t>heliobates</w:t>
      </w:r>
      <w:proofErr w:type="spellEnd"/>
      <w:r w:rsidR="00515705">
        <w:t>)</w:t>
      </w:r>
      <w:r w:rsidR="007C4864">
        <w:t xml:space="preserve"> and the </w:t>
      </w:r>
      <w:r w:rsidR="00515705">
        <w:t>medium tree</w:t>
      </w:r>
      <w:r w:rsidR="007C4864">
        <w:t xml:space="preserve"> finch</w:t>
      </w:r>
      <w:r w:rsidR="00515705">
        <w:t xml:space="preserve"> (</w:t>
      </w:r>
      <w:r w:rsidR="00515705" w:rsidRPr="00515705">
        <w:rPr>
          <w:i/>
          <w:iCs/>
        </w:rPr>
        <w:t>C. pauper</w:t>
      </w:r>
      <w:r w:rsidR="00A1170B">
        <w:t xml:space="preserve">, </w:t>
      </w:r>
      <w:r w:rsidR="00A1170B">
        <w:fldChar w:fldCharType="begin"/>
      </w:r>
      <w:r w:rsidR="00A1170B">
        <w:instrText xml:space="preserve"> ADDIN ZOTERO_ITEM CSL_CITATION {"citationID":"BZX05PMl","properties":{"formattedCitation":"({\\i{}4})","plainCitation":"(4)","dontUpdate":true,"noteIndex":0},"citationItems":[{"id":1120,"uris":["http://zotero.org/users/15902993/items/IIDIM24P"],"itemData":{"id":1120,"type":"article-journal","abstract":"Species hybridization can lead to fitness costs, species collapse, and novel evolutionary trajectories in changing environments. Hybridization is predicted to be more common when environmental conditions change rapidly. Here, we test patterns of hybridization in three sympatric tree finch species (small tree finch Camarhynchus parvulus, medium tree finch Camarhynchus pauper, and large tree finch: Camarhynchus psittacula) that are currently recognized on Floreana Island, Galápagos Archipelago. Genetic analysis of microsatellite data from contemporary samples showed two genetic populations and one hybrid cluster in both 2005 and 2010; hybrid individuals were derived from genetic population 1 (small morph) and genetic population 2 (large morph). Females of the large and rare species were more likely to pair with males of the small common species. Finch populations differed in morphology in 1852–1906 compared with 2005/2010. An unsupervised clustering method showed (a) support for three morphological clusters in the historical tree finch sample (1852–1906), which is consistent with current species recognition; (b) support for two or three morphological clusters in 2005 with some (19%) hybridization; and (c) support for just two morphological clusters in 2010 with frequent (41%) hybridization. We discuss these findings in relation to species demarcations of Camarhynchus tree finches on Floreana Island.","container-title":"The American Naturalist","DOI":"10.1086/674899","ISSN":"0003-0147","issue":"3","note":"publisher: The University of Chicago Press","page":"325-341","source":"journals.uchicago.edu (Atypon)","title":"Species Collapse via Hybridization in Darwin’s Tree Finches.","volume":"183","author":[{"family":"Kleindorfer","given":"Sonia"},{"family":"O’Connor","given":"Jody A."},{"family":"Dudaniec","given":"Rachael Y."},{"family":"Myers","given":"Steven A."},{"family":"Robertson","given":"Jeremy"},{"family":"Sulloway","given":"Frank J."}],"issued":{"date-parts":[["2014",3]]}}}],"schema":"https://github.com/citation-style-language/schema/raw/master/csl-citation.json"} </w:instrText>
      </w:r>
      <w:r w:rsidR="00A1170B">
        <w:fldChar w:fldCharType="separate"/>
      </w:r>
      <w:r w:rsidR="00A1170B" w:rsidRPr="00A1170B">
        <w:rPr>
          <w:rFonts w:eastAsiaTheme="minorHAnsi"/>
          <w:i/>
          <w:iCs/>
          <w14:ligatures w14:val="standardContextual"/>
        </w:rPr>
        <w:t>4</w:t>
      </w:r>
      <w:r w:rsidR="00A1170B" w:rsidRPr="00A1170B">
        <w:rPr>
          <w:rFonts w:eastAsiaTheme="minorHAnsi"/>
          <w14:ligatures w14:val="standardContextual"/>
        </w:rPr>
        <w:t>)</w:t>
      </w:r>
      <w:r w:rsidR="00A1170B">
        <w:fldChar w:fldCharType="end"/>
      </w:r>
      <w:r w:rsidR="007C4864">
        <w:t xml:space="preserve">. High rates of parasitism affect all Darwin’s finch species, resulting in a reduced fledging success rate of ~50%. </w:t>
      </w:r>
      <w:r w:rsidR="00EC0CC4">
        <w:t xml:space="preserve">The </w:t>
      </w:r>
      <w:r w:rsidR="00A1170B">
        <w:t xml:space="preserve">larvae </w:t>
      </w:r>
      <w:r w:rsidR="00A1170B">
        <w:t xml:space="preserve">of the </w:t>
      </w:r>
      <w:r w:rsidR="00EC0CC4">
        <w:t xml:space="preserve">vampire fly feed on the blood of nestling </w:t>
      </w:r>
      <w:r w:rsidR="00C905AB">
        <w:t>and occasionally adult nesting passerine birds</w:t>
      </w:r>
      <w:r w:rsidR="00EC0CC4">
        <w:t xml:space="preserve">, and they cause </w:t>
      </w:r>
      <w:r w:rsidR="00964A35">
        <w:t>anemia</w:t>
      </w:r>
      <w:r w:rsidR="00EC0CC4">
        <w:t>, reduced body condition,</w:t>
      </w:r>
      <w:r w:rsidR="00964A35">
        <w:t xml:space="preserve"> life-long facial and </w:t>
      </w:r>
      <w:proofErr w:type="spellStart"/>
      <w:r w:rsidR="00964A35">
        <w:t>nare</w:t>
      </w:r>
      <w:proofErr w:type="spellEnd"/>
      <w:r w:rsidR="00964A35">
        <w:t xml:space="preserve"> damage,</w:t>
      </w:r>
      <w:r w:rsidR="00EC0CC4">
        <w:t xml:space="preserve"> and often death</w:t>
      </w:r>
      <w:r w:rsidR="00A1170B">
        <w:t xml:space="preserve"> </w:t>
      </w:r>
      <w:r w:rsidR="00A1170B">
        <w:fldChar w:fldCharType="begin"/>
      </w:r>
      <w:r w:rsidR="00A1170B">
        <w:instrText xml:space="preserve"> ADDIN ZOTERO_ITEM CSL_CITATION {"citationID":"gGy1ubb2","properties":{"formattedCitation":"({\\i{}5})","plainCitation":"(5)","noteIndex":0},"citationItems":[{"id":1110,"uris":["http://zotero.org/users/15902993/items/LC4VHSYF"],"itemData":{"id":1110,"type":"article-journal","abstract":"The muscid genus Philornis comprises approximately 50 described species of flies, nearly all of which are obligate parasites of nestling birds. Philornis species are native to the Neotropics and widely distributed from Florida to Argentina. Most research on this group has focused on P. downsi, which was introduced to the Galápagos Islands in the late twentieth century. Although Philornis parasitism kills nestlings in several native host species, nowhere do the effects seem more severe than in P. downsi in the Galápagos. Here, we review studies of native and introduced Philornis in an attempt to identify factors that may influence virulence and consider implications for the conservation of hosts in the Galápagos.","container-title":"Annual Review of Entomology","DOI":"10.1146/annurev-ento-020117-043103","ISSN":"0066-4170, 1545-4487","issue":"Volume 63, 2018","language":"en","note":"publisher: Annual Reviews","page":"369-387","source":"www.annualreviews.org","title":"Alien Invasion: Biology of Philornis Flies Highlighting Philornis downsi, an Introduced Parasite of Galápagos Birds","title-short":"Alien Invasion","volume":"63","author":[{"family":"McNew","given":"Sabrina M."},{"family":"Clayton","given":"Dale H."}],"issued":{"date-parts":[["2018",1,7]]}}}],"schema":"https://github.com/citation-style-language/schema/raw/master/csl-citation.json"} </w:instrText>
      </w:r>
      <w:r w:rsidR="00A1170B">
        <w:fldChar w:fldCharType="separate"/>
      </w:r>
      <w:r w:rsidR="00A1170B" w:rsidRPr="00A1170B">
        <w:rPr>
          <w:rFonts w:eastAsiaTheme="minorHAnsi"/>
          <w14:ligatures w14:val="standardContextual"/>
        </w:rPr>
        <w:t>(</w:t>
      </w:r>
      <w:r w:rsidR="00A1170B" w:rsidRPr="00A1170B">
        <w:rPr>
          <w:rFonts w:eastAsiaTheme="minorHAnsi"/>
          <w:i/>
          <w:iCs/>
          <w14:ligatures w14:val="standardContextual"/>
        </w:rPr>
        <w:t>5</w:t>
      </w:r>
      <w:r w:rsidR="00A1170B" w:rsidRPr="00A1170B">
        <w:rPr>
          <w:rFonts w:eastAsiaTheme="minorHAnsi"/>
          <w14:ligatures w14:val="standardContextual"/>
        </w:rPr>
        <w:t>)</w:t>
      </w:r>
      <w:r w:rsidR="00A1170B">
        <w:fldChar w:fldCharType="end"/>
      </w:r>
      <w:r w:rsidR="00EC0CC4">
        <w:t xml:space="preserve">. It is unknown if naïve hosts </w:t>
      </w:r>
      <w:r w:rsidR="008D4415">
        <w:t xml:space="preserve">in the Galápagos </w:t>
      </w:r>
      <w:r w:rsidR="00EC0CC4">
        <w:t xml:space="preserve">can adapt to a novel and highly </w:t>
      </w:r>
      <w:r w:rsidR="005D0C93">
        <w:t>virulent</w:t>
      </w:r>
      <w:r w:rsidR="00EC0CC4">
        <w:t xml:space="preserve"> ectoparasite or if </w:t>
      </w:r>
      <w:r w:rsidR="001E0683">
        <w:t>the high costs observed today will persist and ultimately drive some populations and species to extinction</w:t>
      </w:r>
      <w:r w:rsidR="00A1170B">
        <w:t xml:space="preserve"> </w:t>
      </w:r>
      <w:r w:rsidR="00A1170B">
        <w:fldChar w:fldCharType="begin"/>
      </w:r>
      <w:r w:rsidR="00A1170B">
        <w:instrText xml:space="preserve"> ADDIN ZOTERO_ITEM CSL_CITATION {"citationID":"TBNnMtoR","properties":{"formattedCitation":"({\\i{}6})","plainCitation":"(6)","noteIndex":0},"citationItems":[{"id":1209,"uris":["http://zotero.org/users/15902993/items/2N7RLZ8F"],"itemData":{"id":1209,"type":"article-journal","abstract":"Introduced pathogens and other parasites are often implicated in host population-level declines and extinctions. However, such claims are rarely supported by rigorous real-time data. Indeed, the threat of introduced parasites often goes unnoticed until after host populations have declined severely. The recent introduction of the parasitic nest fly, Philornis downsi, to the Galápagos Islands provides an opportunity to monitor the current impact of an invasive parasite on endemic land bird populations, including Darwin's finches. In this paper, we present a population viability model to explore the potential long-term effect of P. downsi on Darwin's finch populations. The goal of our study was to determine whether P. downsi has the potential to drive host populations to extinction and whether management efforts are likely to be effective. Our model is based on data from five years of experimental field work documenting the effect of P. downsi on the reproductive success of medium ground finch Geospiza fortis populations on Santa Cruz Island. Under two of the three scenarios tested, the model predicted medium ground finches are at risk of extinction within the next century. However, sensitivity analyses reveal that even a modest reduction in the prevalence of the parasite could improve the stability of finch populations. We discuss the practicality of several management options aimed at achieving this goal. Synthesis and applications. Our study demonstrates the predicted high risk of local extinction of an abundant host species, the medium ground finch G. fortis due to an introduced parasite, P. downsi. However, our study further suggests that careful management practices aimed at reducing parasite prevalence have the potential to significantly lower the risk of host species extinction.","container-title":"Journal of Applied Ecology","DOI":"10.1111/1365-2664.12575","ISSN":"1365-2664","issue":"2","language":"en","license":"© 2015 The Authors. Journal of Applied Ecology © 2015 British Ecological Society","note":"_eprint: https://onlinelibrary.wiley.com/doi/pdf/10.1111/1365-2664.12575","page":"511-518","source":"Wiley Online Library","title":"An introduced parasitic fly may lead to local extinction of Darwin's finch populations","volume":"53","author":[{"family":"Koop","given":"Jennifer A. H."},{"family":"Kim","given":"Peter S."},{"family":"Knutie","given":"Sarah A."},{"family":"Adler","given":"Fred"},{"family":"Clayton","given":"Dale H."}],"issued":{"date-parts":[["2016"]]}}}],"schema":"https://github.com/citation-style-language/schema/raw/master/csl-citation.json"} </w:instrText>
      </w:r>
      <w:r w:rsidR="00A1170B">
        <w:fldChar w:fldCharType="separate"/>
      </w:r>
      <w:r w:rsidR="00A1170B" w:rsidRPr="00A1170B">
        <w:rPr>
          <w:rFonts w:eastAsiaTheme="minorHAnsi"/>
          <w14:ligatures w14:val="standardContextual"/>
        </w:rPr>
        <w:t>(</w:t>
      </w:r>
      <w:r w:rsidR="00A1170B" w:rsidRPr="00A1170B">
        <w:rPr>
          <w:rFonts w:eastAsiaTheme="minorHAnsi"/>
          <w:i/>
          <w:iCs/>
          <w14:ligatures w14:val="standardContextual"/>
        </w:rPr>
        <w:t>6</w:t>
      </w:r>
      <w:r w:rsidR="00A1170B" w:rsidRPr="00A1170B">
        <w:rPr>
          <w:rFonts w:eastAsiaTheme="minorHAnsi"/>
          <w14:ligatures w14:val="standardContextual"/>
        </w:rPr>
        <w:t>)</w:t>
      </w:r>
      <w:r w:rsidR="00A1170B">
        <w:fldChar w:fldCharType="end"/>
      </w:r>
      <w:r w:rsidR="00EC0CC4">
        <w:t>.</w:t>
      </w:r>
      <w:r w:rsidR="00A1170B">
        <w:t xml:space="preserve"> </w:t>
      </w:r>
      <w:r w:rsidR="008D4415">
        <w:t>Despite similarly high rates of parasitism across Darwin’s finches, o</w:t>
      </w:r>
      <w:r w:rsidR="009D38DD">
        <w:t xml:space="preserve">nly one species, the vegetarian finch </w:t>
      </w:r>
      <w:r w:rsidR="009D38DD" w:rsidRPr="009D38DD">
        <w:t>(</w:t>
      </w:r>
      <w:r w:rsidR="009D38DD">
        <w:rPr>
          <w:i/>
          <w:iCs/>
        </w:rPr>
        <w:t xml:space="preserve">Platyspiza </w:t>
      </w:r>
      <w:proofErr w:type="spellStart"/>
      <w:r w:rsidR="009D38DD">
        <w:rPr>
          <w:i/>
          <w:iCs/>
        </w:rPr>
        <w:t>crassirostris</w:t>
      </w:r>
      <w:proofErr w:type="spellEnd"/>
      <w:r w:rsidR="009D38DD">
        <w:t xml:space="preserve">), experiences </w:t>
      </w:r>
      <w:r w:rsidR="008D4415">
        <w:t>minimal</w:t>
      </w:r>
      <w:r w:rsidR="009D38DD">
        <w:t xml:space="preserve"> negative effects of parasitism </w:t>
      </w:r>
      <w:r w:rsidR="009D38DD">
        <w:fldChar w:fldCharType="begin"/>
      </w:r>
      <w:r w:rsidR="00A1170B">
        <w:instrText xml:space="preserve"> ADDIN ZOTERO_ITEM CSL_CITATION {"citationID":"8ibax38v","properties":{"formattedCitation":"({\\i{}5}, {\\i{}7})","plainCitation":"(5, 7)","noteIndex":0},"citationItems":[{"id":1118,"uris":["http://zotero.org/users/15902993/items/DFAPAF3N"],"itemData":{"id":1118,"type":"article-journal","abstract":"The Vegetarian Finch, Platyspiza crassirostris, is a relatively unstudied Darwin's finch that appears to be in decline in the Galapagos Islands. We monitored 11 nests of Vegetarian Finches during 2013 and 2014 on Santa Cruz Island, Galapagos, and found that 10 of these were infested with an invasive parasitic fly, Philornis downsi. This is the first report of P. downsi attacking this bird species. The number of P. downsi in nests of Vegetarian Finches was higher than for other Darwin's finch species, but nestling mortality was relatively low. We hypothesize that both of these trends may be related to fact that the Vegetarian Finch is one of the largest-bodied species of Darwin's finches. We also consider the conservation implications of P. downsi parasitism for populations of vegetarian finches and other Darwin's finch species in the Galapagos Islands.","container-title":"The Wilson Journal of Ornithology","DOI":"10.1676/16-050.1","ISSN":"1559-4491","issue":"2","note":"publisher: Taylor &amp; Francis\n_eprint: https://doi.org/10.1676/16-050.1","page":"345-349","source":"Taylor and Francis+NEJM","title":"Invasive Parasites and the Fate of Darwin's Finches in the Galapagos Islands: The Case of the Vegetarian Finch (Platyspiza crassirostris)","title-short":"Invasive Parasites and the Fate of Darwin's Finches in the Galapagos Islands","volume":"129","author":[{"family":"Heimpel","given":"George E."},{"family":"","given":"Hillstrom ,Alexandra"},{"family":"","given":"Freund ,Deborah"},{"family":"","given":"Knutie ,Sarah A."},{"family":"Clayton","given":"Dale H.","non-dropping-particle":"and"}],"issued":{"date-parts":[["2017",6,1]]}}},{"id":1110,"uris":["http://zotero.org/users/15902993/items/LC4VHSYF"],"itemData":{"id":1110,"type":"article-journal","abstract":"The muscid genus Philornis comprises approximately 50 described species of flies, nearly all of which are obligate parasites of nestling birds. Philornis species are native to the Neotropics and widely distributed from Florida to Argentina. Most research on this group has focused on P. downsi, which was introduced to the Galápagos Islands in the late twentieth century. Although Philornis parasitism kills nestlings in several native host species, nowhere do the effects seem more severe than in P. downsi in the Galápagos. Here, we review studies of native and introduced Philornis in an attempt to identify factors that may influence virulence and consider implications for the conservation of hosts in the Galápagos.","container-title":"Annual Review of Entomology","DOI":"10.1146/annurev-ento-020117-043103","ISSN":"0066-4170, 1545-4487","issue":"Volume 63, 2018","language":"en","note":"publisher: Annual Reviews","page":"369-387","source":"www.annualreviews.org","title":"Alien Invasion: Biology of Philornis Flies Highlighting Philornis downsi, an Introduced Parasite of Galápagos Birds","title-short":"Alien Invasion","volume":"63","author":[{"family":"McNew","given":"Sabrina M."},{"family":"Clayton","given":"Dale H."}],"issued":{"date-parts":[["2018",1,7]]}}}],"schema":"https://github.com/citation-style-language/schema/raw/master/csl-citation.json"} </w:instrText>
      </w:r>
      <w:r w:rsidR="009D38DD">
        <w:fldChar w:fldCharType="separate"/>
      </w:r>
      <w:r w:rsidR="00A1170B" w:rsidRPr="00A1170B">
        <w:rPr>
          <w:rFonts w:eastAsiaTheme="minorHAnsi"/>
          <w14:ligatures w14:val="standardContextual"/>
        </w:rPr>
        <w:t>(</w:t>
      </w:r>
      <w:r w:rsidR="00A1170B" w:rsidRPr="00A1170B">
        <w:rPr>
          <w:rFonts w:eastAsiaTheme="minorHAnsi"/>
          <w:i/>
          <w:iCs/>
          <w14:ligatures w14:val="standardContextual"/>
        </w:rPr>
        <w:t>5</w:t>
      </w:r>
      <w:r w:rsidR="00A1170B" w:rsidRPr="00A1170B">
        <w:rPr>
          <w:rFonts w:eastAsiaTheme="minorHAnsi"/>
          <w14:ligatures w14:val="standardContextual"/>
        </w:rPr>
        <w:t xml:space="preserve">, </w:t>
      </w:r>
      <w:r w:rsidR="00A1170B" w:rsidRPr="00A1170B">
        <w:rPr>
          <w:rFonts w:eastAsiaTheme="minorHAnsi"/>
          <w:i/>
          <w:iCs/>
          <w14:ligatures w14:val="standardContextual"/>
        </w:rPr>
        <w:t>7</w:t>
      </w:r>
      <w:r w:rsidR="00A1170B" w:rsidRPr="00A1170B">
        <w:rPr>
          <w:rFonts w:eastAsiaTheme="minorHAnsi"/>
          <w14:ligatures w14:val="standardContextual"/>
        </w:rPr>
        <w:t>)</w:t>
      </w:r>
      <w:r w:rsidR="009D38DD">
        <w:fldChar w:fldCharType="end"/>
      </w:r>
      <w:r w:rsidR="009D38DD">
        <w:t>.</w:t>
      </w:r>
    </w:p>
    <w:p w14:paraId="0BCBDDA9" w14:textId="5E839515" w:rsidR="006C5FF8" w:rsidRDefault="006C5FF8" w:rsidP="00BE5998">
      <w:pPr>
        <w:spacing w:after="160" w:line="278" w:lineRule="auto"/>
        <w:ind w:firstLine="720"/>
      </w:pPr>
      <w:r>
        <w:t>We sequenced 24 birds from three species of Darwin’s finch collected in 2019, 2</w:t>
      </w:r>
      <w:r w:rsidR="00515705">
        <w:t>1</w:t>
      </w:r>
      <w:r>
        <w:t xml:space="preserve"> years after the first observation of vampire fly larvae in the Galápagos</w:t>
      </w:r>
      <w:r w:rsidR="00515705">
        <w:t xml:space="preserve"> in 1998 </w:t>
      </w:r>
      <w:r w:rsidR="00515705">
        <w:fldChar w:fldCharType="begin"/>
      </w:r>
      <w:r w:rsidR="00A1170B">
        <w:instrText xml:space="preserve"> ADDIN ZOTERO_ITEM CSL_CITATION {"citationID":"zTW86GC7","properties":{"formattedCitation":"({\\i{}5})","plainCitation":"(5)","noteIndex":0},"citationItems":[{"id":1110,"uris":["http://zotero.org/users/15902993/items/LC4VHSYF"],"itemData":{"id":1110,"type":"article-journal","abstract":"The muscid genus Philornis comprises approximately 50 described species of flies, nearly all of which are obligate parasites of nestling birds. Philornis species are native to the Neotropics and widely distributed from Florida to Argentina. Most research on this group has focused on P. downsi, which was introduced to the Galápagos Islands in the late twentieth century. Although Philornis parasitism kills nestlings in several native host species, nowhere do the effects seem more severe than in P. downsi in the Galápagos. Here, we review studies of native and introduced Philornis in an attempt to identify factors that may influence virulence and consider implications for the conservation of hosts in the Galápagos.","container-title":"Annual Review of Entomology","DOI":"10.1146/annurev-ento-020117-043103","ISSN":"0066-4170, 1545-4487","issue":"Volume 63, 2018","language":"en","note":"publisher: Annual Reviews","page":"369-387","source":"www.annualreviews.org","title":"Alien Invasion: Biology of Philornis Flies Highlighting Philornis downsi, an Introduced Parasite of Galápagos Birds","title-short":"Alien Invasion","volume":"63","author":[{"family":"McNew","given":"Sabrina M."},{"family":"Clayton","given":"Dale H."}],"issued":{"date-parts":[["2018",1,7]]}}}],"schema":"https://github.com/citation-style-language/schema/raw/master/csl-citation.json"} </w:instrText>
      </w:r>
      <w:r w:rsidR="00515705">
        <w:fldChar w:fldCharType="separate"/>
      </w:r>
      <w:r w:rsidR="00A1170B" w:rsidRPr="00A1170B">
        <w:rPr>
          <w:rFonts w:eastAsiaTheme="minorHAnsi"/>
          <w14:ligatures w14:val="standardContextual"/>
        </w:rPr>
        <w:t>(</w:t>
      </w:r>
      <w:r w:rsidR="00A1170B" w:rsidRPr="00A1170B">
        <w:rPr>
          <w:rFonts w:eastAsiaTheme="minorHAnsi"/>
          <w:i/>
          <w:iCs/>
          <w14:ligatures w14:val="standardContextual"/>
        </w:rPr>
        <w:t>5</w:t>
      </w:r>
      <w:r w:rsidR="00A1170B" w:rsidRPr="00A1170B">
        <w:rPr>
          <w:rFonts w:eastAsiaTheme="minorHAnsi"/>
          <w14:ligatures w14:val="standardContextual"/>
        </w:rPr>
        <w:t>)</w:t>
      </w:r>
      <w:r w:rsidR="00515705">
        <w:fldChar w:fldCharType="end"/>
      </w:r>
      <w:r>
        <w:t xml:space="preserve">. We compared these post-invasion </w:t>
      </w:r>
      <w:r w:rsidR="008052ED">
        <w:t>samples</w:t>
      </w:r>
      <w:r>
        <w:t xml:space="preserve"> to </w:t>
      </w:r>
      <w:r w:rsidR="008052ED">
        <w:t xml:space="preserve">previously sequenced </w:t>
      </w:r>
      <w:r>
        <w:t xml:space="preserve">pre-invasion </w:t>
      </w:r>
      <w:r w:rsidR="008052ED">
        <w:t>samples</w:t>
      </w:r>
      <w:r>
        <w:t xml:space="preserve"> collected in the 1980s and 1990s </w:t>
      </w:r>
      <w:r w:rsidR="005D0C93">
        <w:fldChar w:fldCharType="begin"/>
      </w:r>
      <w:r w:rsidR="00A1170B">
        <w:instrText xml:space="preserve"> ADDIN ZOTERO_ITEM CSL_CITATION {"citationID":"c6OLFAVW","properties":{"formattedCitation":"({\\i{}8})","plainCitation":"(8)","noteIndex":0},"citationItems":[{"id":512,"uris":["http://zotero.org/users/15902993/items/46AGAP82"],"itemData":{"id":512,"type":"article-journal","abstract":"Darwin’s finches, inhabiting the Galápagos archipelago and Cocos Island, constitute an iconic model for studies of speciation and adaptive evolution. Here we report the results of whole-genome re-sequencing of 120 individuals representing all of the Darwin’s finch species and two close relatives. Phylogenetic analysis reveals important discrepancies with the phenotype-based taxonomy. We find extensive evidence for interspecific gene flow throughout the radiation. Hybridization has given rise to species of mixed ancestry. A 240 kilobase haplotype encompassing the ALX1 gene that encodes a transcription factor affecting craniofacial development is strongly associated with beak shape diversity across Darwin's finch species as well as within the medium ground finch (Geospiza fortis), a species that has undergone rapid evolution of beak shape in response to environmental changes. The ALX1 haplotype has contributed to diversification of beak shapes among the Darwin’s finches and, thereby, to an expanded utilization of food resources.","container-title":"Nature","DOI":"10.1038/nature14181","ISSN":"1476-4687","issue":"7539","language":"en","license":"2015 Springer Nature Limited","note":"publisher: Nature Publishing Group","page":"371-375","source":"www.nature.com","title":"Evolution of Darwin’s finches and their beaks revealed by genome sequencing","volume":"518","author":[{"family":"Lamichhaney","given":"Sangeet"},{"family":"Berglund","given":"Jonas"},{"family":"Almén","given":"Markus Sällman"},{"family":"Maqbool","given":"Khurram"},{"family":"Grabherr","given":"Manfred"},{"family":"Martinez-Barrio","given":"Alvaro"},{"family":"Promerová","given":"Marta"},{"family":"Rubin","given":"Carl-Johan"},{"family":"Wang","given":"Chao"},{"family":"Zamani","given":"Neda"},{"family":"Grant","given":"B. Rosemary"},{"family":"Grant","given":"Peter R."},{"family":"Webster","given":"Matthew T."},{"family":"Andersson","given":"Leif"}],"issued":{"date-parts":[["2015",2]]}}}],"schema":"https://github.com/citation-style-language/schema/raw/master/csl-citation.json"} </w:instrText>
      </w:r>
      <w:r w:rsidR="005D0C93">
        <w:fldChar w:fldCharType="separate"/>
      </w:r>
      <w:r w:rsidR="00A1170B" w:rsidRPr="00A1170B">
        <w:rPr>
          <w:rFonts w:eastAsiaTheme="minorHAnsi"/>
          <w14:ligatures w14:val="standardContextual"/>
        </w:rPr>
        <w:t>(</w:t>
      </w:r>
      <w:r w:rsidR="00A1170B" w:rsidRPr="00A1170B">
        <w:rPr>
          <w:rFonts w:eastAsiaTheme="minorHAnsi"/>
          <w:i/>
          <w:iCs/>
          <w14:ligatures w14:val="standardContextual"/>
        </w:rPr>
        <w:t>8</w:t>
      </w:r>
      <w:r w:rsidR="00A1170B" w:rsidRPr="00A1170B">
        <w:rPr>
          <w:rFonts w:eastAsiaTheme="minorHAnsi"/>
          <w14:ligatures w14:val="standardContextual"/>
        </w:rPr>
        <w:t>)</w:t>
      </w:r>
      <w:r w:rsidR="005D0C93">
        <w:fldChar w:fldCharType="end"/>
      </w:r>
      <w:r w:rsidR="005D0C93">
        <w:t xml:space="preserve">. </w:t>
      </w:r>
      <w:r w:rsidR="00566377">
        <w:t xml:space="preserve">Birds from both sampling time points were </w:t>
      </w:r>
      <w:r w:rsidR="00665B9B">
        <w:t>collected on Santa Cruz Island an</w:t>
      </w:r>
      <w:r w:rsidR="005D7919">
        <w:t>d</w:t>
      </w:r>
      <w:r w:rsidR="00665B9B">
        <w:t xml:space="preserve"> were </w:t>
      </w:r>
      <w:r w:rsidR="00566377">
        <w:t>sequenced to the same depth of coverage (~10x) using 2x125 base-pair paired-end reads</w:t>
      </w:r>
      <w:r w:rsidR="00665B9B">
        <w:t>. A</w:t>
      </w:r>
      <w:r w:rsidR="00566377">
        <w:t xml:space="preserve">ll were aligned to the </w:t>
      </w:r>
      <w:proofErr w:type="spellStart"/>
      <w:r w:rsidR="00566377" w:rsidRPr="00566377">
        <w:t>STF_HiC</w:t>
      </w:r>
      <w:proofErr w:type="spellEnd"/>
      <w:r w:rsidR="00566377" w:rsidRPr="00566377">
        <w:t xml:space="preserve"> </w:t>
      </w:r>
      <w:r w:rsidR="00566377">
        <w:t>small tree finch genome (</w:t>
      </w:r>
      <w:r w:rsidR="00566377" w:rsidRPr="00566377">
        <w:t xml:space="preserve">1.28 GB; </w:t>
      </w:r>
      <w:proofErr w:type="spellStart"/>
      <w:r w:rsidR="00566377" w:rsidRPr="00566377">
        <w:t>Genbank</w:t>
      </w:r>
      <w:proofErr w:type="spellEnd"/>
      <w:r w:rsidR="00566377" w:rsidRPr="00566377">
        <w:t xml:space="preserve"> accession number: GCF_901933205.1</w:t>
      </w:r>
      <w:r w:rsidR="005E31FC">
        <w:t xml:space="preserve">, </w:t>
      </w:r>
      <w:r w:rsidR="005E31FC">
        <w:fldChar w:fldCharType="begin"/>
      </w:r>
      <w:r w:rsidR="005A67A7">
        <w:instrText xml:space="preserve"> ADDIN ZOTERO_ITEM CSL_CITATION {"citationID":"eo3QhccX","properties":{"formattedCitation":"({\\i{}6})","plainCitation":"(6)","dontUpdate":true,"noteIndex":0},"citationItems":[{"id":1122,"uris":["http://zotero.org/users/15902993/items/SPJSVZLN"],"itemData":{"id":1122,"type":"article-journal","abstract":"Recent adaptive radiations are models for investigating mechanisms contributing to the evolution of biodiversity. An unresolved question is the relative importance of new mutations, ancestral variants, and introgressive hybridization for phenotypic evolution and speciation. Here, we address this issue using Darwin’s finches and investigate the genomic architecture underlying their phenotypic diversity. Admixture mapping for beak and body size in the small, medium, and large ground finches revealed 28 loci showing strong genetic differentiation. These loci represent ancestral haplotype blocks with origins predating speciation events during the Darwin’s finch radiation. Genes expressed in the developing beak are overrepresented in these genomic regions. Ancestral haplotypes constitute genetic modules for selection and act as key determinants of the unusual phenotypic diversity of Darwin’s finches. Such ancestral haplotype blocks can be critical for how species adapt to environmental variability and change.","container-title":"Science Advances","DOI":"10.1126/sciadv.abm5982","issue":"27","note":"publisher: American Association for the Advancement of Science","page":"eabm5982","source":"www-science-org.ezproxy1.library.arizona.edu (Atypon)","title":"Rapid adaptive radiation of Darwin’s finches depends on ancestral genetic modules","volume":"8","author":[{"family":"Rubin","given":"Carl-Johan"},{"family":"Enbody","given":"Erik D."},{"family":"Dobreva","given":"Mariya P."},{"family":"Abzhanov","given":"Arhat"},{"family":"Davis","given":"Brian W."},{"family":"Lamichhaney","given":"Sangeet"},{"family":"Pettersson","given":"Mats"},{"family":"Sendell-Price","given":"Ashley T."},{"family":"Sprehn","given":"C. Grace"},{"family":"Valle","given":"Carlos A."},{"family":"Vasco","given":"Karla"},{"family":"Wallerman","given":"Ola"},{"family":"Grant","given":"B. Rosemary"},{"family":"Grant","given":"Peter R."},{"family":"Andersson","given":"Leif"}],"issued":{"date-parts":[["2022",7,8]]}}}],"schema":"https://github.com/citation-style-language/schema/raw/master/csl-citation.json"} </w:instrText>
      </w:r>
      <w:r w:rsidR="005E31FC">
        <w:fldChar w:fldCharType="separate"/>
      </w:r>
      <w:r w:rsidR="005E31FC" w:rsidRPr="005E31FC">
        <w:rPr>
          <w:rFonts w:eastAsiaTheme="minorHAnsi"/>
          <w:i/>
          <w:iCs/>
          <w14:ligatures w14:val="standardContextual"/>
        </w:rPr>
        <w:t>6</w:t>
      </w:r>
      <w:r w:rsidR="005E31FC" w:rsidRPr="005E31FC">
        <w:rPr>
          <w:rFonts w:eastAsiaTheme="minorHAnsi"/>
          <w14:ligatures w14:val="standardContextual"/>
        </w:rPr>
        <w:t>)</w:t>
      </w:r>
      <w:r w:rsidR="005E31FC">
        <w:fldChar w:fldCharType="end"/>
      </w:r>
      <w:r w:rsidR="00566377">
        <w:t xml:space="preserve">. </w:t>
      </w:r>
      <w:r w:rsidR="008D4415">
        <w:t>Disentangling the signals of</w:t>
      </w:r>
      <w:r w:rsidR="00903CDB">
        <w:t xml:space="preserve"> selection </w:t>
      </w:r>
      <w:r w:rsidR="008D4415">
        <w:t xml:space="preserve">from those of drift </w:t>
      </w:r>
      <w:r w:rsidR="00903CDB">
        <w:t>over such a short time frame (~3.5-7 generations) is challenging, so we used a conservative approach that identified outlier genomic regions with evidence of both divergence over time and shifts in the site frequency spectrum associated with selective sweeps. We classified outliers as the top 0.1% of the sum of the scaled and centered F</w:t>
      </w:r>
      <w:r w:rsidR="00903CDB" w:rsidRPr="00903CDB">
        <w:rPr>
          <w:vertAlign w:val="subscript"/>
        </w:rPr>
        <w:t>ST</w:t>
      </w:r>
      <w:r w:rsidR="00903CDB">
        <w:t xml:space="preserve"> and the inverse of ∆Tajima’s D, using 50kb windows with a 12.5kb step in ANGSD.</w:t>
      </w:r>
      <w:r w:rsidR="005E31FC">
        <w:t xml:space="preserve"> We used a less conservative cutoff of 1% to </w:t>
      </w:r>
      <w:r w:rsidR="00964A35">
        <w:t>test for parallel section on</w:t>
      </w:r>
      <w:r w:rsidR="005E31FC">
        <w:t xml:space="preserve"> </w:t>
      </w:r>
      <w:r w:rsidR="00964A35">
        <w:t>the same genes across</w:t>
      </w:r>
      <w:r w:rsidR="005E31FC">
        <w:t xml:space="preserve"> </w:t>
      </w:r>
      <w:r w:rsidR="001E0683">
        <w:t>all three</w:t>
      </w:r>
      <w:r w:rsidR="005E31FC">
        <w:t xml:space="preserve"> species. </w:t>
      </w:r>
      <w:r w:rsidR="00BE5998">
        <w:t xml:space="preserve">We tested for overrepresented Gene Ontology </w:t>
      </w:r>
      <w:r w:rsidR="001E0683">
        <w:lastRenderedPageBreak/>
        <w:t xml:space="preserve">(GO) </w:t>
      </w:r>
      <w:r w:rsidR="00BE5998">
        <w:t xml:space="preserve">terms associated with genes within the outlier windows from our additive model of </w:t>
      </w:r>
      <w:r w:rsidR="00BE5998">
        <w:rPr>
          <w:i/>
          <w:iCs/>
        </w:rPr>
        <w:t>Z-</w:t>
      </w:r>
      <w:r w:rsidR="00BE5998">
        <w:t>F</w:t>
      </w:r>
      <w:r w:rsidR="00BE5998" w:rsidRPr="00903CDB">
        <w:rPr>
          <w:vertAlign w:val="subscript"/>
        </w:rPr>
        <w:t>ST</w:t>
      </w:r>
      <w:r w:rsidR="00BE5998">
        <w:t xml:space="preserve"> and the inverse of </w:t>
      </w:r>
      <w:r w:rsidR="00BE5998">
        <w:rPr>
          <w:i/>
          <w:iCs/>
        </w:rPr>
        <w:t>Z-</w:t>
      </w:r>
      <w:r w:rsidR="00BE5998">
        <w:t xml:space="preserve">∆Tajima’s D for each species. </w:t>
      </w:r>
    </w:p>
    <w:p w14:paraId="1535D64C" w14:textId="2DB60C52" w:rsidR="00E00BF9" w:rsidRPr="00E00BF9" w:rsidRDefault="00E00BF9" w:rsidP="00E00BF9">
      <w:pPr>
        <w:spacing w:after="160" w:line="278" w:lineRule="auto"/>
        <w:rPr>
          <w:b/>
          <w:bCs/>
          <w:sz w:val="28"/>
          <w:szCs w:val="28"/>
        </w:rPr>
      </w:pPr>
      <w:r>
        <w:rPr>
          <w:b/>
          <w:bCs/>
          <w:sz w:val="28"/>
          <w:szCs w:val="28"/>
        </w:rPr>
        <w:t>Low genome-wide divergence over 20 years of selection</w:t>
      </w:r>
    </w:p>
    <w:p w14:paraId="5D9D959B" w14:textId="6BD03361" w:rsidR="00665B9B" w:rsidRDefault="00665B9B" w:rsidP="00BE5998">
      <w:pPr>
        <w:spacing w:after="160" w:line="278" w:lineRule="auto"/>
        <w:ind w:firstLine="720"/>
      </w:pPr>
      <w:r>
        <w:t>All three species showed low levels of divergence between the two time points (Genome-wide F</w:t>
      </w:r>
      <w:r w:rsidRPr="00665B9B">
        <w:rPr>
          <w:vertAlign w:val="subscript"/>
        </w:rPr>
        <w:t>ST</w:t>
      </w:r>
      <w:r>
        <w:t xml:space="preserve"> = 0.029-0.038, maximum windowed F</w:t>
      </w:r>
      <w:r w:rsidRPr="00665B9B">
        <w:rPr>
          <w:vertAlign w:val="subscript"/>
        </w:rPr>
        <w:t>ST</w:t>
      </w:r>
      <w:r>
        <w:t xml:space="preserve"> = 0.299-0.369)</w:t>
      </w:r>
      <w:r w:rsidR="00BE5998">
        <w:t>.</w:t>
      </w:r>
      <w:r w:rsidR="00141FA8">
        <w:t xml:space="preserve"> Historic population size inferences in MSMC could change over time in the presence of novel patterns of introgression or gene flow </w:t>
      </w:r>
      <w:r w:rsidR="00141FA8">
        <w:fldChar w:fldCharType="begin"/>
      </w:r>
      <w:r w:rsidR="00C066B7">
        <w:instrText xml:space="preserve"> ADDIN ZOTERO_ITEM CSL_CITATION {"citationID":"KLOmjQRi","properties":{"formattedCitation":"({\\i{}9})","plainCitation":"(9)","noteIndex":0},"citationItems":[{"id":214,"uris":["http://zotero.org/users/15902993/items/5HI4WEI8"],"itemData":{"id":214,"type":"article-journal","abstract":"Abstract\n            \n              Combating the current biodiversity crisis requires the accurate documentation of population responses to human‐induced ecological change. However, our ability to pinpoint population responses to human activities is often limited to the analysis of populations studied well after the fact. Museum collections preserve a record of population responses to anthropogenic change that can provide critical baseline data on patterns of genetic diversity, connectivity, and population structure prior to the onset of human perturbation. Here, we leverage a spatially replicated time series of specimens to document population genomic responses to the destruction of nearly 90% of coastal habitats occupied by the Savannah sparrow (\n              Passerculus sandwichensis\n              ) in California. We sequenced 219 sparrows collected from 1889 to 2017 across the state of California using an exome capture approach. Spatial–temporal analyses of genetic diversity found that the amount of habitat lost was not predictive of genetic diversity loss. Sparrow populations from southern California historically exhibited lower levels of genetic diversity and experienced the most significant temporal declines in genetic diversity. Despite experiencing the greatest levels of habitat loss, we found that genetic diversity in the San Francisco Bay area remained relatively high. This was potentially related to an observed increase in gene flow into the Bay Area from other populations. While gene flow may have minimized genetic diversity declines, we also found that immigration from inland freshwater‐adapted populations into tidal marsh populations led to the erosion of divergence at loci associated with tidal marsh adaptation. Shifting patterns of gene flow through time in response to habitat loss may thus contribute to negative fitness consequences and outbreeding depression. Together, our results underscore the importance of tracing the genomic trajectories of multiple populations over time to address issues of fundamental conservation concern.","container-title":"Global Change Biology","DOI":"10.1111/gcb.17126","ISSN":"1354-1013, 1365-2486","issue":"1","journalAbbreviation":"Global Change Biology","language":"en","page":"e17126","source":"DOI.org (Crossref)","title":"Spatial variation in population genomic responses to over a century of anthropogenic change within a tidal marsh songbird","volume":"30","author":[{"family":"Benham","given":"Phred M."},{"family":"Walsh","given":"Jennifer"},{"family":"Bowie","given":"Rauri C. K."}],"issued":{"date-parts":[["2024",1]]}}}],"schema":"https://github.com/citation-style-language/schema/raw/master/csl-citation.json"} </w:instrText>
      </w:r>
      <w:r w:rsidR="00141FA8">
        <w:fldChar w:fldCharType="separate"/>
      </w:r>
      <w:r w:rsidR="00C066B7" w:rsidRPr="00C066B7">
        <w:rPr>
          <w:rFonts w:eastAsiaTheme="minorHAnsi"/>
          <w14:ligatures w14:val="standardContextual"/>
        </w:rPr>
        <w:t>(</w:t>
      </w:r>
      <w:r w:rsidR="00C066B7" w:rsidRPr="00C066B7">
        <w:rPr>
          <w:rFonts w:eastAsiaTheme="minorHAnsi"/>
          <w:i/>
          <w:iCs/>
          <w14:ligatures w14:val="standardContextual"/>
        </w:rPr>
        <w:t>9</w:t>
      </w:r>
      <w:r w:rsidR="00C066B7" w:rsidRPr="00C066B7">
        <w:rPr>
          <w:rFonts w:eastAsiaTheme="minorHAnsi"/>
          <w14:ligatures w14:val="standardContextual"/>
        </w:rPr>
        <w:t>)</w:t>
      </w:r>
      <w:r w:rsidR="00141FA8">
        <w:fldChar w:fldCharType="end"/>
      </w:r>
      <w:r w:rsidR="00C066B7">
        <w:t>; however, we</w:t>
      </w:r>
      <w:r w:rsidR="00141FA8">
        <w:t xml:space="preserve"> did not </w:t>
      </w:r>
      <w:r w:rsidR="00C066B7">
        <w:t>observe differences</w:t>
      </w:r>
      <w:r w:rsidR="00141FA8">
        <w:t xml:space="preserve"> between </w:t>
      </w:r>
      <w:r w:rsidR="00C066B7">
        <w:t xml:space="preserve">models of </w:t>
      </w:r>
      <w:r w:rsidR="00141FA8">
        <w:t>pre- and post-invasion samples</w:t>
      </w:r>
      <w:r w:rsidR="00C066B7">
        <w:t xml:space="preserve"> in any species. [</w:t>
      </w:r>
      <w:r w:rsidR="00C066B7" w:rsidRPr="00C066B7">
        <w:rPr>
          <w:i/>
          <w:iCs/>
        </w:rPr>
        <w:t>Alternatively, briefly describe observed differences here</w:t>
      </w:r>
      <w:r w:rsidR="00C066B7">
        <w:t xml:space="preserve"> – </w:t>
      </w:r>
      <w:r w:rsidR="00C066B7" w:rsidRPr="00C066B7">
        <w:rPr>
          <w:i/>
          <w:iCs/>
        </w:rPr>
        <w:t>depends on Logan’s final results</w:t>
      </w:r>
      <w:r w:rsidR="00C066B7">
        <w:t>].</w:t>
      </w:r>
    </w:p>
    <w:p w14:paraId="538D549B" w14:textId="56173E6C" w:rsidR="006F4936" w:rsidRPr="006F4936" w:rsidRDefault="00C066B7" w:rsidP="006F4936">
      <w:pPr>
        <w:spacing w:after="160" w:line="278" w:lineRule="auto"/>
        <w:rPr>
          <w:b/>
          <w:bCs/>
          <w:sz w:val="28"/>
          <w:szCs w:val="28"/>
        </w:rPr>
      </w:pPr>
      <w:r>
        <w:rPr>
          <w:b/>
          <w:bCs/>
          <w:sz w:val="28"/>
          <w:szCs w:val="28"/>
        </w:rPr>
        <w:t>Signals of selection emerged from two species</w:t>
      </w:r>
    </w:p>
    <w:p w14:paraId="4A45F39E" w14:textId="7050BB07" w:rsidR="00BE5998" w:rsidRDefault="00BE5998" w:rsidP="006F4936">
      <w:pPr>
        <w:spacing w:after="160" w:line="278" w:lineRule="auto"/>
        <w:ind w:firstLine="720"/>
      </w:pPr>
      <w:r>
        <w:t xml:space="preserve">Two of the three taxa, the vegetarian finch and the medium ground finch, demonstrated significantly overrepresented </w:t>
      </w:r>
      <w:r w:rsidR="001E0683">
        <w:t>GO</w:t>
      </w:r>
      <w:r>
        <w:t xml:space="preserve"> terms. All overrepresented terms in the vegetarian finch were associated with blood vessel development or immune function (Table 2). </w:t>
      </w:r>
      <w:r w:rsidR="001E0683">
        <w:t>The overrepresented GO terms in the vegetarian finch are likely candidates for a response to parasitism by the vampire fly, and we further explored the function of and mutations within each gene</w:t>
      </w:r>
      <w:r w:rsidR="00993CAA">
        <w:t>. We investigated the SNPs with the highest F</w:t>
      </w:r>
      <w:r w:rsidR="00993CAA" w:rsidRPr="00993CAA">
        <w:rPr>
          <w:vertAlign w:val="subscript"/>
        </w:rPr>
        <w:t>ST</w:t>
      </w:r>
      <w:r w:rsidR="00993CAA">
        <w:t xml:space="preserve"> within and around each gene for evidence of coding changes or mutations in a CpG site, which would indicate a change in </w:t>
      </w:r>
      <w:r w:rsidR="008052ED">
        <w:t xml:space="preserve">DNA methylation and epigenetic </w:t>
      </w:r>
      <w:r w:rsidR="00993CAA">
        <w:t>gene regulation.</w:t>
      </w:r>
    </w:p>
    <w:p w14:paraId="7E78292D" w14:textId="3A05B148" w:rsidR="006F4936" w:rsidRDefault="006F4936" w:rsidP="006F4936">
      <w:pPr>
        <w:spacing w:after="160" w:line="278" w:lineRule="auto"/>
        <w:ind w:firstLine="720"/>
      </w:pPr>
      <w:r>
        <w:t xml:space="preserve">The overrepresented categories for the medium ground finch were associated with regulation of various metabolic processes. </w:t>
      </w:r>
      <w:r>
        <w:t xml:space="preserve">Seven genes drove the signal for these overrepresented GO terms, and four of these genes have associations with blood physiology or immune functions. </w:t>
      </w:r>
      <w:r w:rsidRPr="00141FA8">
        <w:rPr>
          <w:i/>
          <w:iCs/>
        </w:rPr>
        <w:t>CHST4</w:t>
      </w:r>
      <w:r>
        <w:t xml:space="preserve"> influences </w:t>
      </w:r>
      <w:r w:rsidRPr="006F4936">
        <w:t>lymphocyte</w:t>
      </w:r>
      <w:r w:rsidRPr="006F4936">
        <w:t xml:space="preserve"> adhesion onto endothelial cells</w:t>
      </w:r>
      <w:r>
        <w:t xml:space="preserve">, </w:t>
      </w:r>
      <w:r w:rsidRPr="006F4936">
        <w:rPr>
          <w:i/>
          <w:iCs/>
        </w:rPr>
        <w:t>CELF1</w:t>
      </w:r>
      <w:r>
        <w:t xml:space="preserve"> affects </w:t>
      </w:r>
      <w:r w:rsidRPr="006F4936">
        <w:t xml:space="preserve">heme oxygenase-1 </w:t>
      </w:r>
      <w:r w:rsidR="00141FA8">
        <w:fldChar w:fldCharType="begin"/>
      </w:r>
      <w:r w:rsidR="00C066B7">
        <w:instrText xml:space="preserve"> ADDIN ZOTERO_ITEM CSL_CITATION {"citationID":"Yl1cvPEx","properties":{"formattedCitation":"({\\i{}10})","plainCitation":"(10)","noteIndex":0},"citationItems":[{"id":1223,"uris":["http://zotero.org/users/15902993/items/RI6EWWWB"],"itemData":{"id":1223,"type":"article-journal","abstract":"As an RNA binding protein, CUG-BP Elav-like family (CELF) has been shown to be critical for heart biological functions. However, no reports have revealed the function of CELF1 in hypertrophic cardiomyopathy (HCM). Hinted by RNA immunoprecipitation-sequencing (RIP-seq) data, the influence of the CELF protein on heme oxygenase-1 (HO-1) expression was tested by modulating CELF1 levels. Cardiac hypertrophy is related to oxidative stress-induced damage. Hence, the cardiovascular system may be protected against further injury by upregulating the expression of antioxidant enzymes, such as HO-1. During the past two decades, research has demonstrated the central role of HO-1 in the protection against diseases. Thus, understanding the molecular mechanisms underlying the modulation of HO-1 expression is profoundly important for developing new strategies to prevent cardiac hypertrophy. To elucidate the molecular mechanisms underlying HO-1 regulation by the CELF protein, we performed RNA immunoprecipitation (RIP), biotin pull-down analysis, luciferase reporter and mRNA stability assays. We found that the expression of HO-1 was downregulated by CELF1 through the conserved GU-rich elements (GREs) in HO-1 3′UTR transcripts. Correspondingly, CELF1 expression was regulated by controlling the release of carbon monoxide (CO) in H9C2 cells. The CELF1-HO-1-CO regulation axis constituted a novel positive feedback circuit. In addition, we detected the potential involvement of CELF1 and HO-1 in samples from HCM patients. We found that CELF1 and CELF2, but not HO-1, were highly expressed in HCM heart samples. Thus, a manipulation targeting CELF1 could be developed as a potential therapeutic option for cardiac hypertrophy.","container-title":"Biochimica et Biophysica Acta (BBA) - Gene Regulatory Mechanisms","DOI":"10.1016/j.bbagrm.2018.11.006","ISSN":"1874-9399","issue":"2","journalAbbreviation":"Biochimica et Biophysica Acta (BBA) - Gene Regulatory Mechanisms","page":"209-218","source":"ScienceDirect","title":"A positive feedback regulation of Heme oxygenase 1 by CELF1 in cardiac myoblast cells","volume":"1862","author":[{"family":"Liu","given":"Yang"},{"family":"Wang","given":"Huiwen"},{"family":"Wang","given":"Jun"},{"family":"Wei","given":"Bin"},{"family":"Zhang","given":"Xinyi"},{"family":"Zhang","given":"Mengqi"},{"family":"Cao","given":"Dong"},{"family":"Dai","given":"Jiang"},{"family":"Wang","given":"Zhen"},{"family":"Nyirimigabo","given":"Eric"},{"family":"Ji","given":"Guangju"}],"issued":{"date-parts":[["2019",2,1]]}}}],"schema":"https://github.com/citation-style-language/schema/raw/master/csl-citation.json"} </w:instrText>
      </w:r>
      <w:r w:rsidR="00141FA8">
        <w:fldChar w:fldCharType="separate"/>
      </w:r>
      <w:r w:rsidR="00C066B7" w:rsidRPr="00C066B7">
        <w:rPr>
          <w:rFonts w:eastAsiaTheme="minorHAnsi"/>
          <w14:ligatures w14:val="standardContextual"/>
        </w:rPr>
        <w:t>(</w:t>
      </w:r>
      <w:r w:rsidR="00C066B7" w:rsidRPr="00C066B7">
        <w:rPr>
          <w:rFonts w:eastAsiaTheme="minorHAnsi"/>
          <w:i/>
          <w:iCs/>
          <w14:ligatures w14:val="standardContextual"/>
        </w:rPr>
        <w:t>10</w:t>
      </w:r>
      <w:r w:rsidR="00C066B7" w:rsidRPr="00C066B7">
        <w:rPr>
          <w:rFonts w:eastAsiaTheme="minorHAnsi"/>
          <w14:ligatures w14:val="standardContextual"/>
        </w:rPr>
        <w:t>)</w:t>
      </w:r>
      <w:r w:rsidR="00141FA8">
        <w:fldChar w:fldCharType="end"/>
      </w:r>
      <w:r>
        <w:t xml:space="preserve">, </w:t>
      </w:r>
      <w:r w:rsidRPr="006F4936">
        <w:rPr>
          <w:i/>
          <w:iCs/>
        </w:rPr>
        <w:t>TERF2IP</w:t>
      </w:r>
      <w:r>
        <w:t xml:space="preserve"> regulates</w:t>
      </w:r>
      <w:r w:rsidRPr="006F4936">
        <w:t xml:space="preserve"> of innate and adaptive immune function, inflammation</w:t>
      </w:r>
      <w:r w:rsidR="00555E5B">
        <w:t xml:space="preserve"> </w:t>
      </w:r>
      <w:r w:rsidR="00555E5B">
        <w:fldChar w:fldCharType="begin"/>
      </w:r>
      <w:r w:rsidR="00C066B7">
        <w:instrText xml:space="preserve"> ADDIN ZOTERO_ITEM CSL_CITATION {"citationID":"G1SrB8OT","properties":{"formattedCitation":"({\\i{}11})","plainCitation":"(11)","noteIndex":0},"citationItems":[{"id":1226,"uris":["http://zotero.org/users/15902993/items/JJC4MJKW"],"itemData":{"id":1226,"type":"article-journal","abstract":"The transcription factor NF-κB regulates multiple aspects of innate and adaptive immune functions and serves as a pivotal mediator of inflammatory responses. NF-κB induces the expression of various pro-inflammatory genes, including those encoding cytokines and chemokines, and also participates in inflammasome regulation. In addition, NF-κB plays a critical role in regulating the survival, activation and differentiation of innate immune cells and inflammatory T cells. Consequently, deregulated NF-κB activation contributes to the pathogenic processes of various inflammatory diseases. In this review, we will discuss the activation and function of NF-κB in association with inflammatory diseases and highlight the development of therapeutic strategies based on NF-κB inhibition.","container-title":"Signal Transduction and Targeted Therapy","DOI":"10.1038/sigtrans.2017.23","ISSN":"2059-3635","issue":"1","journalAbbreviation":"Sig Transduct Target Ther","language":"en","license":"2017 The Author(s)","note":"publisher: Nature Publishing Group","page":"17023","source":"www.nature.com","title":"NF-κB signaling in inflammation","volume":"2","author":[{"family":"Liu","given":"Ting"},{"family":"Zhang","given":"Lingyun"},{"family":"Joo","given":"Donghyun"},{"family":"Sun","given":"Shao-Cong"}],"issued":{"date-parts":[["2017",7,14]]}}}],"schema":"https://github.com/citation-style-language/schema/raw/master/csl-citation.json"} </w:instrText>
      </w:r>
      <w:r w:rsidR="00555E5B">
        <w:fldChar w:fldCharType="separate"/>
      </w:r>
      <w:r w:rsidR="00C066B7" w:rsidRPr="00C066B7">
        <w:rPr>
          <w:rFonts w:eastAsiaTheme="minorHAnsi"/>
          <w14:ligatures w14:val="standardContextual"/>
        </w:rPr>
        <w:t>(</w:t>
      </w:r>
      <w:r w:rsidR="00C066B7" w:rsidRPr="00C066B7">
        <w:rPr>
          <w:rFonts w:eastAsiaTheme="minorHAnsi"/>
          <w:i/>
          <w:iCs/>
          <w14:ligatures w14:val="standardContextual"/>
        </w:rPr>
        <w:t>11</w:t>
      </w:r>
      <w:r w:rsidR="00C066B7" w:rsidRPr="00C066B7">
        <w:rPr>
          <w:rFonts w:eastAsiaTheme="minorHAnsi"/>
          <w14:ligatures w14:val="standardContextual"/>
        </w:rPr>
        <w:t>)</w:t>
      </w:r>
      <w:r w:rsidR="00555E5B">
        <w:fldChar w:fldCharType="end"/>
      </w:r>
      <w:r>
        <w:t xml:space="preserve">, and </w:t>
      </w:r>
      <w:r w:rsidRPr="006F4936">
        <w:rPr>
          <w:i/>
          <w:iCs/>
        </w:rPr>
        <w:t>PRTFDC1</w:t>
      </w:r>
      <w:r>
        <w:t xml:space="preserve"> s</w:t>
      </w:r>
      <w:r w:rsidRPr="006F4936">
        <w:t xml:space="preserve">uppresses immune related pathways </w:t>
      </w:r>
      <w:r w:rsidR="00141FA8">
        <w:fldChar w:fldCharType="begin"/>
      </w:r>
      <w:r w:rsidR="00C066B7">
        <w:instrText xml:space="preserve"> ADDIN ZOTERO_ITEM CSL_CITATION {"citationID":"fFLB8JnD","properties":{"formattedCitation":"({\\i{}12})","plainCitation":"(12)","noteIndex":0},"citationItems":[{"id":1228,"uris":["http://zotero.org/users/15902993/items/KB2LJX57"],"itemData":{"id":1228,"type":"article-journal","container-title":"Molecular Therapy Oncology","DOI":"10.1016/j.omton.2025.200958","ISSN":"2950-3299","issue":"2","journalAbbreviation":"Molecular Therapy Oncology","language":"English","note":"publisher: Elsevier\nPMID: 40034965","source":"www.cell.com","title":"Phosphoribosyl transferase domain containing 1: A prognostic biomarker in testicular germ cell tumors","title-short":"Phosphoribosyl transferase domain containing 1","URL":"https://www.cell.com/molecular-therapy-family/oncology/abstract/S2950-3299(25)00027-X","volume":"33","author":[{"family":"Huang","given":"Peisheng"},{"family":"Chen","given":"Yihao"},{"family":"Shi","given":"Yongcheng"},{"family":"Zhong","given":"Chuanfan"},{"family":"Lin","given":"Huawei"},{"family":"Yu","given":"Xiaoxue"},{"family":"Chen","given":"Kai"},{"family":"Huang","given":"Zhuoya"},{"family":"Zhang","given":"Le"},{"family":"Fang","given":"Shumin"},{"family":"Lu","given":"Jianming"},{"family":"Chen","given":"Jiahong"}],"accessed":{"date-parts":[["2025",6,12]]},"issued":{"date-parts":[["2025",6,18]]}}}],"schema":"https://github.com/citation-style-language/schema/raw/master/csl-citation.json"} </w:instrText>
      </w:r>
      <w:r w:rsidR="00141FA8">
        <w:fldChar w:fldCharType="separate"/>
      </w:r>
      <w:r w:rsidR="00C066B7" w:rsidRPr="00C066B7">
        <w:rPr>
          <w:rFonts w:eastAsiaTheme="minorHAnsi"/>
          <w14:ligatures w14:val="standardContextual"/>
        </w:rPr>
        <w:t>(</w:t>
      </w:r>
      <w:r w:rsidR="00C066B7" w:rsidRPr="00C066B7">
        <w:rPr>
          <w:rFonts w:eastAsiaTheme="minorHAnsi"/>
          <w:i/>
          <w:iCs/>
          <w14:ligatures w14:val="standardContextual"/>
        </w:rPr>
        <w:t>12</w:t>
      </w:r>
      <w:r w:rsidR="00C066B7" w:rsidRPr="00C066B7">
        <w:rPr>
          <w:rFonts w:eastAsiaTheme="minorHAnsi"/>
          <w14:ligatures w14:val="standardContextual"/>
        </w:rPr>
        <w:t>)</w:t>
      </w:r>
      <w:r w:rsidR="00141FA8">
        <w:fldChar w:fldCharType="end"/>
      </w:r>
      <w:r>
        <w:t>. The remaining three –</w:t>
      </w:r>
      <w:r w:rsidRPr="006F4936">
        <w:t xml:space="preserve"> </w:t>
      </w:r>
      <w:bookmarkStart w:id="0" w:name="_Hlk200626382"/>
      <w:r w:rsidRPr="00141FA8">
        <w:rPr>
          <w:i/>
          <w:iCs/>
        </w:rPr>
        <w:t>ADAT1</w:t>
      </w:r>
      <w:bookmarkEnd w:id="0"/>
      <w:r w:rsidRPr="006F4936">
        <w:t xml:space="preserve">, </w:t>
      </w:r>
      <w:r w:rsidRPr="00141FA8">
        <w:rPr>
          <w:i/>
          <w:iCs/>
        </w:rPr>
        <w:t>FARS2</w:t>
      </w:r>
      <w:r w:rsidRPr="006F4936">
        <w:t xml:space="preserve">, </w:t>
      </w:r>
      <w:r w:rsidRPr="00141FA8">
        <w:rPr>
          <w:i/>
          <w:iCs/>
        </w:rPr>
        <w:t>MCM9</w:t>
      </w:r>
      <w:r>
        <w:t xml:space="preserve"> –</w:t>
      </w:r>
      <w:r w:rsidR="00555E5B">
        <w:t xml:space="preserve"> are involved in gene expression and DNA-related processes </w:t>
      </w:r>
      <w:r w:rsidR="00555E5B">
        <w:fldChar w:fldCharType="begin"/>
      </w:r>
      <w:r w:rsidR="00C066B7">
        <w:instrText xml:space="preserve"> ADDIN ZOTERO_ITEM CSL_CITATION {"citationID":"tOFkdsNh","properties":{"formattedCitation":"({\\i{}13}\\uc0\\u8211{}{\\i{}15})","plainCitation":"(13–15)","noteIndex":0},"citationItems":[{"id":1217,"uris":["http://zotero.org/users/15902993/items/FLHGBQTQ"],"itemData":{"id":1217,"type":"article-journal","container-title":"iScience","DOI":"10.1016/j.isci.2023.106737","ISSN":"2589-0042","issue":"6","journalAbbreviation":"iScience","language":"English","note":"publisher: Elsevier\nPMID: 37378315","source":"www.cell.com","title":"Molecular functions of MCM8 and MCM9 and their associated pathologies","URL":"https://www.cell.com/iscience/abstract/S2589-0042(23)00814-3","volume":"26","author":[{"family":"Helderman","given":"Noah Cornelis"},{"family":"Terlouw","given":"Diantha"},{"family":"Bonjoch","given":"Laia"},{"family":"Golubicki","given":"Mariano"},{"family":"Antelo","given":"Marina"},{"family":"Morreau","given":"Hans"},{"family":"Wezel","given":"Tom","dropping-particle":"van"},{"family":"Castellví-Bel","given":"Sergi"},{"family":"Goldberg","given":"Yael"},{"family":"Nielsen","given":"Maartje"}],"accessed":{"date-parts":[["2025",6,12]]},"issued":{"date-parts":[["2023",6,16]]}}},{"id":1214,"uris":["http://zotero.org/users/15902993/items/Q3SN48N2"],"itemData":{"id":1214,"type":"article-journal","abstract":"Transfer RNAs (tRNAs) play central roles in protein biosynthesis. Post-transcriptional RNA modifications affect tRNA function and stability. Among these modifications, RNA editing is a widespread RNA modification in three domains of life. Proteins of the adenosine deaminase acting on tRNA (ADAT) family were discovered more than 20 years ago. They catalyze the deamination of adenosine to inosine (A-to-I) or cytidine to uridine (C-to-U) during tRNA maturation. The most studied example is the TadA- or ADAT2/3-mediated A-to-I conversion of the tRNA wobble position in the anticodon of prokaryotic or eukaryotic tRNAs, respectively. This review provides detailed information on A-to-I and C-to-U editing of tRNAs in different domains of life, presents recent new findings on ADATs for DNA editing, and finally comments on the association of mutations in the\nADAT3 gene with intellectual disability.","container-title":"Acta Biochimica et Biophysica Sinica","DOI":"10.3724/abbs.2024125","ISSN":"1672-9145","issue":"1","journalAbbreviation":"Acta Biochim Biophys Sin (Shanghai)","note":"PMID: 39034823\nPMCID: PMC11802342","page":"73-83","source":"PubMed Central","title":"ADATs: roles in tRNA editing and relevance to disease","title-short":"ADATs","volume":"57","author":[{"family":"Mao","given":"Xue-Ling"},{"family":"Eriani","given":"Gilbert"},{"family":"Zhou","given":"Xiao-Long"}],"issued":{"date-parts":[["2024",7,22]]}}},{"id":1212,"uris":["http://zotero.org/users/15902993/items/P3FA4HXX"],"itemData":{"id":1212,"type":"article-journal","abstract":"Mutations in FARS2 are known to cause dysfunction of mitochondrial translation due to deficient aminoacylation of the mitochondrial phenylalanine tRNA. Here, we report three novel mutations in FARS2 found in two patients in a compound heterozygous state. The missense mutation c.1082C&gt;T (p.Pro361Leu) was detected in both patients. The mutations c.461C&gt;T (p.Ala154Val) and c.521_523delTGG (p.Val174del) were each detected in one patient. We report abnormal in vitro aminoacylation assays as a functional validation of the molecular genetic findings. Based on the phenotypic data of previously reported subjects and the two subjects reported here, we conclude that FARS2 deficiency can be associated with two phenotypes: (i) an epileptic phenotype, and (ii) a spastic paraplegia phenotype.","container-title":"Molecular Genetics and Metabolism","DOI":"10.1016/j.ymgme.2017.10.004","ISSN":"1096-7192","issue":"4","journalAbbreviation":"Molecular Genetics and Metabolism","page":"172-181","source":"ScienceDirect","title":"New insights into the phenotype of &lt;i&gt;FARS2&lt;/i&gt; deficiency","volume":"122","author":[{"family":"Vantroys","given":"Elise"},{"family":"Larson","given":"Austin"},{"family":"Friederich","given":"Marisa"},{"family":"Knight","given":"Kaz"},{"family":"Swanson","given":"Michael A."},{"family":"Powell","given":"Christopher A."},{"family":"Smet","given":"Joél"},{"family":"Vergult","given":"Sarah"},{"family":"De Paepe","given":"Boel"},{"family":"Seneca","given":"Sara"},{"family":"Roeyers","given":"Herbert"},{"family":"Menten","given":"Björn"},{"family":"Minczuk","given":"Michal"},{"family":"Vanlander","given":"Arnaud"},{"family":"Van Hove","given":"Johan"},{"family":"Van Coster","given":"Rudy"}],"issued":{"date-parts":[["2017",12,1]]}}}],"schema":"https://github.com/citation-style-language/schema/raw/master/csl-citation.json"} </w:instrText>
      </w:r>
      <w:r w:rsidR="00555E5B">
        <w:fldChar w:fldCharType="separate"/>
      </w:r>
      <w:r w:rsidR="00C066B7" w:rsidRPr="00C066B7">
        <w:rPr>
          <w:rFonts w:eastAsiaTheme="minorHAnsi"/>
          <w14:ligatures w14:val="standardContextual"/>
        </w:rPr>
        <w:t>(</w:t>
      </w:r>
      <w:r w:rsidR="00C066B7" w:rsidRPr="00C066B7">
        <w:rPr>
          <w:rFonts w:eastAsiaTheme="minorHAnsi"/>
          <w:i/>
          <w:iCs/>
          <w14:ligatures w14:val="standardContextual"/>
        </w:rPr>
        <w:t>13</w:t>
      </w:r>
      <w:r w:rsidR="00C066B7" w:rsidRPr="00C066B7">
        <w:rPr>
          <w:rFonts w:eastAsiaTheme="minorHAnsi"/>
          <w14:ligatures w14:val="standardContextual"/>
        </w:rPr>
        <w:t>–</w:t>
      </w:r>
      <w:r w:rsidR="00C066B7" w:rsidRPr="00C066B7">
        <w:rPr>
          <w:rFonts w:eastAsiaTheme="minorHAnsi"/>
          <w:i/>
          <w:iCs/>
          <w14:ligatures w14:val="standardContextual"/>
        </w:rPr>
        <w:t>15</w:t>
      </w:r>
      <w:r w:rsidR="00C066B7" w:rsidRPr="00C066B7">
        <w:rPr>
          <w:rFonts w:eastAsiaTheme="minorHAnsi"/>
          <w14:ligatures w14:val="standardContextual"/>
        </w:rPr>
        <w:t>)</w:t>
      </w:r>
      <w:r w:rsidR="00555E5B">
        <w:fldChar w:fldCharType="end"/>
      </w:r>
      <w:r w:rsidR="00555E5B">
        <w:t>.</w:t>
      </w:r>
    </w:p>
    <w:p w14:paraId="4B41AC2C" w14:textId="106AE916" w:rsidR="00C066B7" w:rsidRDefault="00C066B7" w:rsidP="006F4936">
      <w:pPr>
        <w:spacing w:after="160" w:line="278" w:lineRule="auto"/>
        <w:ind w:firstLine="720"/>
      </w:pPr>
      <w:r>
        <w:t>While no GO terms were significant in the small tree finch, regions of the genome did show local peaks in our composite statistic. This suggests selection on some genes, although perhaps without a strong enough signal of selection across multiple genes involved in a single biological process. Our findings do not rule out ongoing selection on relevant physiological processes that could be better detected over a longer time period.</w:t>
      </w:r>
    </w:p>
    <w:p w14:paraId="50DAC698" w14:textId="7C107627" w:rsidR="006F4936" w:rsidRPr="006F4936" w:rsidRDefault="006F4936" w:rsidP="006F4936">
      <w:pPr>
        <w:spacing w:after="160" w:line="278" w:lineRule="auto"/>
        <w:rPr>
          <w:b/>
          <w:bCs/>
          <w:sz w:val="28"/>
          <w:szCs w:val="28"/>
        </w:rPr>
      </w:pPr>
      <w:r>
        <w:rPr>
          <w:b/>
          <w:bCs/>
          <w:sz w:val="28"/>
          <w:szCs w:val="28"/>
        </w:rPr>
        <w:t>Angiogenesis and immune functions are under selection in the vegetarian finch</w:t>
      </w:r>
    </w:p>
    <w:p w14:paraId="79D68B55" w14:textId="3B707F1D" w:rsidR="008052ED" w:rsidRDefault="008052ED" w:rsidP="008052ED">
      <w:pPr>
        <w:spacing w:after="160" w:line="278" w:lineRule="auto"/>
        <w:ind w:firstLine="720"/>
      </w:pPr>
      <w:r>
        <w:t xml:space="preserve">Four genes drove the angiogenesis signal in the vegetarian finch: </w:t>
      </w:r>
      <w:r w:rsidRPr="00141FA8">
        <w:rPr>
          <w:i/>
          <w:iCs/>
        </w:rPr>
        <w:t>ANGPT1</w:t>
      </w:r>
      <w:r w:rsidRPr="00BE5998">
        <w:t xml:space="preserve">, </w:t>
      </w:r>
      <w:r w:rsidRPr="00141FA8">
        <w:rPr>
          <w:i/>
          <w:iCs/>
        </w:rPr>
        <w:t>HPSE</w:t>
      </w:r>
      <w:r>
        <w:t xml:space="preserve">, </w:t>
      </w:r>
      <w:r w:rsidRPr="00141FA8">
        <w:rPr>
          <w:i/>
          <w:iCs/>
        </w:rPr>
        <w:t>ITGA2B</w:t>
      </w:r>
      <w:r>
        <w:t>, and</w:t>
      </w:r>
      <w:r w:rsidRPr="00BE5998">
        <w:t xml:space="preserve"> </w:t>
      </w:r>
      <w:r w:rsidRPr="00141FA8">
        <w:rPr>
          <w:i/>
          <w:iCs/>
        </w:rPr>
        <w:t>PODXL</w:t>
      </w:r>
      <w:r w:rsidRPr="00BE5998">
        <w:t xml:space="preserve">. </w:t>
      </w:r>
      <w:r>
        <w:t xml:space="preserve">Both </w:t>
      </w:r>
      <w:r w:rsidRPr="00141FA8">
        <w:rPr>
          <w:i/>
          <w:iCs/>
        </w:rPr>
        <w:t>ANGPT1</w:t>
      </w:r>
      <w:r>
        <w:t xml:space="preserve"> and </w:t>
      </w:r>
      <w:r w:rsidRPr="00141FA8">
        <w:rPr>
          <w:i/>
          <w:iCs/>
        </w:rPr>
        <w:t>ITGA2B</w:t>
      </w:r>
      <w:r>
        <w:t xml:space="preserve"> contain noncoding blocks of single nucleotide polymorphisms (SNPs) with high F</w:t>
      </w:r>
      <w:r w:rsidRPr="005A67A7">
        <w:rPr>
          <w:vertAlign w:val="subscript"/>
        </w:rPr>
        <w:t>ST</w:t>
      </w:r>
      <w:r>
        <w:t xml:space="preserve">, which occur between exon 1 and 2 in </w:t>
      </w:r>
      <w:r w:rsidRPr="00141FA8">
        <w:rPr>
          <w:i/>
          <w:iCs/>
        </w:rPr>
        <w:t>ANGPT1</w:t>
      </w:r>
      <w:r>
        <w:t xml:space="preserve"> </w:t>
      </w:r>
      <w:r>
        <w:lastRenderedPageBreak/>
        <w:t xml:space="preserve">and in the region immediately following </w:t>
      </w:r>
      <w:r w:rsidRPr="00141FA8">
        <w:rPr>
          <w:i/>
          <w:iCs/>
        </w:rPr>
        <w:t>ITGA2B</w:t>
      </w:r>
      <w:r>
        <w:t xml:space="preserve">. </w:t>
      </w:r>
      <w:r w:rsidRPr="00141FA8">
        <w:rPr>
          <w:i/>
          <w:iCs/>
        </w:rPr>
        <w:t>ANGPT1</w:t>
      </w:r>
      <w:r>
        <w:t xml:space="preserve"> encodes the protein </w:t>
      </w:r>
      <w:r w:rsidRPr="007C3173">
        <w:t>angiopoietin</w:t>
      </w:r>
      <w:r>
        <w:t xml:space="preserve">-1, which reduces vascular leakage and inflammation at wound sites </w:t>
      </w:r>
      <w:r>
        <w:fldChar w:fldCharType="begin"/>
      </w:r>
      <w:r w:rsidR="00C066B7">
        <w:instrText xml:space="preserve"> ADDIN ZOTERO_ITEM CSL_CITATION {"citationID":"ltwPVX6P","properties":{"formattedCitation":"({\\i{}16})","plainCitation":"(16)","noteIndex":0},"citationItems":[{"id":1127,"uris":["http://zotero.org/users/15902993/items/WJ8VX3MA"],"itemData":{"id":1127,"type":"article-journal","abstract":"Angiopoietin-1 (Ang1) has powerful vascular protective effects: suppressing plasma leakage, inhibiting vascular inflammation, and preventing endothelial death. Preclinical studies indicate that Ang1 may be therapeutically useful in a number of situations, including treatment of edema, endotoxemia, and transplant arteriosclerosis. However, the ligand has also been implicated in vessel remodeling, induction of angiogenesis and pulmonary hypertension, indicating that strategies to minimize any deleterious effects while optimizing vessel protection are likely to be needed. This review surveys the published data on vascular protective effects of Ang1 and highlights the therapeutic potential of this ligand, as well as possible limitations to its use. We also consider the data on Ang1 receptors and speculate on how to maximize therapeutic benefit by targeting the Tie receptors.","container-title":"Circulation Research","DOI":"10.1161/01.RES.0000218275.54089.12","issue":"8","note":"publisher: American Heart Association","page":"1014-1023","source":"www-ahajournals-org.ezproxy1.library.arizona.edu (Atypon)","title":"Signaling and Functions of Angiopoietin-1 in Vascular Protection","volume":"98","author":[{"family":"Brindle","given":"Nicholas P.J."},{"family":"Saharinen","given":"Pipsa"},{"family":"Alitalo","given":"Kari"}],"issued":{"date-parts":[["2006",4,28]]}}}],"schema":"https://github.com/citation-style-language/schema/raw/master/csl-citation.json"} </w:instrText>
      </w:r>
      <w:r>
        <w:fldChar w:fldCharType="separate"/>
      </w:r>
      <w:r w:rsidR="00C066B7" w:rsidRPr="00C066B7">
        <w:rPr>
          <w:rFonts w:eastAsiaTheme="minorHAnsi"/>
          <w14:ligatures w14:val="standardContextual"/>
        </w:rPr>
        <w:t>(</w:t>
      </w:r>
      <w:r w:rsidR="00C066B7" w:rsidRPr="00C066B7">
        <w:rPr>
          <w:rFonts w:eastAsiaTheme="minorHAnsi"/>
          <w:i/>
          <w:iCs/>
          <w14:ligatures w14:val="standardContextual"/>
        </w:rPr>
        <w:t>16</w:t>
      </w:r>
      <w:r w:rsidR="00C066B7" w:rsidRPr="00C066B7">
        <w:rPr>
          <w:rFonts w:eastAsiaTheme="minorHAnsi"/>
          <w14:ligatures w14:val="standardContextual"/>
        </w:rPr>
        <w:t>)</w:t>
      </w:r>
      <w:r>
        <w:fldChar w:fldCharType="end"/>
      </w:r>
      <w:r>
        <w:t xml:space="preserve">. ITGA2B encodes the subunit </w:t>
      </w:r>
      <w:r w:rsidRPr="00485FDA">
        <w:t>α</w:t>
      </w:r>
      <w:r>
        <w:t xml:space="preserve">2b of the </w:t>
      </w:r>
      <w:bookmarkStart w:id="1" w:name="_Hlk199071068"/>
      <w:r w:rsidRPr="00485FDA">
        <w:t xml:space="preserve">αIIbβ3 </w:t>
      </w:r>
      <w:bookmarkEnd w:id="1"/>
      <w:r>
        <w:t xml:space="preserve">integrin protein which is found in the cell membrane of platelets and is essential for clotting </w:t>
      </w:r>
      <w:r>
        <w:fldChar w:fldCharType="begin"/>
      </w:r>
      <w:r w:rsidR="00C066B7">
        <w:instrText xml:space="preserve"> ADDIN ZOTERO_ITEM CSL_CITATION {"citationID":"rQtg5Uxo","properties":{"formattedCitation":"({\\i{}17}, {\\i{}18})","plainCitation":"(17, 18)","noteIndex":0},"citationItems":[{"id":1134,"uris":["http://zotero.org/users/15902993/items/D3PE4Z98"],"itemData":{"id":1134,"type":"article-journal","abstract":"Integrin αIIbβ3 is a highly abundant heterodimeric platelet receptor that can transmit information bidirectionally across the plasma membrane, and plays a critical role in hemostasis and thrombosis. Upon platelet activation, inside-out signaling pathways increase the affinity of αIIbβ3 for fibrinogen and other ligands. Ligand binding and integrin clustering subsequently stimulate outside-in signaling, which initiates and amplifies a range of cellular events driving essential platelet processes such as spreading, thrombus consolidation, and clot retraction. Integrin αIIbβ3 has served as an excellent model for the study of integrin biology, and it has become clear that integrin outside-in signaling is highly complex and involves a vast array of enzymes, signaling adaptors, and cytoskeletal components. In this review, we provide a concise but comprehensive overview of αIIbβ3 outside-in signaling, focusing on the key players involved, and how they cooperate to orchestrate this critical aspect of platelet biology. We also discuss gaps in the current understanding of αIIbβ3 outside-in signaling and highlight avenues for future investigation.","container-title":"Blood","DOI":"10.1182/blood-2017-03-773614","ISSN":"0006-4971","issue":"14","journalAbbreviation":"Blood","page":"1607-1619","source":"Silverchair","title":"Integrin αIIbβ3 outside-in signaling","volume":"130","author":[{"family":"Durrant","given":"Tom N."},{"family":"Bosch","given":"Marion T.","non-dropping-particle":"van den"},{"family":"Hers","given":"Ingeborg"}],"issued":{"date-parts":[["2017",10,5]]}}},{"id":1129,"uris":["http://zotero.org/users/15902993/items/XZUTB9AY"],"itemData":{"id":1129,"type":"article-journal","abstract":"Integrins are a family of transmembrane glycoprotein signaling receptors that can transmit bioinformation bidirectionally across the plasma membrane. Integrin αIIbβ3 is expressed at a high level in platelets and their progenitors, where it plays a central role in platelet functions, hemostasis, and arterial thrombosis. Integrin αIIbβ3 also participates in cancer progression, such as tumor cell proliferation and metastasis. In resting platelets, integrin αIIbβ3 adopts an inactive conformation. Upon agonist stimulation, the transduction of inside-out signals leads integrin αIIbβ3 to switch from a low- to high-affinity state for fibrinogen and other ligands. Ligand binding causes integrin clustering and subsequently promotes outside-in signaling, which initiates and amplifies a range of cellular events to drive essential platelet functions such as spreading, aggregation, clot retraction, and thrombus consolidation. Regulation of the bidirectional signaling of integrin αIIbβ3 requires the involvement of numerous interacting proteins, which associate with the cytoplasmic tails of αIIbβ3 in particular. Integrin αIIbβ3 and its signaling pathways are considered promising targets for antithrombotic therapy. This review describes the bidirectional signal transduction of integrin αIIbβ3 in platelets, as well as the proteins responsible for its regulation and therapeutic agents that target integrin αIIbβ3 and its signaling pathways.","container-title":"Journal of Hematology &amp; Oncology","DOI":"10.1186/s13045-019-0709-6","ISSN":"1756-8722","issue":"1","journalAbbreviation":"Journal of Hematology &amp; Oncology","page":"26","source":"BioMed Central","title":"Platelet integrin αIIbβ3: signal transduction, regulation, and its therapeutic targeting","title-short":"Platelet integrin αIIbβ3","volume":"12","author":[{"family":"Huang","given":"Jiansong"},{"family":"Li","given":"Xia"},{"family":"Shi","given":"Xiaofeng"},{"family":"Zhu","given":"Mark"},{"family":"Wang","given":"Jinghan"},{"family":"Huang","given":"Shujuan"},{"family":"Huang","given":"Xin"},{"family":"Wang","given":"Huafeng"},{"family":"Li","given":"Ling"},{"family":"Deng","given":"Huan"},{"family":"Zhou","given":"Yulan"},{"family":"Mao","given":"Jianhua"},{"family":"Long","given":"Zhangbiao"},{"family":"Ma","given":"Zhixin"},{"family":"Ye","given":"Wenle"},{"family":"Pan","given":"Jiajia"},{"family":"Xi","given":"Xiaodong"},{"family":"Jin","given":"Jie"}],"issued":{"date-parts":[["2019",3,7]]}}}],"schema":"https://github.com/citation-style-language/schema/raw/master/csl-citation.json"} </w:instrText>
      </w:r>
      <w:r>
        <w:fldChar w:fldCharType="separate"/>
      </w:r>
      <w:r w:rsidR="00C066B7" w:rsidRPr="00C066B7">
        <w:rPr>
          <w:rFonts w:eastAsiaTheme="minorHAnsi"/>
          <w14:ligatures w14:val="standardContextual"/>
        </w:rPr>
        <w:t>(</w:t>
      </w:r>
      <w:r w:rsidR="00C066B7" w:rsidRPr="00C066B7">
        <w:rPr>
          <w:rFonts w:eastAsiaTheme="minorHAnsi"/>
          <w:i/>
          <w:iCs/>
          <w14:ligatures w14:val="standardContextual"/>
        </w:rPr>
        <w:t>17</w:t>
      </w:r>
      <w:r w:rsidR="00C066B7" w:rsidRPr="00C066B7">
        <w:rPr>
          <w:rFonts w:eastAsiaTheme="minorHAnsi"/>
          <w14:ligatures w14:val="standardContextual"/>
        </w:rPr>
        <w:t xml:space="preserve">, </w:t>
      </w:r>
      <w:r w:rsidR="00C066B7" w:rsidRPr="00C066B7">
        <w:rPr>
          <w:rFonts w:eastAsiaTheme="minorHAnsi"/>
          <w:i/>
          <w:iCs/>
          <w14:ligatures w14:val="standardContextual"/>
        </w:rPr>
        <w:t>18</w:t>
      </w:r>
      <w:r w:rsidR="00C066B7" w:rsidRPr="00C066B7">
        <w:rPr>
          <w:rFonts w:eastAsiaTheme="minorHAnsi"/>
          <w14:ligatures w14:val="standardContextual"/>
        </w:rPr>
        <w:t>)</w:t>
      </w:r>
      <w:r>
        <w:fldChar w:fldCharType="end"/>
      </w:r>
      <w:r>
        <w:t>. No SNPs were found in coding regions, nor were any SNPs in a CpG site, but the high F</w:t>
      </w:r>
      <w:r w:rsidRPr="003448E6">
        <w:rPr>
          <w:vertAlign w:val="subscript"/>
        </w:rPr>
        <w:t>ST</w:t>
      </w:r>
      <w:r>
        <w:t xml:space="preserve"> region near </w:t>
      </w:r>
      <w:r w:rsidRPr="00141FA8">
        <w:rPr>
          <w:i/>
          <w:iCs/>
        </w:rPr>
        <w:t>ITGA2B</w:t>
      </w:r>
      <w:r>
        <w:t xml:space="preserve"> is within 1kb and could affect a promoter region.</w:t>
      </w:r>
    </w:p>
    <w:p w14:paraId="4321AA39" w14:textId="0488159C" w:rsidR="00E00BF9" w:rsidRPr="00E00BF9" w:rsidRDefault="00941E9E" w:rsidP="00E00BF9">
      <w:pPr>
        <w:spacing w:after="160" w:line="278" w:lineRule="auto"/>
        <w:rPr>
          <w:b/>
          <w:bCs/>
          <w:sz w:val="28"/>
          <w:szCs w:val="28"/>
        </w:rPr>
      </w:pPr>
      <w:r>
        <w:rPr>
          <w:b/>
          <w:bCs/>
          <w:sz w:val="28"/>
          <w:szCs w:val="28"/>
        </w:rPr>
        <w:t xml:space="preserve">Selection signals linked to mutations in </w:t>
      </w:r>
      <w:r w:rsidR="00E00BF9">
        <w:rPr>
          <w:b/>
          <w:bCs/>
          <w:sz w:val="28"/>
          <w:szCs w:val="28"/>
        </w:rPr>
        <w:t xml:space="preserve">translated regions </w:t>
      </w:r>
      <w:r>
        <w:rPr>
          <w:b/>
          <w:bCs/>
          <w:sz w:val="28"/>
          <w:szCs w:val="28"/>
        </w:rPr>
        <w:t>in</w:t>
      </w:r>
      <w:r w:rsidR="00E00BF9">
        <w:rPr>
          <w:b/>
          <w:bCs/>
          <w:sz w:val="28"/>
          <w:szCs w:val="28"/>
        </w:rPr>
        <w:t xml:space="preserve"> HPSE and PODXL</w:t>
      </w:r>
    </w:p>
    <w:p w14:paraId="555EB9D1" w14:textId="6F62F03F" w:rsidR="00010C3D" w:rsidRDefault="005A67A7" w:rsidP="00993CAA">
      <w:pPr>
        <w:spacing w:after="160" w:line="278" w:lineRule="auto"/>
        <w:ind w:firstLine="720"/>
        <w:rPr>
          <w:noProof/>
        </w:rPr>
      </w:pPr>
      <w:r w:rsidRPr="00141FA8">
        <w:rPr>
          <w:i/>
          <w:iCs/>
        </w:rPr>
        <w:t>HPSE</w:t>
      </w:r>
      <w:r>
        <w:t xml:space="preserve"> contained one genotype within the transcribed region with a relatively high F</w:t>
      </w:r>
      <w:r w:rsidRPr="005A67A7">
        <w:rPr>
          <w:vertAlign w:val="subscript"/>
        </w:rPr>
        <w:t>ST</w:t>
      </w:r>
      <w:r>
        <w:t xml:space="preserve"> (0.327), specifically within the 3`UTR. </w:t>
      </w:r>
      <w:r w:rsidR="007C3173">
        <w:t xml:space="preserve">RNA-binding proteins (RBPs) </w:t>
      </w:r>
      <w:r>
        <w:t xml:space="preserve">that bind to the 3`UTR regulate gene </w:t>
      </w:r>
      <w:r w:rsidR="007C3173">
        <w:t xml:space="preserve">expression, and we used </w:t>
      </w:r>
      <w:proofErr w:type="spellStart"/>
      <w:r w:rsidR="007C3173">
        <w:t>RBPmap</w:t>
      </w:r>
      <w:proofErr w:type="spellEnd"/>
      <w:r w:rsidR="007C3173">
        <w:t xml:space="preserve"> </w:t>
      </w:r>
      <w:r>
        <w:fldChar w:fldCharType="begin"/>
      </w:r>
      <w:r w:rsidR="00C066B7">
        <w:instrText xml:space="preserve"> ADDIN ZOTERO_ITEM CSL_CITATION {"citationID":"hNhk1btZ","properties":{"formattedCitation":"({\\i{}19})","plainCitation":"(19)","noteIndex":0},"citationItems":[{"id":1124,"uris":["http://zotero.org/users/15902993/items/NRJ8UJQX"],"itemData":{"id":1124,"type":"article-journal","abstract":"Regulation of gene expression is executed in many cases by RNA-binding proteins (RBPs) that bind to mRNAs as well as to non-coding RNAs. RBPs recognize their RNA target via specific binding sites on the RNA. Predicting the binding sites of RBPs is known to be a major challenge. We present a new webserver, RBPmap, freely accessible through the website http://rbpmap.technion.ac.il/ for accurate prediction and mapping of RBP binding sites. RBPmap has been developed specifically for mapping RBPs in human, mouse and Drosophila melanogaster genomes, though it supports other organisms too. RBPmap enables the users to select motifs from a large database of experimentally defined motifs. In addition, users can provide any motif of interest, given as either a consensus or a PSSM. The algorithm for mapping the motifs is based on a Weighted-Rank approach, which considers the clustering propensity of the binding sites and the overall tendency of regulatory regions to be conserved. In addition, RBPmap incorporates a position-specific background model, designed uniquely for different genomic regions, such as splice sites, 5’ and 3’ UTRs, non-coding RNA and intergenic regions. RBPmap was tested on high-throughput RNA-binding experiments and was proved to be highly accurate.","container-title":"Nucleic Acids Research","DOI":"10.1093/nar/gku406","ISSN":"0305-1048","issue":"W1","journalAbbreviation":"Nucleic Acids Research","page":"W361-W367","source":"Silverchair","title":"RBPmap: a web server for mapping binding sites of RNA-binding proteins","title-short":"RBPmap","volume":"42","author":[{"family":"Paz","given":"Inbal"},{"family":"Kosti","given":"Idit"},{"family":"Ares","given":"Manuel","suffix":"Jr"},{"family":"Cline","given":"Melissa"},{"family":"Mandel-Gutfreund","given":"Yael"}],"issued":{"date-parts":[["2014",7,1]]}}}],"schema":"https://github.com/citation-style-language/schema/raw/master/csl-citation.json"} </w:instrText>
      </w:r>
      <w:r>
        <w:fldChar w:fldCharType="separate"/>
      </w:r>
      <w:r w:rsidR="00C066B7" w:rsidRPr="00C066B7">
        <w:rPr>
          <w:rFonts w:eastAsiaTheme="minorHAnsi"/>
          <w14:ligatures w14:val="standardContextual"/>
        </w:rPr>
        <w:t>(</w:t>
      </w:r>
      <w:r w:rsidR="00C066B7" w:rsidRPr="00C066B7">
        <w:rPr>
          <w:rFonts w:eastAsiaTheme="minorHAnsi"/>
          <w:i/>
          <w:iCs/>
          <w14:ligatures w14:val="standardContextual"/>
        </w:rPr>
        <w:t>19</w:t>
      </w:r>
      <w:r w:rsidR="00C066B7" w:rsidRPr="00C066B7">
        <w:rPr>
          <w:rFonts w:eastAsiaTheme="minorHAnsi"/>
          <w14:ligatures w14:val="standardContextual"/>
        </w:rPr>
        <w:t>)</w:t>
      </w:r>
      <w:r>
        <w:fldChar w:fldCharType="end"/>
      </w:r>
      <w:r w:rsidR="007C3173">
        <w:t xml:space="preserve"> </w:t>
      </w:r>
      <w:r>
        <w:t xml:space="preserve">to predict RBP binding sites that may differ between the ancestral and derived allele in this region. </w:t>
      </w:r>
      <w:r>
        <w:rPr>
          <w:noProof/>
        </w:rPr>
        <w:t xml:space="preserve">We found one binding motif associated with both the derived and ancestral genotype (wgcaugm), and two associated only with the derived genotype (cgucca and rygcgcb). In all three circumstances, the derived genotype matched the motif and the ancestral did not. The derived allele at this site increased from a frequency of 0.5 pre-invasion to 0.875 post-invasion, suggesting selection for an increased ability to regulate </w:t>
      </w:r>
      <w:r w:rsidRPr="00141FA8">
        <w:rPr>
          <w:i/>
          <w:iCs/>
          <w:noProof/>
        </w:rPr>
        <w:t>HPSE</w:t>
      </w:r>
      <w:r>
        <w:rPr>
          <w:noProof/>
        </w:rPr>
        <w:t xml:space="preserve"> using miRNA.</w:t>
      </w:r>
      <w:r w:rsidR="007C3173">
        <w:rPr>
          <w:noProof/>
        </w:rPr>
        <w:t xml:space="preserve"> </w:t>
      </w:r>
      <w:r w:rsidR="006B075E">
        <w:rPr>
          <w:noProof/>
        </w:rPr>
        <w:t>HPSE encodes the enzy</w:t>
      </w:r>
      <w:r w:rsidR="008052ED">
        <w:rPr>
          <w:noProof/>
        </w:rPr>
        <w:t>m</w:t>
      </w:r>
      <w:r w:rsidR="006B075E">
        <w:rPr>
          <w:noProof/>
        </w:rPr>
        <w:t>e heparanase</w:t>
      </w:r>
      <w:r w:rsidR="00010C3D">
        <w:rPr>
          <w:noProof/>
        </w:rPr>
        <w:t xml:space="preserve">, which regulates clotting, inflamation, and the innate immune response, among other functions </w:t>
      </w:r>
      <w:r w:rsidR="00010C3D">
        <w:rPr>
          <w:noProof/>
        </w:rPr>
        <w:fldChar w:fldCharType="begin"/>
      </w:r>
      <w:r w:rsidR="00C066B7">
        <w:rPr>
          <w:noProof/>
        </w:rPr>
        <w:instrText xml:space="preserve"> ADDIN ZOTERO_ITEM CSL_CITATION {"citationID":"qmFve9w3","properties":{"formattedCitation":"({\\i{}20}, {\\i{}21})","plainCitation":"(20, 21)","noteIndex":0},"citationItems":[{"id":1137,"uris":["http://zotero.org/users/15902993/items/KC6LYE5Y"],"itemData":{"id":1137,"type":"article-journal","abstract":"Heparanase (Hpa1) is expressed by tumor cells and cells of the tumor microenvironment and functions extracellularly to remodel the extracellular matrix (ECM) and regulate the bioavailability of ECM-bound factors, augmenting, among other effects, gene transcription, autophagy, exosome formation, and heparan sulfate (HS) turnover. Much of the impact of heparanase on tumor progression is related to its function in mediating tumor-host crosstalk, priming the tumor microenvironment to better support tumor growth, metastasis, and chemoresistance. The enzyme appears to fulfill some normal functions associated, for example, with vesicular traffic, lysosomal-based secretion, autophagy, HS turnover, and gene transcription. It activates cells of the innate immune system, promotes the formation of exosomes and autophagosomes, and stimulates signal transduction pathways via enzymatic and nonenzymatic activities. These effects dynamically impact multiple regulatory pathways that together drive tumor growth, dissemination, and drug resistance as well as inflammatory responses. The emerging premise is that heparanase expressed by tumor cells, immune cells, endothelial cells, and other cells of the tumor microenvironment is a key regulator of the aggressive phenotype of cancer, an important contributor to the poor outcome of cancer patients and a valid target for therapy. So far, however, antiheparanase-based therapy has not been implemented in the clinic. Unlike heparanase, heparanase-2 (Hpa2), a close homolog of heparanase (Hpa1), does not undergo proteolytic processing and hence lacks intrinsic HS-degrading activity, the hallmark of heparanase. Hpa2 retains the capacity to bind heparin/HS and exhibits an even higher affinity towards HS than heparanase, thus competing for HS binding and inhibiting heparanase enzymatic activity. It appears that Hpa2 functions as a natural inhibitor of Hpa1 regulates the expression of selected genes that maintain tissue hemostasis and normal function, and plays a protective role against cancer and inflammation, together emphasizing the significance of maintaining a proper balance between Hpa1 and Hpa2.","container-title":"Proteoglycan Research","DOI":"10.1002/pgr2.6","ISSN":"2832-3556","issue":"3","language":"en","license":"© 2023 The Authors. Proteoglycan Research published by Wiley Periodicals LLC.","note":"_eprint: https://onlinelibrary.wiley.com/doi/pdf/10.1002/pgr2.6","page":"e6","source":"Wiley Online Library","title":"Heparanase—A single protein with multiple enzymatic and nonenzymatic functions","volume":"1","author":[{"family":"Vlodavsky","given":"Israel"},{"family":"Kayal","given":"Yasmin"},{"family":"Hilwi","given":"Maram"},{"family":"Soboh","given":"Soaad"},{"family":"Sanderson","given":"Ralph D."},{"family":"Ilan","given":"Neta"}],"issued":{"date-parts":[["2023"]]}}},{"id":1140,"uris":["http://zotero.org/users/15902993/items/HRLJ4LHC"],"itemData":{"id":1140,"type":"article-journal","abstract":"Heparan sulfate (HS) proteoglycans at the cell surface and in the extracellular matrix of most animal tissues are essential in development and homeostasis, and are implicated in disease processes. Emerging evidence demonstrates the important roles of HS in inflammatory reactions, particularly in the regulation of leukocyte extravasation. Heparin, a classical anticoagulant, exhibits anti-inflammatory effects in animal models and in the clinic,presumably through interference with the functions of HS, as both polysaccharides share a high similarity in molecular structure. Apart of regulation during biosynthesis, the structures of HS and heparin are significantly modulated by heparanase, an endoglycosidase that is upregulated in a number of inflammatory conditions. Exploring the physiological roles of HS and heparin and the mode of heparanase action in modulating their functions during inflammation responses is of importance for future studies.","container-title":"Thrombosis and Haemostasis","DOI":"10.1160/TH09-02-0091","ISSN":"0340-6245","language":"en","license":"Schattauer GmbH","note":"publisher: Schattauer GmbH","page":"823-828","source":"www.thieme-connect.com","title":"Heparin, heparan sulfate and heparanase in inflammatory reactions","volume":"102","author":[{"family":"Li","given":"Jin-ping"},{"family":"Vlodavsky","given":"Israel"}],"issued":{"date-parts":[["2017",11,27]]}}}],"schema":"https://github.com/citation-style-language/schema/raw/master/csl-citation.json"} </w:instrText>
      </w:r>
      <w:r w:rsidR="00010C3D">
        <w:rPr>
          <w:noProof/>
        </w:rPr>
        <w:fldChar w:fldCharType="separate"/>
      </w:r>
      <w:r w:rsidR="00C066B7" w:rsidRPr="00C066B7">
        <w:rPr>
          <w:rFonts w:eastAsiaTheme="minorHAnsi"/>
          <w14:ligatures w14:val="standardContextual"/>
        </w:rPr>
        <w:t>(</w:t>
      </w:r>
      <w:r w:rsidR="00C066B7" w:rsidRPr="00C066B7">
        <w:rPr>
          <w:rFonts w:eastAsiaTheme="minorHAnsi"/>
          <w:i/>
          <w:iCs/>
          <w14:ligatures w14:val="standardContextual"/>
        </w:rPr>
        <w:t>20</w:t>
      </w:r>
      <w:r w:rsidR="00C066B7" w:rsidRPr="00C066B7">
        <w:rPr>
          <w:rFonts w:eastAsiaTheme="minorHAnsi"/>
          <w14:ligatures w14:val="standardContextual"/>
        </w:rPr>
        <w:t xml:space="preserve">, </w:t>
      </w:r>
      <w:r w:rsidR="00C066B7" w:rsidRPr="00C066B7">
        <w:rPr>
          <w:rFonts w:eastAsiaTheme="minorHAnsi"/>
          <w:i/>
          <w:iCs/>
          <w14:ligatures w14:val="standardContextual"/>
        </w:rPr>
        <w:t>21</w:t>
      </w:r>
      <w:r w:rsidR="00C066B7" w:rsidRPr="00C066B7">
        <w:rPr>
          <w:rFonts w:eastAsiaTheme="minorHAnsi"/>
          <w14:ligatures w14:val="standardContextual"/>
        </w:rPr>
        <w:t>)</w:t>
      </w:r>
      <w:r w:rsidR="00010C3D">
        <w:rPr>
          <w:noProof/>
        </w:rPr>
        <w:fldChar w:fldCharType="end"/>
      </w:r>
      <w:r w:rsidR="00010C3D">
        <w:rPr>
          <w:noProof/>
        </w:rPr>
        <w:t>.</w:t>
      </w:r>
    </w:p>
    <w:p w14:paraId="47151D13" w14:textId="24B579BB" w:rsidR="00AE2530" w:rsidRDefault="007C3173" w:rsidP="00AE2530">
      <w:pPr>
        <w:spacing w:after="160" w:line="278" w:lineRule="auto"/>
        <w:ind w:firstLine="720"/>
        <w:rPr>
          <w:noProof/>
        </w:rPr>
      </w:pPr>
      <w:r>
        <w:rPr>
          <w:noProof/>
        </w:rPr>
        <w:t xml:space="preserve">We found five mutations within the coding sequence of </w:t>
      </w:r>
      <w:r w:rsidRPr="00141FA8">
        <w:rPr>
          <w:i/>
          <w:iCs/>
          <w:noProof/>
        </w:rPr>
        <w:t>PODXL</w:t>
      </w:r>
      <w:r>
        <w:rPr>
          <w:noProof/>
        </w:rPr>
        <w:t>, four of which were synonymous but one of which (P295A) was a missense mutation. We used SIFT to predict if this mutation resulted in a nonfunctional protein and found that it is expected to be tolerated (tolerance score = 0.35, median sequence conservation 4.32</w:t>
      </w:r>
      <w:r w:rsidR="00993CAA">
        <w:rPr>
          <w:noProof/>
        </w:rPr>
        <w:t xml:space="preserve">, </w:t>
      </w:r>
      <w:r w:rsidR="00993CAA">
        <w:rPr>
          <w:noProof/>
        </w:rPr>
        <w:fldChar w:fldCharType="begin"/>
      </w:r>
      <w:r w:rsidR="00A1170B">
        <w:rPr>
          <w:noProof/>
        </w:rPr>
        <w:instrText xml:space="preserve"> ADDIN ZOTERO_ITEM CSL_CITATION {"citationID":"cUpMkT0g","properties":{"formattedCitation":"({\\i{}13})","plainCitation":"(13)","dontUpdate":true,"noteIndex":0},"citationItems":[{"id":1163,"uris":["http://zotero.org/users/15902993/items/FQDH2LYI"],"itemData":{"id":1163,"type":"article-journal","abstract":"The effect of genetic mutation on phenotype is of significant interest in genetics. The type of genetic mutation that causes a single amino acid substitution (AAS) in a protein sequence is called a non-synonymous single nucleotide polymorphism (nsSNP). An nsSNP could potentially affect the function of the protein, subsequently altering the carrier's phenotype. This protocol describes the use of the 'Sorting Tolerant From Intolerant' (SIFT) algorithm in predicting whether an AAS affects protein function. To assess the effect of a substitution, SIFT assumes that important positions in a protein sequence have been conserved throughout evolution and therefore substitutions at these positions may affect protein function. Thus, by using sequence homology, SIFT predicts the effects of all possible substitutions at each position in the protein sequence. The protocol typically takes 5–20 min, depending on the input. SIFT is available as an online tool (http://sift-dna.org).","container-title":"Nature Protocols","DOI":"10.1038/nprot.2009.86","ISSN":"1750-2799","issue":"7","journalAbbreviation":"Nat Protoc","language":"en","license":"2009 Springer Nature Limited","note":"publisher: Nature Publishing Group","page":"1073-1081","source":"www.nature.com","title":"Predicting the effects of coding non-synonymous variants on protein function using the SIFT algorithm","volume":"4","author":[{"family":"Kumar","given":"Prateek"},{"family":"Henikoff","given":"Steven"},{"family":"Ng","given":"Pauline C."}],"issued":{"date-parts":[["2009",7]]}}}],"schema":"https://github.com/citation-style-language/schema/raw/master/csl-citation.json"} </w:instrText>
      </w:r>
      <w:r w:rsidR="00993CAA">
        <w:rPr>
          <w:noProof/>
        </w:rPr>
        <w:fldChar w:fldCharType="separate"/>
      </w:r>
      <w:r w:rsidR="00993CAA" w:rsidRPr="00993CAA">
        <w:rPr>
          <w:rFonts w:eastAsiaTheme="minorHAnsi"/>
          <w:i/>
          <w:iCs/>
          <w14:ligatures w14:val="standardContextual"/>
        </w:rPr>
        <w:t>13</w:t>
      </w:r>
      <w:r w:rsidR="00993CAA" w:rsidRPr="00993CAA">
        <w:rPr>
          <w:rFonts w:eastAsiaTheme="minorHAnsi"/>
          <w14:ligatures w14:val="standardContextual"/>
        </w:rPr>
        <w:t>)</w:t>
      </w:r>
      <w:r w:rsidR="00993CAA">
        <w:rPr>
          <w:noProof/>
        </w:rPr>
        <w:fldChar w:fldCharType="end"/>
      </w:r>
      <w:r>
        <w:rPr>
          <w:noProof/>
        </w:rPr>
        <w:t xml:space="preserve">, but it may have impacts on protein folding and structure. The frequency of this mutation decreased over time </w:t>
      </w:r>
      <w:r w:rsidR="00466163">
        <w:rPr>
          <w:noProof/>
        </w:rPr>
        <w:t>from 1.0 to 0.333,</w:t>
      </w:r>
      <w:r>
        <w:rPr>
          <w:noProof/>
        </w:rPr>
        <w:t xml:space="preserve"> indicating selection against the derived protein.</w:t>
      </w:r>
      <w:r w:rsidR="00010C3D">
        <w:rPr>
          <w:noProof/>
        </w:rPr>
        <w:t xml:space="preserve"> </w:t>
      </w:r>
      <w:r w:rsidR="00010C3D" w:rsidRPr="00141FA8">
        <w:rPr>
          <w:i/>
          <w:iCs/>
          <w:noProof/>
        </w:rPr>
        <w:t>PODXL</w:t>
      </w:r>
      <w:r w:rsidR="00010C3D">
        <w:rPr>
          <w:noProof/>
        </w:rPr>
        <w:t xml:space="preserve"> encodes the protein </w:t>
      </w:r>
      <w:r w:rsidR="00010C3D" w:rsidRPr="00010C3D">
        <w:rPr>
          <w:noProof/>
        </w:rPr>
        <w:t>Podocalyxin Like</w:t>
      </w:r>
      <w:r w:rsidR="00010C3D">
        <w:rPr>
          <w:noProof/>
        </w:rPr>
        <w:t>-1</w:t>
      </w:r>
      <w:r w:rsidR="00AE2530">
        <w:rPr>
          <w:noProof/>
        </w:rPr>
        <w:t xml:space="preserve"> which is found in hematopoetic progenetior cells and plays a role in the production of new blood cells </w:t>
      </w:r>
      <w:r w:rsidR="00AE2530">
        <w:rPr>
          <w:noProof/>
        </w:rPr>
        <w:fldChar w:fldCharType="begin"/>
      </w:r>
      <w:r w:rsidR="00C066B7">
        <w:rPr>
          <w:noProof/>
        </w:rPr>
        <w:instrText xml:space="preserve"> ADDIN ZOTERO_ITEM CSL_CITATION {"citationID":"iEU6tBE7","properties":{"formattedCitation":"({\\i{}23})","plainCitation":"(23)","noteIndex":0},"citationItems":[{"id":1142,"uris":["http://zotero.org/users/15902993/items/YIWWXA8V"],"itemData":{"id":1142,"type":"article-journal","abstract":"Podocalyxin, a sialomucin most closely related to CD34 and endoglycan, is expressed by kidney podocytes, hematopoietic progenitors, vascular endothelia, and a subset of neurons; aberrant expression has recently been implicated in a range of cancers. Through interactions with several intracellular proteins and at least one extracellular ligand, podocalyxin regulates both adhesion and cell morphology. In the developing kidney, podocalyxin plays an essential role in the formation and maintenance of podocyte foot processes, and its absence results in perinatal lethality. Podocalyxin expression in the hematopoietic system correlates with cell migration and the seeding of new hematopoietic tissues. In addition, it is abnormally expressed in subsets of breast, prostate, liver, pancreatic, and kidney cancer as well as leukemia. Strikingly, it is often associated with the most aggressive cases, and it is likely involved in metastasis. Thus, a thorough investigation of the normal activities of podocalyxin may facilitate the development of new cancer treatment strategies.","container-title":"Journal of the American Society of Nephrology","DOI":"10.1681/ASN.2008070782","ISSN":"1046-6673","issue":"8","language":"en-US","page":"1669","source":"journals-lww-com.ezproxy4.library.arizona.edu","title":"The Role of Podocalyxin in Health and Disease","volume":"20","author":[{"family":"Nielsen","given":"Julie S."},{"family":"McNagny","given":"Kelly M."}],"issued":{"date-parts":[["2009",8]]}}}],"schema":"https://github.com/citation-style-language/schema/raw/master/csl-citation.json"} </w:instrText>
      </w:r>
      <w:r w:rsidR="00AE2530">
        <w:rPr>
          <w:noProof/>
        </w:rPr>
        <w:fldChar w:fldCharType="separate"/>
      </w:r>
      <w:r w:rsidR="00C066B7" w:rsidRPr="00C066B7">
        <w:rPr>
          <w:rFonts w:eastAsiaTheme="minorHAnsi"/>
          <w14:ligatures w14:val="standardContextual"/>
        </w:rPr>
        <w:t>(</w:t>
      </w:r>
      <w:r w:rsidR="00C066B7" w:rsidRPr="00C066B7">
        <w:rPr>
          <w:rFonts w:eastAsiaTheme="minorHAnsi"/>
          <w:i/>
          <w:iCs/>
          <w14:ligatures w14:val="standardContextual"/>
        </w:rPr>
        <w:t>23</w:t>
      </w:r>
      <w:r w:rsidR="00C066B7" w:rsidRPr="00C066B7">
        <w:rPr>
          <w:rFonts w:eastAsiaTheme="minorHAnsi"/>
          <w14:ligatures w14:val="standardContextual"/>
        </w:rPr>
        <w:t>)</w:t>
      </w:r>
      <w:r w:rsidR="00AE2530">
        <w:rPr>
          <w:noProof/>
        </w:rPr>
        <w:fldChar w:fldCharType="end"/>
      </w:r>
      <w:r w:rsidR="00AE2530">
        <w:rPr>
          <w:noProof/>
        </w:rPr>
        <w:t>.</w:t>
      </w:r>
    </w:p>
    <w:p w14:paraId="6E32B47E" w14:textId="3E71B43B" w:rsidR="00941E9E" w:rsidRPr="00941E9E" w:rsidRDefault="00941E9E" w:rsidP="00941E9E">
      <w:pPr>
        <w:spacing w:after="160" w:line="278" w:lineRule="auto"/>
        <w:rPr>
          <w:b/>
          <w:bCs/>
          <w:sz w:val="28"/>
          <w:szCs w:val="28"/>
        </w:rPr>
      </w:pPr>
      <w:r>
        <w:rPr>
          <w:b/>
          <w:bCs/>
          <w:sz w:val="28"/>
          <w:szCs w:val="28"/>
        </w:rPr>
        <w:t xml:space="preserve">Intronic CpG mutations underlie parallel signals of selection </w:t>
      </w:r>
      <w:r w:rsidR="008052ED">
        <w:rPr>
          <w:b/>
          <w:bCs/>
          <w:sz w:val="28"/>
          <w:szCs w:val="28"/>
        </w:rPr>
        <w:t>on genes related to inflammation and angiogenesis</w:t>
      </w:r>
    </w:p>
    <w:p w14:paraId="11F9604A" w14:textId="330CD985" w:rsidR="008D4415" w:rsidRDefault="00BF0E11" w:rsidP="001E0683">
      <w:pPr>
        <w:spacing w:after="160" w:line="278" w:lineRule="auto"/>
        <w:ind w:firstLine="720"/>
      </w:pPr>
      <w:r>
        <w:rPr>
          <w:noProof/>
        </w:rPr>
        <w:t>All pairwise comparisons of the top 1% of genes found evidence of significant overlap. We identified 32 genes in both the vegetarian and medium ground finch</w:t>
      </w:r>
      <w:r w:rsidR="008D4415">
        <w:t xml:space="preserve"> (</w:t>
      </w:r>
      <w:r>
        <w:t>OR</w:t>
      </w:r>
      <w:r w:rsidR="008D4415">
        <w:t xml:space="preserve"> = </w:t>
      </w:r>
      <w:r>
        <w:t>3</w:t>
      </w:r>
      <w:r w:rsidR="008D4415">
        <w:t>.</w:t>
      </w:r>
      <w:r>
        <w:t>32</w:t>
      </w:r>
      <w:r w:rsidR="008D4415">
        <w:t xml:space="preserve"> [</w:t>
      </w:r>
      <w:r>
        <w:t>2.20</w:t>
      </w:r>
      <w:r w:rsidR="008D4415">
        <w:t xml:space="preserve"> </w:t>
      </w:r>
      <w:r>
        <w:t>–</w:t>
      </w:r>
      <w:r w:rsidR="008D4415">
        <w:t xml:space="preserve"> </w:t>
      </w:r>
      <w:r>
        <w:t>4.86</w:t>
      </w:r>
      <w:r w:rsidR="008D4415">
        <w:t xml:space="preserve">], q </w:t>
      </w:r>
      <w:r>
        <w:t>&lt; 0.001</w:t>
      </w:r>
      <w:r w:rsidR="008D4415">
        <w:t>)</w:t>
      </w:r>
      <w:r>
        <w:t>, 30 in both the vegetarian and small tree finch (</w:t>
      </w:r>
      <w:r>
        <w:rPr>
          <w:noProof/>
        </w:rPr>
        <w:t xml:space="preserve">OR </w:t>
      </w:r>
      <w:r w:rsidR="008D4415">
        <w:t xml:space="preserve">= </w:t>
      </w:r>
      <w:r>
        <w:t>2.18</w:t>
      </w:r>
      <w:r w:rsidR="008D4415">
        <w:t xml:space="preserve"> [1.</w:t>
      </w:r>
      <w:r>
        <w:t>44</w:t>
      </w:r>
      <w:r w:rsidR="008D4415">
        <w:t>- 3.</w:t>
      </w:r>
      <w:r>
        <w:t>21</w:t>
      </w:r>
      <w:r w:rsidR="008D4415">
        <w:t xml:space="preserve">], q </w:t>
      </w:r>
      <w:r>
        <w:t>&lt; 0.001</w:t>
      </w:r>
      <w:r w:rsidR="008D4415">
        <w:t>)</w:t>
      </w:r>
      <w:r>
        <w:rPr>
          <w:noProof/>
        </w:rPr>
        <w:t>, and 14 in both the medium ground finch and the small tree finch</w:t>
      </w:r>
      <w:r w:rsidR="008D4415">
        <w:t xml:space="preserve"> (odds ratio = 1.83 [1.04 - 3.01], q = </w:t>
      </w:r>
      <w:r w:rsidR="008D4415" w:rsidRPr="008D4415">
        <w:t>0.0</w:t>
      </w:r>
      <w:r w:rsidR="008D4415">
        <w:t>30)</w:t>
      </w:r>
      <w:r>
        <w:t xml:space="preserve">. </w:t>
      </w:r>
      <w:r w:rsidR="00F6293B">
        <w:t>GO term analysis of genes identified in two or more species found no significantly overrepresented terms. However, the t</w:t>
      </w:r>
      <w:r>
        <w:t xml:space="preserve">hree genes identified in all species, </w:t>
      </w:r>
      <w:r w:rsidRPr="00141FA8">
        <w:rPr>
          <w:i/>
          <w:iCs/>
        </w:rPr>
        <w:t>BMPER</w:t>
      </w:r>
      <w:r>
        <w:t xml:space="preserve">, </w:t>
      </w:r>
      <w:r w:rsidRPr="00141FA8">
        <w:rPr>
          <w:i/>
          <w:iCs/>
        </w:rPr>
        <w:t>NUDT4</w:t>
      </w:r>
      <w:r>
        <w:t xml:space="preserve">, and </w:t>
      </w:r>
      <w:r w:rsidRPr="00141FA8">
        <w:rPr>
          <w:i/>
          <w:iCs/>
        </w:rPr>
        <w:t>TENM3</w:t>
      </w:r>
      <w:r w:rsidR="00F6293B">
        <w:t>, function in biological processes relevant to a response to parasitism by the vampire fly</w:t>
      </w:r>
      <w:r>
        <w:t xml:space="preserve">. </w:t>
      </w:r>
      <w:r w:rsidR="00FF7A3C" w:rsidRPr="00141FA8">
        <w:rPr>
          <w:i/>
          <w:iCs/>
        </w:rPr>
        <w:t>BMPER</w:t>
      </w:r>
      <w:r w:rsidR="00FF7A3C">
        <w:t xml:space="preserve"> encodes the protein </w:t>
      </w:r>
      <w:r w:rsidR="00FF7A3C" w:rsidRPr="00FF7A3C">
        <w:t>Bone Morphogenetic Protein-binding Endothelial Regulator</w:t>
      </w:r>
      <w:r w:rsidR="00B305A8">
        <w:t xml:space="preserve">, which facilitates endothelial cell sprouting, an essential step in angiogenesis </w:t>
      </w:r>
      <w:r w:rsidR="00B305A8">
        <w:fldChar w:fldCharType="begin"/>
      </w:r>
      <w:r w:rsidR="00C066B7">
        <w:instrText xml:space="preserve"> ADDIN ZOTERO_ITEM CSL_CITATION {"citationID":"pg1wa5Rw","properties":{"formattedCitation":"({\\i{}24})","plainCitation":"(24)","noteIndex":0},"citationItems":[{"id":1155,"uris":["http://zotero.org/users/15902993/items/8GLIWZ8Z"],"itemData":{"id":1155,"type":"article-journal","abstract":"Bone morphogenetic proteins (BMPs) are involved in embryonic and adult blood vessel formation in health and disease. BMPER (BMP endothelial cell precursor–derived regulator) is a differentially expressed protein in embryonic endothelial precursor cells. In earlier work, we found that BMPER interacts with BMPs and when overexpressed antagonizes their function in embryonic axis formation. In contrast, in a BMPER-deficient zebrafish model, BMPER behaves as a BMP agonist. Furthermore, lack of BMPER induces a vascular phenotype in zebrafish that is driven by disarray of the intersomitic vasculature. Here, we investigate the impact of BMPER on endothelial cell function and signaling and elucidate its role in BMP-4 function in gain- and loss-of-function models. As shown by Western blotting and immunocytochemistry, BMPER is an extracellular matrix protein expressed by endothelial cells in skin, heart, and lung. We show that BMPER is a downstream target of FoxO3a and consistently exerts activating effects on endothelial cell sprouting and migration in vitro and in vivo. Accordingly, when BMPER is depleted from endothelial cells, sprouting is impaired. In terms of BMPER related intracellular signaling, we show that BMPER is permissive and necessary for Smad 1/5 phosphorylation and induces Erk1/2 activation. Most interestingly, BMPER is necessary for BMP-4 to exert its activating role in endothelial function and to induce Smad 1/5 activation. Vice versa, BMP-4 is necessary for BMPER activity. Taken together, BMPER is a dose-dependent endothelial cell activator that plays a unique and pivotal role in fine-tuning BMP activity in angiogenesis.","container-title":"Circulation Research","DOI":"10.1161/CIRCRESAHA.108.178434","issue":"8","note":"publisher: American Heart Association","page":"804-812","source":"www-ahajournals-org.ezproxy1.library.arizona.edu (Atypon)","title":"BMPER Is an Endothelial Cell Regulator and Controls Bone Morphogenetic Protein-4–Dependent Angiogenesis","volume":"103","author":[{"family":"Heinke","given":"Jennifer"},{"family":"Wehofsits","given":"Leonie"},{"family":"Zhou","given":"Qian"},{"family":"Zoeller","given":"Christoph"},{"family":"Baar","given":"Kim-Miriam"},{"family":"Helbing","given":"Thomas"},{"family":"Laib","given":"Anna"},{"family":"Augustin","given":"Hellmut"},{"family":"Bode","given":"Christoph"},{"family":"Patterson","given":"Cam"},{"family":"Moser","given":"Martin"}],"issued":{"date-parts":[["2008",10,10]]}}}],"schema":"https://github.com/citation-style-language/schema/raw/master/csl-citation.json"} </w:instrText>
      </w:r>
      <w:r w:rsidR="00B305A8">
        <w:fldChar w:fldCharType="separate"/>
      </w:r>
      <w:r w:rsidR="00C066B7" w:rsidRPr="00C066B7">
        <w:rPr>
          <w:rFonts w:eastAsiaTheme="minorHAnsi"/>
          <w14:ligatures w14:val="standardContextual"/>
        </w:rPr>
        <w:t>(</w:t>
      </w:r>
      <w:r w:rsidR="00C066B7" w:rsidRPr="00C066B7">
        <w:rPr>
          <w:rFonts w:eastAsiaTheme="minorHAnsi"/>
          <w:i/>
          <w:iCs/>
          <w14:ligatures w14:val="standardContextual"/>
        </w:rPr>
        <w:t>24</w:t>
      </w:r>
      <w:r w:rsidR="00C066B7" w:rsidRPr="00C066B7">
        <w:rPr>
          <w:rFonts w:eastAsiaTheme="minorHAnsi"/>
          <w14:ligatures w14:val="standardContextual"/>
        </w:rPr>
        <w:t>)</w:t>
      </w:r>
      <w:r w:rsidR="00B305A8">
        <w:fldChar w:fldCharType="end"/>
      </w:r>
      <w:r w:rsidR="00B305A8">
        <w:t xml:space="preserve">. It also </w:t>
      </w:r>
      <w:r w:rsidR="00FF7A3C">
        <w:t xml:space="preserve">regulates dysregulated systemic inflammation at injury sites </w:t>
      </w:r>
      <w:r w:rsidR="00B305A8">
        <w:fldChar w:fldCharType="begin"/>
      </w:r>
      <w:r w:rsidR="00C066B7">
        <w:instrText xml:space="preserve"> ADDIN ZOTERO_ITEM CSL_CITATION {"citationID":"v7z7sgPO","properties":{"formattedCitation":"({\\i{}25})","plainCitation":"(25)","noteIndex":0},"citationItems":[{"id":1153,"uris":["http://zotero.org/users/15902993/items/YZ36DEZ4"],"itemData":{"id":1153,"type":"article-journal","abstract":"Objective—Bacterial endotoxin (lipopolysaccharide)-mediated sepsis involves dysregulated systemic inflammation, which injures the lung and other organs, often fatally. Vascular endothelial cells act as both targets and mediators of lipopolysaccharide-induced inflammatory responses. Dysfunction of endothelium results in increases of proinflammatory cytokine production and permeability leakage. BMPER (bone morphogenetic protein–binding endothelial regulator), an extracellular modulator of bone morphogenetic protein signaling, has been identified as a vital component in chronic endothelial inflammatory responses and atherosclerosis. However, it is unclear whether BMPER also regulates inflammatory response in an acute setting such as sepsis. To address this question, we investigated the role of BMPER during lipopolysaccharide-induced acute lung injury.Approach and Results—Mice missing 1 allele of BMPER (BMPER+/− mice used in the place of BMPER−/− mice that die at birth) were used for lipopolysaccharide challenge. Lipopolysaccharide-induced pulmonary inflammation and injury was reduced in BMPER+/− mice as shown by several measures, including survival rate, infiltration of inflammatory cells, edema, and production of proinflammatory cytokines. Mechanistically, we have demonstrated that BMPER is required and sufficient for the activation of nuclear factor of activated T cells c1. This BMPER-induced nuclear factor of activated T cells activation is coordinated by multiple signaling pathways, including bone morphogenetic protein–independent low-density lipoprotein receptor–related protein 1-extracellular signal-regulated kinase activation, calcineurin signaling, and low-density lipoprotein receptor–related protein 1β–mediated nuclear factor 45 nuclear export in response to BMPER treatment.Conclusions—We conclude that BMPER plays a pivotal role in pulmonary inflammatory response, which provides new therapeutic options against sepsis shock. The new signaling pathway initiated by BMPER/low-density lipoprotein receptor–related protein 1 axis broadens our understanding about BMPER’s role in vascular homeostasis.","container-title":"Arteriosclerosis, Thrombosis, and Vascular Biology","DOI":"10.1161/ATVBAHA.117.309521","issue":"8","note":"publisher: American Heart Association","page":"1524-1535","source":"www-ahajournals-org.ezproxy1.library.arizona.edu (Atypon)","title":"LRP1-Dependent BMPER Signaling Regulates Lipopolysaccharide-Induced Vascular Inflammation","volume":"37","author":[{"family":"Lockyer","given":"Pamela"},{"family":"Mao","given":"Hua"},{"family":"Fan","given":"Qiying"},{"family":"Li","given":"Luge"},{"family":"Yu-Lee","given":"Li-Yuan"},{"family":"Eissa","given":"N. Tony"},{"family":"Patterson","given":"Cam"},{"family":"Xie","given":"Liang"},{"family":"Pi","given":"Xinchun"}],"issued":{"date-parts":[["2017",8]]}}}],"schema":"https://github.com/citation-style-language/schema/raw/master/csl-citation.json"} </w:instrText>
      </w:r>
      <w:r w:rsidR="00B305A8">
        <w:fldChar w:fldCharType="separate"/>
      </w:r>
      <w:r w:rsidR="00C066B7" w:rsidRPr="00C066B7">
        <w:rPr>
          <w:rFonts w:eastAsiaTheme="minorHAnsi"/>
          <w14:ligatures w14:val="standardContextual"/>
        </w:rPr>
        <w:t>(</w:t>
      </w:r>
      <w:r w:rsidR="00C066B7" w:rsidRPr="00C066B7">
        <w:rPr>
          <w:rFonts w:eastAsiaTheme="minorHAnsi"/>
          <w:i/>
          <w:iCs/>
          <w14:ligatures w14:val="standardContextual"/>
        </w:rPr>
        <w:t>25</w:t>
      </w:r>
      <w:r w:rsidR="00C066B7" w:rsidRPr="00C066B7">
        <w:rPr>
          <w:rFonts w:eastAsiaTheme="minorHAnsi"/>
          <w14:ligatures w14:val="standardContextual"/>
        </w:rPr>
        <w:t>)</w:t>
      </w:r>
      <w:r w:rsidR="00B305A8">
        <w:fldChar w:fldCharType="end"/>
      </w:r>
      <w:r w:rsidR="00B305A8">
        <w:t xml:space="preserve">. </w:t>
      </w:r>
      <w:r w:rsidRPr="00141FA8">
        <w:rPr>
          <w:i/>
          <w:iCs/>
        </w:rPr>
        <w:t>TENM3</w:t>
      </w:r>
      <w:r>
        <w:t xml:space="preserve"> encodes the </w:t>
      </w:r>
      <w:r>
        <w:lastRenderedPageBreak/>
        <w:t xml:space="preserve">protein </w:t>
      </w:r>
      <w:proofErr w:type="spellStart"/>
      <w:r w:rsidRPr="00BF0E11">
        <w:t>Teneurin</w:t>
      </w:r>
      <w:proofErr w:type="spellEnd"/>
      <w:r w:rsidRPr="00BF0E11">
        <w:t xml:space="preserve"> Transmembrane Protein 3</w:t>
      </w:r>
      <w:r w:rsidR="00FF7A3C">
        <w:t xml:space="preserve"> which influences the developing craniofacial mesenchyme and dermis </w:t>
      </w:r>
      <w:r w:rsidR="00FF7A3C">
        <w:fldChar w:fldCharType="begin"/>
      </w:r>
      <w:r w:rsidR="00C066B7">
        <w:instrText xml:space="preserve"> ADDIN ZOTERO_ITEM CSL_CITATION {"citationID":"89JVGYpA","properties":{"formattedCitation":"({\\i{}26}, {\\i{}27})","plainCitation":"(26, 27)","noteIndex":0},"citationItems":[{"id":1147,"uris":["http://zotero.org/users/15902993/items/5KYWLPV3"],"itemData":{"id":1147,"type":"article-journal","abstract":"Teneurins are a novel family of transmembrane proteins expressed during pattern formation and morphogenesis. Originally discovered as ten-m and ten-a in Drosophila, four vertebrate teneurins as well as a Caenorhabditis elegans homologue were identified. The conserved domain architecture of teneurins includes an intracellular domain containing polyproline motifs. The long extracellular domain consists of eight EGF-like repeats, a region of conserved cysteines and unique YD-repeats. Vertebrate teneurins are most prominently expressed in the developing central nervous system, but are also expressed in developing limbs. In C. elegans, RNAi experiments and studies of mutants reveal that teneurins are required during fundamental developmental processes like cell migration and axon pathfinding. Cell culture experiments suggest that the intracellular domain of teneurins translocates to the nucleus following release from the membrane by proteolytic processing. Interestingly, the human teneurin-1 gene is located on the X-chromosome in a region where several families with X-linked mental retardation are mapped.","container-title":"The International Journal of Biochemistry &amp; Cell Biology","DOI":"10.1016/j.biocel.2006.09.012","ISSN":"1357-2725","issue":"2","journalAbbreviation":"The International Journal of Biochemistry &amp; Cell Biology","page":"292-297","source":"ScienceDirect","title":"Teneurins: Transmembrane proteins with fundamental roles in development","title-short":"Teneurins","volume":"39","author":[{"family":"Tucker","given":"Richard P."},{"family":"Kenzelmann","given":"Daniela"},{"family":"Trzebiatowska","given":"Agnieszka"},{"family":"Chiquet-Ehrismann","given":"Ruth"}],"issued":{"date-parts":[["2007",1,1]]}}},{"id":1150,"uris":["http://zotero.org/users/15902993/items/I26M6R7Y"],"itemData":{"id":1150,"type":"article-journal","abstract":"The Drosophila pair-rule gene odz (Tenm) has many patterning roles throughout development. We have identified four mammalian homologs of this gene, including one previously described as a mouse ER stress response gene, Doc4 (Wang et al., 1998). The Odz genes encode large polypeptides displaying the hallmarks of Drosophila Odz: a putative signal peptide; eight EGF-like repeats; and a putative transmembrane domain followed by a 1800-amino-acid stretch without homology to any proteins outside of this family. The mouse genes Odz3 and Doc4/Odz4 exhibit partially overlapping, but clearly distinct, embryonic expression patterns. The major embryonic sites of expression are in the nervous system, including the tectum, optic recess, optic stalk, and developing eye. Additional sites of expression include trachea and mesodermally derived tissues, such as mesentery, and forming limb and bone. Expression of the Odz2 gene is restricted to the nervous system. The expression patterns suggest that each of the genes has its own distinct developmental role. Comparisons of Drosophila and vertebrate Odz expression patterns suggest evolutionarily conserved functions.","container-title":"Developmental Biology","DOI":"10.1006/dbio.1999.9532","ISSN":"0012-1606","issue":"1","journalAbbreviation":"Developmental Biology","page":"107-120","source":"ScienceDirect","title":"The Mammalian Odz Gene Family: Homologs of a &lt;i&gt;Drosophila&lt;/i&gt; Pair-Rule Gene with Expression Implying Distinct yet Overlapping Developmental Roles","title-short":"The Mammalian Odz Gene Family","volume":"217","author":[{"family":"Ben-Zur","given":"Tali"},{"family":"Feige","given":"Erez"},{"family":"Motro","given":"Benny"},{"family":"Wides","given":"Ron"}],"issued":{"date-parts":[["2000",1,1]]}}}],"schema":"https://github.com/citation-style-language/schema/raw/master/csl-citation.json"} </w:instrText>
      </w:r>
      <w:r w:rsidR="00FF7A3C">
        <w:fldChar w:fldCharType="separate"/>
      </w:r>
      <w:r w:rsidR="00C066B7" w:rsidRPr="00C066B7">
        <w:rPr>
          <w:rFonts w:eastAsiaTheme="minorHAnsi"/>
          <w14:ligatures w14:val="standardContextual"/>
        </w:rPr>
        <w:t>(</w:t>
      </w:r>
      <w:r w:rsidR="00C066B7" w:rsidRPr="00C066B7">
        <w:rPr>
          <w:rFonts w:eastAsiaTheme="minorHAnsi"/>
          <w:i/>
          <w:iCs/>
          <w14:ligatures w14:val="standardContextual"/>
        </w:rPr>
        <w:t>26</w:t>
      </w:r>
      <w:r w:rsidR="00C066B7" w:rsidRPr="00C066B7">
        <w:rPr>
          <w:rFonts w:eastAsiaTheme="minorHAnsi"/>
          <w14:ligatures w14:val="standardContextual"/>
        </w:rPr>
        <w:t xml:space="preserve">, </w:t>
      </w:r>
      <w:r w:rsidR="00C066B7" w:rsidRPr="00C066B7">
        <w:rPr>
          <w:rFonts w:eastAsiaTheme="minorHAnsi"/>
          <w:i/>
          <w:iCs/>
          <w14:ligatures w14:val="standardContextual"/>
        </w:rPr>
        <w:t>27</w:t>
      </w:r>
      <w:r w:rsidR="00C066B7" w:rsidRPr="00C066B7">
        <w:rPr>
          <w:rFonts w:eastAsiaTheme="minorHAnsi"/>
          <w14:ligatures w14:val="standardContextual"/>
        </w:rPr>
        <w:t>)</w:t>
      </w:r>
      <w:r w:rsidR="00FF7A3C">
        <w:fldChar w:fldCharType="end"/>
      </w:r>
      <w:r w:rsidR="00FF7A3C">
        <w:t>.</w:t>
      </w:r>
      <w:r w:rsidR="00B305A8">
        <w:t xml:space="preserve"> </w:t>
      </w:r>
      <w:r w:rsidR="00B305A8" w:rsidRPr="00141FA8">
        <w:rPr>
          <w:i/>
          <w:iCs/>
        </w:rPr>
        <w:t>NUDT4</w:t>
      </w:r>
      <w:r w:rsidR="00B305A8">
        <w:t xml:space="preserve"> encodes the protein </w:t>
      </w:r>
      <w:proofErr w:type="spellStart"/>
      <w:r w:rsidR="00CF18E7" w:rsidRPr="00CF18E7">
        <w:t>Nudix</w:t>
      </w:r>
      <w:proofErr w:type="spellEnd"/>
      <w:r w:rsidR="00CF18E7" w:rsidRPr="00CF18E7">
        <w:t xml:space="preserve"> Hydrolase 4</w:t>
      </w:r>
      <w:r w:rsidR="00CF18E7">
        <w:t xml:space="preserve"> </w:t>
      </w:r>
      <w:r w:rsidR="00B305A8">
        <w:t xml:space="preserve">and has been identified as a key gene involved in sepsis </w:t>
      </w:r>
      <w:r w:rsidR="00B305A8">
        <w:fldChar w:fldCharType="begin"/>
      </w:r>
      <w:r w:rsidR="00C066B7">
        <w:instrText xml:space="preserve"> ADDIN ZOTERO_ITEM CSL_CITATION {"citationID":"5NMbp21x","properties":{"formattedCitation":"({\\i{}28})","plainCitation":"(28)","noteIndex":0},"citationItems":[{"id":1157,"uris":["http://zotero.org/users/15902993/items/V9W4IKQR"],"itemData":{"id":1157,"type":"article-journal","abstract":"Sepsis is a highly heterogeneous disease and a major factor in increasing mortality from infection. N7-Methylguanosine (m7G) is a widely RNA modification in eukaryotes, which involved in regulation of different biological processes. Researchers have found that m7G methylation contributes to a variety of human diseases, but its research in sepsis is still limited. Here, we aim to establish the molecular classification of m7G gene-related sepsis, reveal its heterogeneity and explore the underlying mechanism. We first identified eight m7G related prognostic genes, and identified two different molecular subtypes of sepsis through Consensus Clustering. Among them, the prognosis of C2 subtype is worse than that of C1 subtype. The signal pathways enriched by the two subtypes were analyzed by ssGSEA, and the results showed that the amino acid metabolism activity of C2 subtype was more active than that of C1 subtype. In addition, the difference of immune microenvironment among different subtypes was explored through CIBERSORT algorithm, and the results showed that the contents of macrophages M0 and NK cells activated were significantly increased in C2 subtype, while the content of NK cells resting decreased significantly in C2 subtype. We further explored the relationship between immune regulatory genes and inflammation related genes between C2 subtype and C1 subtype, and found that C2 subtype showed higher expression of immune regulatory genes and inflammation related genes. Finally, we screened the key genes in sepsis by WGCNA analysis, namely NUDT4 and PARN, and verified their expression patterns in sepsis in the datasets GSE131761 and GSE65682. The RT-PCR test further confirmed the increased expression of NUDTA4 in sepsis patients. In conclusion, sepsis clustering based on eight m7G-related genes can well distinguish the heterogeneity of sepsis patients and help guide the personalized treatment of sepsis patients.","container-title":"Frontiers in Genetics","DOI":"10.3389/fgene.2022.1021770","ISSN":"1664-8021","journalAbbreviation":"Front. Genet.","language":"English","note":"publisher: Frontiers","source":"Frontiers","title":"Construction of m7G subtype classification on heterogeneity of sepsis","URL":"https://www.frontiersin.org/journals/genetics/articles/10.3389/fgene.2022.1021770/full","volume":"13","author":[{"family":"Gong","given":"Jinru"},{"family":"Yang","given":"Jiasheng"},{"family":"He","given":"Yaowei"},{"family":"Chen","given":"Xiaoxuan"},{"family":"Yang","given":"Guangyu"},{"family":"Sun","given":"Ruilin"}],"accessed":{"date-parts":[["2025",5,26]]},"issued":{"date-parts":[["2022",11,24]]}}}],"schema":"https://github.com/citation-style-language/schema/raw/master/csl-citation.json"} </w:instrText>
      </w:r>
      <w:r w:rsidR="00B305A8">
        <w:fldChar w:fldCharType="separate"/>
      </w:r>
      <w:r w:rsidR="00C066B7" w:rsidRPr="00C066B7">
        <w:rPr>
          <w:rFonts w:eastAsiaTheme="minorHAnsi"/>
          <w14:ligatures w14:val="standardContextual"/>
        </w:rPr>
        <w:t>(</w:t>
      </w:r>
      <w:r w:rsidR="00C066B7" w:rsidRPr="00C066B7">
        <w:rPr>
          <w:rFonts w:eastAsiaTheme="minorHAnsi"/>
          <w:i/>
          <w:iCs/>
          <w14:ligatures w14:val="standardContextual"/>
        </w:rPr>
        <w:t>28</w:t>
      </w:r>
      <w:r w:rsidR="00C066B7" w:rsidRPr="00C066B7">
        <w:rPr>
          <w:rFonts w:eastAsiaTheme="minorHAnsi"/>
          <w14:ligatures w14:val="standardContextual"/>
        </w:rPr>
        <w:t>)</w:t>
      </w:r>
      <w:r w:rsidR="00B305A8">
        <w:fldChar w:fldCharType="end"/>
      </w:r>
      <w:r w:rsidR="00B305A8">
        <w:t xml:space="preserve">, </w:t>
      </w:r>
      <w:r w:rsidR="00CF18E7">
        <w:t xml:space="preserve">and is correlated with the abundance of various immune cells </w:t>
      </w:r>
      <w:r w:rsidR="00CF18E7">
        <w:fldChar w:fldCharType="begin"/>
      </w:r>
      <w:r w:rsidR="00C066B7">
        <w:instrText xml:space="preserve"> ADDIN ZOTERO_ITEM CSL_CITATION {"citationID":"paT7Spgd","properties":{"formattedCitation":"({\\i{}29})","plainCitation":"(29)","noteIndex":0},"citationItems":[{"id":1159,"uris":["http://zotero.org/users/15902993/items/8KX7ABAB"],"itemData":{"id":1159,"type":"article-journal","container-title":"Heliyon","DOI":"10.1016/j.heliyon.2024.e40870","ISSN":"2405-8440","issue":"1","journalAbbreviation":"Heliyon","language":"English","note":"publisher: Elsevier","source":"www.cell.com","title":"Identification of lethality-related m7G methylation modification patterns and the regulatory features of immune microenvironment in sepsis","URL":"https://www.cell.com/heliyon/abstract/S2405-8440(24)16901-0","volume":"11","author":[{"family":"Wang","given":"Dan"},{"family":"Huo","given":"Rujie"},{"family":"Ye","given":"Lu"}],"accessed":{"date-parts":[["2025",5,26]]},"issued":{"date-parts":[["2025",1,15]]}}}],"schema":"https://github.com/citation-style-language/schema/raw/master/csl-citation.json"} </w:instrText>
      </w:r>
      <w:r w:rsidR="00CF18E7">
        <w:fldChar w:fldCharType="separate"/>
      </w:r>
      <w:r w:rsidR="00C066B7" w:rsidRPr="00C066B7">
        <w:rPr>
          <w:rFonts w:eastAsiaTheme="minorHAnsi"/>
          <w14:ligatures w14:val="standardContextual"/>
        </w:rPr>
        <w:t>(</w:t>
      </w:r>
      <w:r w:rsidR="00C066B7" w:rsidRPr="00C066B7">
        <w:rPr>
          <w:rFonts w:eastAsiaTheme="minorHAnsi"/>
          <w:i/>
          <w:iCs/>
          <w14:ligatures w14:val="standardContextual"/>
        </w:rPr>
        <w:t>29</w:t>
      </w:r>
      <w:r w:rsidR="00C066B7" w:rsidRPr="00C066B7">
        <w:rPr>
          <w:rFonts w:eastAsiaTheme="minorHAnsi"/>
          <w14:ligatures w14:val="standardContextual"/>
        </w:rPr>
        <w:t>)</w:t>
      </w:r>
      <w:r w:rsidR="00CF18E7">
        <w:fldChar w:fldCharType="end"/>
      </w:r>
      <w:r w:rsidR="00CF18E7">
        <w:t xml:space="preserve">, and is also upregulated during erythropoiesis </w:t>
      </w:r>
      <w:r w:rsidR="00CF18E7">
        <w:fldChar w:fldCharType="begin"/>
      </w:r>
      <w:r w:rsidR="00C066B7">
        <w:instrText xml:space="preserve"> ADDIN ZOTERO_ITEM CSL_CITATION {"citationID":"kR4Ux1OY","properties":{"formattedCitation":"({\\i{}30})","plainCitation":"(30)","noteIndex":0},"citationItems":[{"id":1161,"uris":["http://zotero.org/users/15902993/items/YSHJ9P6P"],"itemData":{"id":1161,"type":"article-journal","abstract":"Erythroid differentiation is a dynamic and complex process in which a pluripotent stem cell undergoes a series of developmental changes that commit it to a specific lineage. These alterations involve changes in gene expression profiles. Extensive studies have led to a considerable understanding of the cellular and molecular control of hemoglobin production during red blood cell differentiation, however, a complete understanding of human erythropoiesis will require a robust description of the entire transcriptome of these cells during differentiation. From a global point of view of cell metabolic regulation, where genomic information could be complemented with gene expression, the use of methods that enable quantification of the entire transcriptome of the red blood cell during differentiation is of great importance. In this study, the gene expression profiles during differentiation of Human erythroid cells of a normal blood donor in a two-phase liquid culture (Fibach &amp;amp; Rachmilewitz, 1993) were evaluated using Serial analysis of gene expression (SAGE). Global gene expression was evaluated in cells collected immediately before the addition of erythropoeitin (0 hour) and 192 and 336 hours after the addition of this hormone. We generated a total of 30512 tags at 0h, 30117 tags at 192h and 30189 tags at 336h, representing 12026, 11709 and 11337 unique tags, respectively. In the 0h library, a high expression of ferritin genes and CD74 antigen gene was observed. As expected, the expression of globin genes started during intermediate stages of differentiation (predominantly basophilic erythroblasts) and were the most expressed genes at the end of the culture (predominantly orthocromatic erythroblasts). Ribosomal genes were the most expressed genes at 192 hours, indicating an increase in protein synthesis. To identify the genes that were differentially expressed between the libraries, a P value &amp;lt; 0.01 and fold ≥ 5 were considered as statistically significant. In the comparison of the 0h and 192h libraries, 179 differentially expressed transcripts were identified. From these genes, in addition to the globin genes, we found an up-regulation of several genes related to protein binding (LXN, GSTM3, and TRIP6), transcription factor (GATA-1), hydrolase activity (TPSAB1), ion transport (SLC12A9) and regulation of apoptosis (PRDX2). Comparing the 192h and 336h libraries, 103 differentially expressed transcripts were identified. The up-regulated genes were generally related to hemoglobin synthesis, such as ALAS2, involved in the biosynthesis of the heme group or related to intracellular transport such as MSCP and NUDT4 and cell differentiation such as GDF15. The transcription of some of these genes, such as SLC12A9, TRB3, EYA3 and TWIST2 are described for the first time during erythroid differentiation. The results indicated that the global aspects of the transcriptome were similar during differentiation for the majority of the genes and that probably a relative small set of genes is involved in the modification of erythroid cells during differentiation. The results of this study amplify the previous published data (Komor et al, 2005) and may contribute to the comprehension of erythroid differentiation and identification of new target genes involved in some erythroid diseases.","container-title":"Blood","DOI":"10.1182/blood.V110.11.4074.4074","ISSN":"0006-4971","issue":"11","journalAbbreviation":"Blood","page":"4074","source":"Silverchair","title":"Global Gene Expression Revealed a Set of Genes Involved in the Modification of Cells during Erythropoiesis.","volume":"110","author":[{"family":"Cunha","given":"Anderson F."},{"family":"Brugnerotto","given":"Ana F."},{"family":"Duarte","given":"Adriana S.S."},{"family":"Costa","given":"Gustavo G.L."},{"family":"Saad","given":"Sara T.O."},{"family":"Costa","given":"Fernando F."}],"issued":{"date-parts":[["2007",11,16]]}}}],"schema":"https://github.com/citation-style-language/schema/raw/master/csl-citation.json"} </w:instrText>
      </w:r>
      <w:r w:rsidR="00CF18E7">
        <w:fldChar w:fldCharType="separate"/>
      </w:r>
      <w:r w:rsidR="00C066B7" w:rsidRPr="00C066B7">
        <w:rPr>
          <w:rFonts w:eastAsiaTheme="minorHAnsi"/>
          <w14:ligatures w14:val="standardContextual"/>
        </w:rPr>
        <w:t>(</w:t>
      </w:r>
      <w:r w:rsidR="00C066B7" w:rsidRPr="00C066B7">
        <w:rPr>
          <w:rFonts w:eastAsiaTheme="minorHAnsi"/>
          <w:i/>
          <w:iCs/>
          <w14:ligatures w14:val="standardContextual"/>
        </w:rPr>
        <w:t>30</w:t>
      </w:r>
      <w:r w:rsidR="00C066B7" w:rsidRPr="00C066B7">
        <w:rPr>
          <w:rFonts w:eastAsiaTheme="minorHAnsi"/>
          <w14:ligatures w14:val="standardContextual"/>
        </w:rPr>
        <w:t>)</w:t>
      </w:r>
      <w:r w:rsidR="00CF18E7">
        <w:fldChar w:fldCharType="end"/>
      </w:r>
      <w:r w:rsidR="00CF18E7">
        <w:t>.</w:t>
      </w:r>
      <w:r w:rsidR="00BE0412">
        <w:t xml:space="preserve"> We identified CpG sites with relatively high F</w:t>
      </w:r>
      <w:r w:rsidR="00BE0412" w:rsidRPr="00BE0412">
        <w:rPr>
          <w:vertAlign w:val="subscript"/>
        </w:rPr>
        <w:t>ST</w:t>
      </w:r>
      <w:r w:rsidR="00BE0412">
        <w:t xml:space="preserve"> values within the intronic regions of each of the three genes in each of the three species (Supplementary Table XXX). </w:t>
      </w:r>
      <w:r w:rsidR="00993CAA">
        <w:t xml:space="preserve">All CpG sites in </w:t>
      </w:r>
      <w:r w:rsidR="00993CAA" w:rsidRPr="00141FA8">
        <w:rPr>
          <w:i/>
          <w:iCs/>
        </w:rPr>
        <w:t>NUDT4</w:t>
      </w:r>
      <w:r w:rsidR="00993CAA">
        <w:t xml:space="preserve"> decreased in frequency following invasion of the vampire fly, while CpG sites in </w:t>
      </w:r>
      <w:r w:rsidR="00993CAA" w:rsidRPr="00141FA8">
        <w:rPr>
          <w:i/>
          <w:iCs/>
        </w:rPr>
        <w:t>BMPER</w:t>
      </w:r>
      <w:r w:rsidR="00993CAA">
        <w:t xml:space="preserve"> and </w:t>
      </w:r>
      <w:r w:rsidR="00993CAA" w:rsidRPr="00141FA8">
        <w:rPr>
          <w:i/>
          <w:iCs/>
        </w:rPr>
        <w:t>TENM3</w:t>
      </w:r>
      <w:r w:rsidR="00993CAA">
        <w:t xml:space="preserve"> decreased for the small tree finch, increased for the vegetarian finch, and both increased and decreased for the medium ground finch </w:t>
      </w:r>
      <w:r w:rsidR="00CB5036">
        <w:t xml:space="preserve">(Figure </w:t>
      </w:r>
      <w:r w:rsidR="00993CAA">
        <w:t>2</w:t>
      </w:r>
      <w:r w:rsidR="00CB5036">
        <w:t>)</w:t>
      </w:r>
      <w:r w:rsidR="00BE0412">
        <w:t xml:space="preserve">. In the small tree finch, we also identified a CpG site within the 5’-UTR of </w:t>
      </w:r>
      <w:r w:rsidR="00BE0412" w:rsidRPr="00141FA8">
        <w:rPr>
          <w:i/>
          <w:iCs/>
        </w:rPr>
        <w:t>NUDT4</w:t>
      </w:r>
      <w:r w:rsidR="00BE0412">
        <w:t xml:space="preserve"> that decreased from a frequency of 0.4 to 0 in the post-invasion samples.</w:t>
      </w:r>
      <w:r w:rsidR="00993CAA">
        <w:t xml:space="preserve"> These results demonstrate evidence of selection for and against various regulatory sites, with species specific trends.</w:t>
      </w:r>
    </w:p>
    <w:p w14:paraId="6F1DA7A0" w14:textId="7F1AE308" w:rsidR="008D4415" w:rsidRDefault="005D7919" w:rsidP="00C066B7">
      <w:pPr>
        <w:spacing w:after="160" w:line="278" w:lineRule="auto"/>
        <w:ind w:firstLine="720"/>
      </w:pPr>
      <w:r w:rsidRPr="005D7919">
        <w:t xml:space="preserve">We </w:t>
      </w:r>
      <w:r>
        <w:t>document evidence of selection in response to a novel parasite in</w:t>
      </w:r>
      <w:r w:rsidR="00AA718D">
        <w:t xml:space="preserve"> </w:t>
      </w:r>
      <w:r>
        <w:t>the vegetarian finch</w:t>
      </w:r>
      <w:r w:rsidR="00AA718D">
        <w:t>,</w:t>
      </w:r>
      <w:r>
        <w:t xml:space="preserve"> the only taxa in the clade that does not experience high costs associated with parasitism by the vampire fly. Our </w:t>
      </w:r>
      <w:r w:rsidR="00AA718D">
        <w:t>results</w:t>
      </w:r>
      <w:r>
        <w:t xml:space="preserve"> </w:t>
      </w:r>
      <w:r w:rsidR="00AA718D">
        <w:t>show</w:t>
      </w:r>
      <w:r>
        <w:t xml:space="preserve"> that this tolerance evolved through selection on</w:t>
      </w:r>
      <w:r w:rsidR="00FD2025">
        <w:t xml:space="preserve"> standing variation in regulatory regions of </w:t>
      </w:r>
      <w:r>
        <w:t xml:space="preserve">angiogenesis and </w:t>
      </w:r>
      <w:r w:rsidR="00FD2025">
        <w:t xml:space="preserve">clotting genes. </w:t>
      </w:r>
      <w:r w:rsidR="00AA718D">
        <w:t>Across all three species studied, w</w:t>
      </w:r>
      <w:r w:rsidR="00C066B7">
        <w:t>e also document evidence of selection on three genes involved in blood clotting, craniofacial and dermis development, and immune function especially as it relates to sepsis. These findings suggest that fitness reductions are driven by blood loss, tissue damage, and a costly immune response that depletes the limited resources of developing nestlings.</w:t>
      </w:r>
    </w:p>
    <w:p w14:paraId="4FD53AB7" w14:textId="77777777" w:rsidR="00FD2025" w:rsidRDefault="00FD2025" w:rsidP="00FD2025">
      <w:pPr>
        <w:spacing w:after="160" w:line="278" w:lineRule="auto"/>
        <w:rPr>
          <w:u w:val="single"/>
        </w:rPr>
      </w:pPr>
    </w:p>
    <w:p w14:paraId="781C8D19" w14:textId="2E25807B" w:rsidR="00BE5998" w:rsidRPr="00AE2530" w:rsidRDefault="00BE5998" w:rsidP="00AE2530">
      <w:pPr>
        <w:spacing w:after="160" w:line="278" w:lineRule="auto"/>
        <w:ind w:firstLine="720"/>
      </w:pPr>
      <w:r>
        <w:rPr>
          <w:b/>
          <w:bCs/>
          <w:u w:val="single"/>
        </w:rPr>
        <w:br w:type="page"/>
      </w:r>
    </w:p>
    <w:p w14:paraId="537E0D88" w14:textId="0A84C79E" w:rsidR="00BE5998" w:rsidRPr="006D17DF" w:rsidRDefault="00BE5998" w:rsidP="00BE5998">
      <w:pPr>
        <w:spacing w:after="160" w:line="278" w:lineRule="auto"/>
      </w:pPr>
      <w:r w:rsidRPr="00BE5998">
        <w:rPr>
          <w:b/>
          <w:bCs/>
          <w:u w:val="single"/>
        </w:rPr>
        <w:lastRenderedPageBreak/>
        <w:t xml:space="preserve">Table </w:t>
      </w:r>
      <w:r w:rsidR="00EC3101">
        <w:rPr>
          <w:b/>
          <w:bCs/>
          <w:u w:val="single"/>
        </w:rPr>
        <w:t>1</w:t>
      </w:r>
      <w:r w:rsidRPr="00BE5998">
        <w:rPr>
          <w:b/>
          <w:bCs/>
          <w:u w:val="single"/>
        </w:rPr>
        <w:t>:</w:t>
      </w:r>
      <w:r w:rsidR="006D17DF" w:rsidRPr="006D17DF">
        <w:rPr>
          <w:b/>
          <w:bCs/>
        </w:rPr>
        <w:t xml:space="preserve"> </w:t>
      </w:r>
      <w:r w:rsidR="006D17DF">
        <w:t>Counts of individuals sequenced and population genetic statistics that compare pre- and post-invasion sequences.</w:t>
      </w:r>
    </w:p>
    <w:tbl>
      <w:tblPr>
        <w:tblStyle w:val="TableGrid"/>
        <w:tblW w:w="9355" w:type="dxa"/>
        <w:tblBorders>
          <w:left w:val="none" w:sz="0" w:space="0" w:color="auto"/>
          <w:right w:val="none" w:sz="0" w:space="0" w:color="auto"/>
          <w:insideV w:val="none" w:sz="0" w:space="0" w:color="auto"/>
        </w:tblBorders>
        <w:tblLook w:val="04A0" w:firstRow="1" w:lastRow="0" w:firstColumn="1" w:lastColumn="0" w:noHBand="0" w:noVBand="1"/>
      </w:tblPr>
      <w:tblGrid>
        <w:gridCol w:w="1771"/>
        <w:gridCol w:w="1670"/>
        <w:gridCol w:w="1930"/>
        <w:gridCol w:w="1979"/>
        <w:gridCol w:w="756"/>
        <w:gridCol w:w="1249"/>
      </w:tblGrid>
      <w:tr w:rsidR="00EC3101" w14:paraId="0D1E61AA" w14:textId="77777777" w:rsidTr="006D17DF">
        <w:tc>
          <w:tcPr>
            <w:tcW w:w="1771" w:type="dxa"/>
          </w:tcPr>
          <w:p w14:paraId="70D669BD" w14:textId="6459527F" w:rsidR="00EC3101" w:rsidRPr="006D17DF" w:rsidRDefault="00EC3101" w:rsidP="00EC3101">
            <w:pPr>
              <w:rPr>
                <w:b/>
                <w:bCs/>
                <w:sz w:val="20"/>
                <w:szCs w:val="20"/>
              </w:rPr>
            </w:pPr>
            <w:r w:rsidRPr="006D17DF">
              <w:rPr>
                <w:b/>
                <w:bCs/>
                <w:sz w:val="20"/>
                <w:szCs w:val="20"/>
              </w:rPr>
              <w:t>Common name</w:t>
            </w:r>
          </w:p>
        </w:tc>
        <w:tc>
          <w:tcPr>
            <w:tcW w:w="1670" w:type="dxa"/>
          </w:tcPr>
          <w:p w14:paraId="1F23B3D1" w14:textId="23E18272" w:rsidR="00EC3101" w:rsidRPr="006D17DF" w:rsidRDefault="00EC3101" w:rsidP="00EC3101">
            <w:pPr>
              <w:rPr>
                <w:b/>
                <w:bCs/>
                <w:sz w:val="20"/>
                <w:szCs w:val="20"/>
              </w:rPr>
            </w:pPr>
            <w:r w:rsidRPr="006D17DF">
              <w:rPr>
                <w:b/>
                <w:bCs/>
                <w:sz w:val="20"/>
                <w:szCs w:val="20"/>
              </w:rPr>
              <w:t>Species</w:t>
            </w:r>
          </w:p>
        </w:tc>
        <w:tc>
          <w:tcPr>
            <w:tcW w:w="1930" w:type="dxa"/>
          </w:tcPr>
          <w:p w14:paraId="21445C68" w14:textId="65BF1023" w:rsidR="00EC3101" w:rsidRPr="006D17DF" w:rsidRDefault="00EC3101" w:rsidP="00EC3101">
            <w:pPr>
              <w:rPr>
                <w:b/>
                <w:bCs/>
                <w:sz w:val="20"/>
                <w:szCs w:val="20"/>
              </w:rPr>
            </w:pPr>
            <w:r w:rsidRPr="006D17DF">
              <w:rPr>
                <w:b/>
                <w:bCs/>
                <w:sz w:val="20"/>
                <w:szCs w:val="20"/>
              </w:rPr>
              <w:t>N</w:t>
            </w:r>
            <w:r w:rsidR="006D17DF" w:rsidRPr="006D17DF">
              <w:rPr>
                <w:b/>
                <w:bCs/>
                <w:sz w:val="20"/>
                <w:szCs w:val="20"/>
              </w:rPr>
              <w:t>o.</w:t>
            </w:r>
            <w:r w:rsidR="00945590" w:rsidRPr="006D17DF">
              <w:rPr>
                <w:b/>
                <w:bCs/>
                <w:i/>
                <w:iCs/>
                <w:sz w:val="20"/>
                <w:szCs w:val="20"/>
              </w:rPr>
              <w:t xml:space="preserve"> </w:t>
            </w:r>
            <w:r w:rsidR="006D17DF">
              <w:rPr>
                <w:b/>
                <w:bCs/>
                <w:sz w:val="20"/>
                <w:szCs w:val="20"/>
              </w:rPr>
              <w:t>p</w:t>
            </w:r>
            <w:r w:rsidRPr="006D17DF">
              <w:rPr>
                <w:b/>
                <w:bCs/>
                <w:sz w:val="20"/>
                <w:szCs w:val="20"/>
              </w:rPr>
              <w:t xml:space="preserve">re-invasion </w:t>
            </w:r>
          </w:p>
        </w:tc>
        <w:tc>
          <w:tcPr>
            <w:tcW w:w="1979" w:type="dxa"/>
          </w:tcPr>
          <w:p w14:paraId="57FA2B2C" w14:textId="2D9DA3B8" w:rsidR="00EC3101" w:rsidRPr="006D17DF" w:rsidRDefault="00EC3101" w:rsidP="00EC3101">
            <w:pPr>
              <w:rPr>
                <w:b/>
                <w:bCs/>
                <w:sz w:val="20"/>
                <w:szCs w:val="20"/>
              </w:rPr>
            </w:pPr>
            <w:r w:rsidRPr="006D17DF">
              <w:rPr>
                <w:b/>
                <w:bCs/>
                <w:sz w:val="20"/>
                <w:szCs w:val="20"/>
              </w:rPr>
              <w:t>N</w:t>
            </w:r>
            <w:r w:rsidR="006D17DF" w:rsidRPr="006D17DF">
              <w:rPr>
                <w:b/>
                <w:bCs/>
                <w:sz w:val="20"/>
                <w:szCs w:val="20"/>
              </w:rPr>
              <w:t>o.</w:t>
            </w:r>
            <w:r w:rsidR="00945590" w:rsidRPr="006D17DF">
              <w:rPr>
                <w:b/>
                <w:bCs/>
                <w:sz w:val="20"/>
                <w:szCs w:val="20"/>
              </w:rPr>
              <w:t xml:space="preserve"> </w:t>
            </w:r>
            <w:r w:rsidR="006D17DF" w:rsidRPr="006D17DF">
              <w:rPr>
                <w:b/>
                <w:bCs/>
                <w:sz w:val="20"/>
                <w:szCs w:val="20"/>
              </w:rPr>
              <w:t>post-invasion</w:t>
            </w:r>
            <w:r w:rsidRPr="006D17DF">
              <w:rPr>
                <w:b/>
                <w:bCs/>
                <w:sz w:val="20"/>
                <w:szCs w:val="20"/>
              </w:rPr>
              <w:t xml:space="preserve"> </w:t>
            </w:r>
          </w:p>
        </w:tc>
        <w:tc>
          <w:tcPr>
            <w:tcW w:w="756" w:type="dxa"/>
          </w:tcPr>
          <w:p w14:paraId="6CA363DB" w14:textId="456BE9EE" w:rsidR="00EC3101" w:rsidRPr="006D17DF" w:rsidRDefault="00EC3101" w:rsidP="00EC3101">
            <w:pPr>
              <w:rPr>
                <w:b/>
                <w:bCs/>
                <w:sz w:val="20"/>
                <w:szCs w:val="20"/>
              </w:rPr>
            </w:pPr>
            <w:r w:rsidRPr="006D17DF">
              <w:rPr>
                <w:b/>
                <w:bCs/>
                <w:sz w:val="20"/>
                <w:szCs w:val="20"/>
              </w:rPr>
              <w:t>F</w:t>
            </w:r>
            <w:r w:rsidRPr="006D17DF">
              <w:rPr>
                <w:b/>
                <w:bCs/>
                <w:sz w:val="20"/>
                <w:szCs w:val="20"/>
                <w:vertAlign w:val="subscript"/>
              </w:rPr>
              <w:t>ST</w:t>
            </w:r>
          </w:p>
        </w:tc>
        <w:tc>
          <w:tcPr>
            <w:tcW w:w="1249" w:type="dxa"/>
          </w:tcPr>
          <w:p w14:paraId="533AAD7C" w14:textId="77777777" w:rsidR="00EC3101" w:rsidRPr="006D17DF" w:rsidRDefault="00EC3101" w:rsidP="00EC3101">
            <w:pPr>
              <w:rPr>
                <w:b/>
                <w:bCs/>
                <w:sz w:val="20"/>
                <w:szCs w:val="20"/>
              </w:rPr>
            </w:pPr>
            <w:r w:rsidRPr="006D17DF">
              <w:rPr>
                <w:b/>
                <w:bCs/>
                <w:sz w:val="20"/>
                <w:szCs w:val="20"/>
              </w:rPr>
              <w:t>∆Tajima</w:t>
            </w:r>
          </w:p>
        </w:tc>
      </w:tr>
      <w:tr w:rsidR="00EC3101" w14:paraId="22FABAF5" w14:textId="77777777" w:rsidTr="006D17DF">
        <w:tc>
          <w:tcPr>
            <w:tcW w:w="1771" w:type="dxa"/>
          </w:tcPr>
          <w:p w14:paraId="619574A6" w14:textId="77777777" w:rsidR="00EC3101" w:rsidRPr="006D17DF" w:rsidRDefault="00EC3101" w:rsidP="00EC3101">
            <w:pPr>
              <w:rPr>
                <w:sz w:val="20"/>
                <w:szCs w:val="20"/>
              </w:rPr>
            </w:pPr>
            <w:r w:rsidRPr="006D17DF">
              <w:rPr>
                <w:sz w:val="20"/>
                <w:szCs w:val="20"/>
              </w:rPr>
              <w:t>Vegetarian finch</w:t>
            </w:r>
          </w:p>
        </w:tc>
        <w:tc>
          <w:tcPr>
            <w:tcW w:w="1670" w:type="dxa"/>
          </w:tcPr>
          <w:p w14:paraId="6056C272" w14:textId="65F85946" w:rsidR="00EC3101" w:rsidRPr="006D17DF" w:rsidRDefault="00EC3101" w:rsidP="00EC3101">
            <w:pPr>
              <w:rPr>
                <w:i/>
                <w:iCs/>
                <w:sz w:val="20"/>
                <w:szCs w:val="20"/>
              </w:rPr>
            </w:pPr>
            <w:r w:rsidRPr="006D17DF">
              <w:rPr>
                <w:i/>
                <w:iCs/>
                <w:sz w:val="20"/>
                <w:szCs w:val="20"/>
              </w:rPr>
              <w:t xml:space="preserve">Platyspiza </w:t>
            </w:r>
            <w:proofErr w:type="spellStart"/>
            <w:r w:rsidRPr="006D17DF">
              <w:rPr>
                <w:i/>
                <w:iCs/>
                <w:sz w:val="20"/>
                <w:szCs w:val="20"/>
              </w:rPr>
              <w:t>crassirostris</w:t>
            </w:r>
            <w:proofErr w:type="spellEnd"/>
            <w:r w:rsidRPr="006D17DF">
              <w:rPr>
                <w:i/>
                <w:iCs/>
                <w:sz w:val="20"/>
                <w:szCs w:val="20"/>
              </w:rPr>
              <w:t xml:space="preserve"> </w:t>
            </w:r>
          </w:p>
        </w:tc>
        <w:tc>
          <w:tcPr>
            <w:tcW w:w="1930" w:type="dxa"/>
          </w:tcPr>
          <w:p w14:paraId="64C8143F" w14:textId="4C15038E" w:rsidR="00EC3101" w:rsidRPr="006D17DF" w:rsidRDefault="00EC3101" w:rsidP="00EC3101">
            <w:pPr>
              <w:rPr>
                <w:sz w:val="20"/>
                <w:szCs w:val="20"/>
              </w:rPr>
            </w:pPr>
            <w:r w:rsidRPr="006D17DF">
              <w:rPr>
                <w:sz w:val="20"/>
                <w:szCs w:val="20"/>
              </w:rPr>
              <w:t>5</w:t>
            </w:r>
          </w:p>
        </w:tc>
        <w:tc>
          <w:tcPr>
            <w:tcW w:w="1979" w:type="dxa"/>
          </w:tcPr>
          <w:p w14:paraId="30102A99" w14:textId="5D362BB0" w:rsidR="00EC3101" w:rsidRPr="006D17DF" w:rsidRDefault="00EC3101" w:rsidP="00EC3101">
            <w:pPr>
              <w:rPr>
                <w:sz w:val="20"/>
                <w:szCs w:val="20"/>
              </w:rPr>
            </w:pPr>
            <w:r w:rsidRPr="006D17DF">
              <w:rPr>
                <w:sz w:val="20"/>
                <w:szCs w:val="20"/>
              </w:rPr>
              <w:t>9</w:t>
            </w:r>
          </w:p>
        </w:tc>
        <w:tc>
          <w:tcPr>
            <w:tcW w:w="756" w:type="dxa"/>
          </w:tcPr>
          <w:p w14:paraId="3DA8DF7E" w14:textId="33571D6A" w:rsidR="00EC3101" w:rsidRPr="006D17DF" w:rsidRDefault="00EC3101" w:rsidP="00EC3101">
            <w:pPr>
              <w:rPr>
                <w:sz w:val="20"/>
                <w:szCs w:val="20"/>
              </w:rPr>
            </w:pPr>
            <w:r w:rsidRPr="006D17DF">
              <w:rPr>
                <w:sz w:val="20"/>
                <w:szCs w:val="20"/>
              </w:rPr>
              <w:t>0.038</w:t>
            </w:r>
          </w:p>
        </w:tc>
        <w:tc>
          <w:tcPr>
            <w:tcW w:w="1249" w:type="dxa"/>
          </w:tcPr>
          <w:p w14:paraId="1292C0CA" w14:textId="77777777" w:rsidR="00EC3101" w:rsidRPr="006D17DF" w:rsidRDefault="00EC3101" w:rsidP="00EC3101">
            <w:pPr>
              <w:rPr>
                <w:sz w:val="20"/>
                <w:szCs w:val="20"/>
              </w:rPr>
            </w:pPr>
            <w:r w:rsidRPr="006D17DF">
              <w:rPr>
                <w:sz w:val="20"/>
                <w:szCs w:val="20"/>
              </w:rPr>
              <w:t>0.338</w:t>
            </w:r>
          </w:p>
        </w:tc>
      </w:tr>
      <w:tr w:rsidR="00EC3101" w14:paraId="727D4CA3" w14:textId="77777777" w:rsidTr="006D17DF">
        <w:tc>
          <w:tcPr>
            <w:tcW w:w="1771" w:type="dxa"/>
          </w:tcPr>
          <w:p w14:paraId="07E31DFA" w14:textId="77777777" w:rsidR="00EC3101" w:rsidRPr="006D17DF" w:rsidRDefault="00EC3101" w:rsidP="00EC3101">
            <w:pPr>
              <w:rPr>
                <w:sz w:val="20"/>
                <w:szCs w:val="20"/>
              </w:rPr>
            </w:pPr>
            <w:r w:rsidRPr="006D17DF">
              <w:rPr>
                <w:sz w:val="20"/>
                <w:szCs w:val="20"/>
              </w:rPr>
              <w:t>M. ground finch</w:t>
            </w:r>
          </w:p>
        </w:tc>
        <w:tc>
          <w:tcPr>
            <w:tcW w:w="1670" w:type="dxa"/>
          </w:tcPr>
          <w:p w14:paraId="5AB97B61" w14:textId="2A088B76" w:rsidR="00EC3101" w:rsidRPr="006D17DF" w:rsidRDefault="00EC3101" w:rsidP="00EC3101">
            <w:pPr>
              <w:rPr>
                <w:i/>
                <w:iCs/>
                <w:sz w:val="20"/>
                <w:szCs w:val="20"/>
              </w:rPr>
            </w:pPr>
            <w:r w:rsidRPr="006D17DF">
              <w:rPr>
                <w:i/>
                <w:iCs/>
                <w:sz w:val="20"/>
                <w:szCs w:val="20"/>
              </w:rPr>
              <w:t>Geospiza fortis</w:t>
            </w:r>
          </w:p>
        </w:tc>
        <w:tc>
          <w:tcPr>
            <w:tcW w:w="1930" w:type="dxa"/>
          </w:tcPr>
          <w:p w14:paraId="077AABD4" w14:textId="0CA0020C" w:rsidR="00EC3101" w:rsidRPr="006D17DF" w:rsidRDefault="00EC3101" w:rsidP="00EC3101">
            <w:pPr>
              <w:rPr>
                <w:sz w:val="20"/>
                <w:szCs w:val="20"/>
              </w:rPr>
            </w:pPr>
            <w:r w:rsidRPr="006D17DF">
              <w:rPr>
                <w:sz w:val="20"/>
                <w:szCs w:val="20"/>
              </w:rPr>
              <w:t>10</w:t>
            </w:r>
          </w:p>
        </w:tc>
        <w:tc>
          <w:tcPr>
            <w:tcW w:w="1979" w:type="dxa"/>
          </w:tcPr>
          <w:p w14:paraId="480309C9" w14:textId="717B3B42" w:rsidR="00EC3101" w:rsidRPr="006D17DF" w:rsidRDefault="00EC3101" w:rsidP="00EC3101">
            <w:pPr>
              <w:rPr>
                <w:sz w:val="20"/>
                <w:szCs w:val="20"/>
              </w:rPr>
            </w:pPr>
            <w:r w:rsidRPr="006D17DF">
              <w:rPr>
                <w:sz w:val="20"/>
                <w:szCs w:val="20"/>
              </w:rPr>
              <w:t>8</w:t>
            </w:r>
          </w:p>
        </w:tc>
        <w:tc>
          <w:tcPr>
            <w:tcW w:w="756" w:type="dxa"/>
          </w:tcPr>
          <w:p w14:paraId="2F01B28C" w14:textId="773F072C" w:rsidR="00EC3101" w:rsidRPr="006D17DF" w:rsidRDefault="00EC3101" w:rsidP="00EC3101">
            <w:pPr>
              <w:rPr>
                <w:sz w:val="20"/>
                <w:szCs w:val="20"/>
              </w:rPr>
            </w:pPr>
            <w:r w:rsidRPr="006D17DF">
              <w:rPr>
                <w:sz w:val="20"/>
                <w:szCs w:val="20"/>
              </w:rPr>
              <w:t>0.031</w:t>
            </w:r>
          </w:p>
        </w:tc>
        <w:tc>
          <w:tcPr>
            <w:tcW w:w="1249" w:type="dxa"/>
          </w:tcPr>
          <w:p w14:paraId="6F2B7D92" w14:textId="77777777" w:rsidR="00EC3101" w:rsidRPr="006D17DF" w:rsidRDefault="00EC3101" w:rsidP="00EC3101">
            <w:pPr>
              <w:rPr>
                <w:sz w:val="20"/>
                <w:szCs w:val="20"/>
              </w:rPr>
            </w:pPr>
            <w:r w:rsidRPr="006D17DF">
              <w:rPr>
                <w:sz w:val="20"/>
                <w:szCs w:val="20"/>
              </w:rPr>
              <w:t>-0.176</w:t>
            </w:r>
          </w:p>
        </w:tc>
      </w:tr>
      <w:tr w:rsidR="00EC3101" w14:paraId="7DEA8336" w14:textId="77777777" w:rsidTr="006D17DF">
        <w:tc>
          <w:tcPr>
            <w:tcW w:w="1771" w:type="dxa"/>
          </w:tcPr>
          <w:p w14:paraId="4BF1FA22" w14:textId="77777777" w:rsidR="00EC3101" w:rsidRPr="006D17DF" w:rsidRDefault="00EC3101" w:rsidP="00EC3101">
            <w:pPr>
              <w:rPr>
                <w:sz w:val="20"/>
                <w:szCs w:val="20"/>
              </w:rPr>
            </w:pPr>
            <w:r w:rsidRPr="006D17DF">
              <w:rPr>
                <w:sz w:val="20"/>
                <w:szCs w:val="20"/>
              </w:rPr>
              <w:t>S. tree finch</w:t>
            </w:r>
          </w:p>
        </w:tc>
        <w:tc>
          <w:tcPr>
            <w:tcW w:w="1670" w:type="dxa"/>
          </w:tcPr>
          <w:p w14:paraId="7952AAD3" w14:textId="231ABAFC" w:rsidR="00EC3101" w:rsidRPr="006D17DF" w:rsidRDefault="00EC3101" w:rsidP="00EC3101">
            <w:pPr>
              <w:rPr>
                <w:i/>
                <w:iCs/>
                <w:sz w:val="20"/>
                <w:szCs w:val="20"/>
              </w:rPr>
            </w:pPr>
            <w:proofErr w:type="spellStart"/>
            <w:r w:rsidRPr="006D17DF">
              <w:rPr>
                <w:i/>
                <w:iCs/>
                <w:sz w:val="20"/>
                <w:szCs w:val="20"/>
              </w:rPr>
              <w:t>Camarhynchus</w:t>
            </w:r>
            <w:proofErr w:type="spellEnd"/>
            <w:r w:rsidRPr="006D17DF">
              <w:rPr>
                <w:i/>
                <w:iCs/>
                <w:sz w:val="20"/>
                <w:szCs w:val="20"/>
              </w:rPr>
              <w:t xml:space="preserve"> </w:t>
            </w:r>
            <w:proofErr w:type="spellStart"/>
            <w:r w:rsidRPr="006D17DF">
              <w:rPr>
                <w:i/>
                <w:iCs/>
                <w:sz w:val="20"/>
                <w:szCs w:val="20"/>
              </w:rPr>
              <w:t>parvulus</w:t>
            </w:r>
            <w:proofErr w:type="spellEnd"/>
          </w:p>
        </w:tc>
        <w:tc>
          <w:tcPr>
            <w:tcW w:w="1930" w:type="dxa"/>
          </w:tcPr>
          <w:p w14:paraId="19E2C039" w14:textId="417B3983" w:rsidR="00EC3101" w:rsidRPr="006D17DF" w:rsidRDefault="00EC3101" w:rsidP="00EC3101">
            <w:pPr>
              <w:rPr>
                <w:sz w:val="20"/>
                <w:szCs w:val="20"/>
              </w:rPr>
            </w:pPr>
            <w:r w:rsidRPr="006D17DF">
              <w:rPr>
                <w:sz w:val="20"/>
                <w:szCs w:val="20"/>
              </w:rPr>
              <w:t>12</w:t>
            </w:r>
          </w:p>
        </w:tc>
        <w:tc>
          <w:tcPr>
            <w:tcW w:w="1979" w:type="dxa"/>
          </w:tcPr>
          <w:p w14:paraId="5AD764A0" w14:textId="175ECD1D" w:rsidR="00EC3101" w:rsidRPr="006D17DF" w:rsidRDefault="00EC3101" w:rsidP="00EC3101">
            <w:pPr>
              <w:rPr>
                <w:sz w:val="20"/>
                <w:szCs w:val="20"/>
              </w:rPr>
            </w:pPr>
            <w:r w:rsidRPr="006D17DF">
              <w:rPr>
                <w:sz w:val="20"/>
                <w:szCs w:val="20"/>
              </w:rPr>
              <w:t>7</w:t>
            </w:r>
          </w:p>
        </w:tc>
        <w:tc>
          <w:tcPr>
            <w:tcW w:w="756" w:type="dxa"/>
          </w:tcPr>
          <w:p w14:paraId="1D15BA01" w14:textId="379B45F4" w:rsidR="00EC3101" w:rsidRPr="006D17DF" w:rsidRDefault="00EC3101" w:rsidP="00EC3101">
            <w:pPr>
              <w:rPr>
                <w:sz w:val="20"/>
                <w:szCs w:val="20"/>
              </w:rPr>
            </w:pPr>
            <w:r w:rsidRPr="006D17DF">
              <w:rPr>
                <w:sz w:val="20"/>
                <w:szCs w:val="20"/>
              </w:rPr>
              <w:t>0.029</w:t>
            </w:r>
          </w:p>
        </w:tc>
        <w:tc>
          <w:tcPr>
            <w:tcW w:w="1249" w:type="dxa"/>
          </w:tcPr>
          <w:p w14:paraId="658D6F0F" w14:textId="77777777" w:rsidR="00EC3101" w:rsidRPr="006D17DF" w:rsidRDefault="00EC3101" w:rsidP="00EC3101">
            <w:pPr>
              <w:rPr>
                <w:sz w:val="20"/>
                <w:szCs w:val="20"/>
              </w:rPr>
            </w:pPr>
            <w:r w:rsidRPr="006D17DF">
              <w:rPr>
                <w:sz w:val="20"/>
                <w:szCs w:val="20"/>
              </w:rPr>
              <w:t>-0.173</w:t>
            </w:r>
          </w:p>
        </w:tc>
      </w:tr>
    </w:tbl>
    <w:p w14:paraId="5B2BDE0F" w14:textId="77777777" w:rsidR="00EC3101" w:rsidRPr="00EC3101" w:rsidRDefault="00EC3101" w:rsidP="00BE5998">
      <w:pPr>
        <w:spacing w:after="160" w:line="278" w:lineRule="auto"/>
      </w:pPr>
    </w:p>
    <w:p w14:paraId="199E887E" w14:textId="13CB1BEF" w:rsidR="00EC3101" w:rsidRPr="006D17DF" w:rsidRDefault="00EC3101" w:rsidP="00BE5998">
      <w:pPr>
        <w:spacing w:after="160" w:line="278" w:lineRule="auto"/>
      </w:pPr>
      <w:r>
        <w:rPr>
          <w:b/>
          <w:bCs/>
          <w:u w:val="single"/>
        </w:rPr>
        <w:t>Table 2:</w:t>
      </w:r>
      <w:r w:rsidR="006D17DF">
        <w:t xml:space="preserve"> Significantly overrepresented GO terms and FDR corrected q-values from candidate gene lists of each species, and from the list of candidate genes identified in two or more species (pairwise overlap).</w:t>
      </w:r>
    </w:p>
    <w:tbl>
      <w:tblPr>
        <w:tblStyle w:val="TableGrid"/>
        <w:tblW w:w="9355" w:type="dxa"/>
        <w:tblBorders>
          <w:left w:val="none" w:sz="0" w:space="0" w:color="auto"/>
          <w:right w:val="none" w:sz="0" w:space="0" w:color="auto"/>
          <w:insideV w:val="none" w:sz="0" w:space="0" w:color="auto"/>
        </w:tblBorders>
        <w:tblLook w:val="04A0" w:firstRow="1" w:lastRow="0" w:firstColumn="1" w:lastColumn="0" w:noHBand="0" w:noVBand="1"/>
      </w:tblPr>
      <w:tblGrid>
        <w:gridCol w:w="2425"/>
        <w:gridCol w:w="4320"/>
        <w:gridCol w:w="1530"/>
        <w:gridCol w:w="1080"/>
      </w:tblGrid>
      <w:tr w:rsidR="00BE5998" w:rsidRPr="00B5166A" w14:paraId="2D3B993B" w14:textId="77777777" w:rsidTr="00945590">
        <w:trPr>
          <w:trHeight w:val="320"/>
        </w:trPr>
        <w:tc>
          <w:tcPr>
            <w:tcW w:w="2425" w:type="dxa"/>
            <w:noWrap/>
            <w:hideMark/>
          </w:tcPr>
          <w:p w14:paraId="0C1F3C07" w14:textId="77777777" w:rsidR="00BE5998" w:rsidRPr="006D17DF" w:rsidRDefault="00BE5998" w:rsidP="00773A33">
            <w:pPr>
              <w:rPr>
                <w:b/>
                <w:bCs/>
                <w:noProof/>
                <w:sz w:val="20"/>
                <w:szCs w:val="20"/>
              </w:rPr>
            </w:pPr>
            <w:r w:rsidRPr="006D17DF">
              <w:rPr>
                <w:b/>
                <w:bCs/>
                <w:noProof/>
                <w:sz w:val="20"/>
                <w:szCs w:val="20"/>
              </w:rPr>
              <w:t>Species</w:t>
            </w:r>
          </w:p>
        </w:tc>
        <w:tc>
          <w:tcPr>
            <w:tcW w:w="4320" w:type="dxa"/>
            <w:noWrap/>
            <w:hideMark/>
          </w:tcPr>
          <w:p w14:paraId="254E8F8B" w14:textId="77777777" w:rsidR="00BE5998" w:rsidRPr="006D17DF" w:rsidRDefault="00BE5998" w:rsidP="00773A33">
            <w:pPr>
              <w:rPr>
                <w:b/>
                <w:bCs/>
                <w:noProof/>
                <w:sz w:val="20"/>
                <w:szCs w:val="20"/>
              </w:rPr>
            </w:pPr>
            <w:r w:rsidRPr="006D17DF">
              <w:rPr>
                <w:b/>
                <w:bCs/>
                <w:noProof/>
                <w:sz w:val="20"/>
                <w:szCs w:val="20"/>
              </w:rPr>
              <w:t>PANTHER GO-Slim Biological Process</w:t>
            </w:r>
          </w:p>
        </w:tc>
        <w:tc>
          <w:tcPr>
            <w:tcW w:w="1530" w:type="dxa"/>
          </w:tcPr>
          <w:p w14:paraId="51E58769" w14:textId="77777777" w:rsidR="00BE5998" w:rsidRPr="006D17DF" w:rsidRDefault="00BE5998" w:rsidP="00773A33">
            <w:pPr>
              <w:rPr>
                <w:b/>
                <w:bCs/>
                <w:noProof/>
                <w:sz w:val="20"/>
                <w:szCs w:val="20"/>
              </w:rPr>
            </w:pPr>
            <w:r w:rsidRPr="006D17DF">
              <w:rPr>
                <w:b/>
                <w:bCs/>
                <w:noProof/>
                <w:sz w:val="20"/>
                <w:szCs w:val="20"/>
              </w:rPr>
              <w:t>GO Term</w:t>
            </w:r>
          </w:p>
        </w:tc>
        <w:tc>
          <w:tcPr>
            <w:tcW w:w="1080" w:type="dxa"/>
            <w:noWrap/>
            <w:hideMark/>
          </w:tcPr>
          <w:p w14:paraId="6D889EA9" w14:textId="77777777" w:rsidR="00BE5998" w:rsidRPr="006D17DF" w:rsidRDefault="00BE5998" w:rsidP="00773A33">
            <w:pPr>
              <w:rPr>
                <w:b/>
                <w:bCs/>
                <w:noProof/>
                <w:sz w:val="20"/>
                <w:szCs w:val="20"/>
              </w:rPr>
            </w:pPr>
            <w:r w:rsidRPr="006D17DF">
              <w:rPr>
                <w:b/>
                <w:bCs/>
                <w:noProof/>
                <w:sz w:val="20"/>
                <w:szCs w:val="20"/>
              </w:rPr>
              <w:t>q-value</w:t>
            </w:r>
          </w:p>
        </w:tc>
      </w:tr>
      <w:tr w:rsidR="00BE5998" w:rsidRPr="00B5166A" w14:paraId="7301136F" w14:textId="77777777" w:rsidTr="00945590">
        <w:trPr>
          <w:trHeight w:val="320"/>
        </w:trPr>
        <w:tc>
          <w:tcPr>
            <w:tcW w:w="2425" w:type="dxa"/>
            <w:noWrap/>
            <w:vAlign w:val="bottom"/>
            <w:hideMark/>
          </w:tcPr>
          <w:p w14:paraId="62722C32" w14:textId="77777777" w:rsidR="00BE5998" w:rsidRPr="006D17DF" w:rsidRDefault="00BE5998" w:rsidP="00773A33">
            <w:pPr>
              <w:rPr>
                <w:noProof/>
                <w:sz w:val="20"/>
                <w:szCs w:val="20"/>
              </w:rPr>
            </w:pPr>
            <w:r w:rsidRPr="006D17DF">
              <w:rPr>
                <w:color w:val="000000"/>
                <w:sz w:val="20"/>
                <w:szCs w:val="20"/>
              </w:rPr>
              <w:t>Vegetarian finch</w:t>
            </w:r>
          </w:p>
        </w:tc>
        <w:tc>
          <w:tcPr>
            <w:tcW w:w="4320" w:type="dxa"/>
            <w:noWrap/>
            <w:vAlign w:val="bottom"/>
          </w:tcPr>
          <w:p w14:paraId="51166A1B" w14:textId="77777777" w:rsidR="00BE5998" w:rsidRPr="006D17DF" w:rsidRDefault="00BE5998" w:rsidP="00773A33">
            <w:pPr>
              <w:rPr>
                <w:noProof/>
                <w:sz w:val="20"/>
                <w:szCs w:val="20"/>
              </w:rPr>
            </w:pPr>
            <w:r w:rsidRPr="006D17DF">
              <w:rPr>
                <w:noProof/>
                <w:sz w:val="20"/>
                <w:szCs w:val="20"/>
              </w:rPr>
              <w:t>regulation of cell adhesion mediated by integrin</w:t>
            </w:r>
          </w:p>
        </w:tc>
        <w:tc>
          <w:tcPr>
            <w:tcW w:w="1530" w:type="dxa"/>
            <w:vAlign w:val="bottom"/>
          </w:tcPr>
          <w:p w14:paraId="63F175E2" w14:textId="77777777" w:rsidR="00BE5998" w:rsidRPr="006D17DF" w:rsidRDefault="00BE5998" w:rsidP="00773A33">
            <w:pPr>
              <w:rPr>
                <w:noProof/>
                <w:sz w:val="20"/>
                <w:szCs w:val="20"/>
              </w:rPr>
            </w:pPr>
            <w:r w:rsidRPr="006D17DF">
              <w:rPr>
                <w:noProof/>
                <w:sz w:val="20"/>
                <w:szCs w:val="20"/>
              </w:rPr>
              <w:t>GO:0033628</w:t>
            </w:r>
          </w:p>
        </w:tc>
        <w:tc>
          <w:tcPr>
            <w:tcW w:w="1080" w:type="dxa"/>
            <w:noWrap/>
            <w:vAlign w:val="bottom"/>
          </w:tcPr>
          <w:p w14:paraId="41444468" w14:textId="77777777" w:rsidR="00BE5998" w:rsidRPr="006D17DF" w:rsidRDefault="00BE5998" w:rsidP="00773A33">
            <w:pPr>
              <w:rPr>
                <w:noProof/>
                <w:sz w:val="20"/>
                <w:szCs w:val="20"/>
              </w:rPr>
            </w:pPr>
            <w:r w:rsidRPr="006D17DF">
              <w:rPr>
                <w:noProof/>
                <w:sz w:val="20"/>
                <w:szCs w:val="20"/>
              </w:rPr>
              <w:t>0.043</w:t>
            </w:r>
          </w:p>
        </w:tc>
      </w:tr>
      <w:tr w:rsidR="00BE5998" w:rsidRPr="00B5166A" w14:paraId="30F4DFD2" w14:textId="77777777" w:rsidTr="00945590">
        <w:trPr>
          <w:trHeight w:val="320"/>
        </w:trPr>
        <w:tc>
          <w:tcPr>
            <w:tcW w:w="2425" w:type="dxa"/>
            <w:noWrap/>
            <w:vAlign w:val="bottom"/>
          </w:tcPr>
          <w:p w14:paraId="0B53785F" w14:textId="77777777" w:rsidR="00BE5998" w:rsidRPr="006D17DF" w:rsidRDefault="00BE5998" w:rsidP="00773A33">
            <w:pPr>
              <w:rPr>
                <w:color w:val="000000"/>
                <w:sz w:val="20"/>
                <w:szCs w:val="20"/>
              </w:rPr>
            </w:pPr>
          </w:p>
        </w:tc>
        <w:tc>
          <w:tcPr>
            <w:tcW w:w="4320" w:type="dxa"/>
            <w:noWrap/>
            <w:vAlign w:val="bottom"/>
          </w:tcPr>
          <w:p w14:paraId="1C3D8F7C" w14:textId="77777777" w:rsidR="00BE5998" w:rsidRPr="006D17DF" w:rsidRDefault="00BE5998" w:rsidP="00773A33">
            <w:pPr>
              <w:rPr>
                <w:color w:val="000000"/>
                <w:sz w:val="20"/>
                <w:szCs w:val="20"/>
              </w:rPr>
            </w:pPr>
            <w:r w:rsidRPr="006D17DF">
              <w:rPr>
                <w:color w:val="000000"/>
                <w:sz w:val="20"/>
                <w:szCs w:val="20"/>
              </w:rPr>
              <w:t xml:space="preserve">angiogenesis </w:t>
            </w:r>
          </w:p>
        </w:tc>
        <w:tc>
          <w:tcPr>
            <w:tcW w:w="1530" w:type="dxa"/>
            <w:vAlign w:val="bottom"/>
          </w:tcPr>
          <w:p w14:paraId="00B639A7" w14:textId="77777777" w:rsidR="00BE5998" w:rsidRPr="006D17DF" w:rsidRDefault="00BE5998" w:rsidP="00773A33">
            <w:pPr>
              <w:rPr>
                <w:color w:val="000000"/>
                <w:sz w:val="20"/>
                <w:szCs w:val="20"/>
              </w:rPr>
            </w:pPr>
            <w:r w:rsidRPr="006D17DF">
              <w:rPr>
                <w:color w:val="000000"/>
                <w:sz w:val="20"/>
                <w:szCs w:val="20"/>
              </w:rPr>
              <w:t>GO:0001525</w:t>
            </w:r>
          </w:p>
        </w:tc>
        <w:tc>
          <w:tcPr>
            <w:tcW w:w="1080" w:type="dxa"/>
            <w:noWrap/>
            <w:vAlign w:val="bottom"/>
          </w:tcPr>
          <w:p w14:paraId="69CE7895" w14:textId="77777777" w:rsidR="00BE5998" w:rsidRPr="006D17DF" w:rsidRDefault="00BE5998" w:rsidP="00773A33">
            <w:pPr>
              <w:rPr>
                <w:color w:val="000000"/>
                <w:sz w:val="20"/>
                <w:szCs w:val="20"/>
              </w:rPr>
            </w:pPr>
            <w:r w:rsidRPr="006D17DF">
              <w:rPr>
                <w:color w:val="000000"/>
                <w:sz w:val="20"/>
                <w:szCs w:val="20"/>
              </w:rPr>
              <w:t>0.014</w:t>
            </w:r>
          </w:p>
        </w:tc>
      </w:tr>
      <w:tr w:rsidR="00BE5998" w:rsidRPr="00B5166A" w14:paraId="7FDA3DC6" w14:textId="77777777" w:rsidTr="00945590">
        <w:trPr>
          <w:trHeight w:val="320"/>
        </w:trPr>
        <w:tc>
          <w:tcPr>
            <w:tcW w:w="2425" w:type="dxa"/>
            <w:noWrap/>
            <w:vAlign w:val="bottom"/>
          </w:tcPr>
          <w:p w14:paraId="3D3B4B9D" w14:textId="77777777" w:rsidR="00BE5998" w:rsidRPr="006D17DF" w:rsidRDefault="00BE5998" w:rsidP="00773A33">
            <w:pPr>
              <w:rPr>
                <w:noProof/>
                <w:sz w:val="20"/>
                <w:szCs w:val="20"/>
              </w:rPr>
            </w:pPr>
          </w:p>
        </w:tc>
        <w:tc>
          <w:tcPr>
            <w:tcW w:w="4320" w:type="dxa"/>
            <w:noWrap/>
            <w:vAlign w:val="bottom"/>
            <w:hideMark/>
          </w:tcPr>
          <w:p w14:paraId="26D09516" w14:textId="77777777" w:rsidR="00BE5998" w:rsidRPr="006D17DF" w:rsidRDefault="00BE5998" w:rsidP="00773A33">
            <w:pPr>
              <w:rPr>
                <w:noProof/>
                <w:sz w:val="20"/>
                <w:szCs w:val="20"/>
              </w:rPr>
            </w:pPr>
            <w:r w:rsidRPr="006D17DF">
              <w:rPr>
                <w:color w:val="000000"/>
                <w:sz w:val="20"/>
                <w:szCs w:val="20"/>
              </w:rPr>
              <w:t xml:space="preserve">blood vessel morphogenesis </w:t>
            </w:r>
          </w:p>
        </w:tc>
        <w:tc>
          <w:tcPr>
            <w:tcW w:w="1530" w:type="dxa"/>
            <w:vAlign w:val="bottom"/>
          </w:tcPr>
          <w:p w14:paraId="2AF438AC" w14:textId="77777777" w:rsidR="00BE5998" w:rsidRPr="006D17DF" w:rsidRDefault="00BE5998" w:rsidP="00773A33">
            <w:pPr>
              <w:rPr>
                <w:noProof/>
                <w:sz w:val="20"/>
                <w:szCs w:val="20"/>
              </w:rPr>
            </w:pPr>
            <w:r w:rsidRPr="006D17DF">
              <w:rPr>
                <w:color w:val="000000"/>
                <w:sz w:val="20"/>
                <w:szCs w:val="20"/>
              </w:rPr>
              <w:t>GO:0048514</w:t>
            </w:r>
          </w:p>
        </w:tc>
        <w:tc>
          <w:tcPr>
            <w:tcW w:w="1080" w:type="dxa"/>
            <w:noWrap/>
            <w:vAlign w:val="bottom"/>
            <w:hideMark/>
          </w:tcPr>
          <w:p w14:paraId="762EE37E" w14:textId="77777777" w:rsidR="00BE5998" w:rsidRPr="006D17DF" w:rsidRDefault="00BE5998" w:rsidP="00773A33">
            <w:pPr>
              <w:rPr>
                <w:noProof/>
                <w:sz w:val="20"/>
                <w:szCs w:val="20"/>
              </w:rPr>
            </w:pPr>
            <w:r w:rsidRPr="006D17DF">
              <w:rPr>
                <w:color w:val="000000"/>
                <w:sz w:val="20"/>
                <w:szCs w:val="20"/>
              </w:rPr>
              <w:t>0.011</w:t>
            </w:r>
          </w:p>
        </w:tc>
      </w:tr>
      <w:tr w:rsidR="00BE5998" w:rsidRPr="00B5166A" w14:paraId="5055C781" w14:textId="77777777" w:rsidTr="00945590">
        <w:trPr>
          <w:trHeight w:val="320"/>
        </w:trPr>
        <w:tc>
          <w:tcPr>
            <w:tcW w:w="2425" w:type="dxa"/>
            <w:noWrap/>
            <w:vAlign w:val="bottom"/>
          </w:tcPr>
          <w:p w14:paraId="7280CF6F" w14:textId="77777777" w:rsidR="00BE5998" w:rsidRPr="006D17DF" w:rsidRDefault="00BE5998" w:rsidP="00773A33">
            <w:pPr>
              <w:rPr>
                <w:noProof/>
                <w:sz w:val="20"/>
                <w:szCs w:val="20"/>
              </w:rPr>
            </w:pPr>
          </w:p>
        </w:tc>
        <w:tc>
          <w:tcPr>
            <w:tcW w:w="4320" w:type="dxa"/>
            <w:noWrap/>
            <w:vAlign w:val="bottom"/>
            <w:hideMark/>
          </w:tcPr>
          <w:p w14:paraId="52A2D4ED" w14:textId="77777777" w:rsidR="00BE5998" w:rsidRPr="006D17DF" w:rsidRDefault="00BE5998" w:rsidP="00773A33">
            <w:pPr>
              <w:rPr>
                <w:noProof/>
                <w:sz w:val="20"/>
                <w:szCs w:val="20"/>
              </w:rPr>
            </w:pPr>
            <w:r w:rsidRPr="006D17DF">
              <w:rPr>
                <w:color w:val="000000"/>
                <w:sz w:val="20"/>
                <w:szCs w:val="20"/>
              </w:rPr>
              <w:t xml:space="preserve">blood vessel development </w:t>
            </w:r>
          </w:p>
        </w:tc>
        <w:tc>
          <w:tcPr>
            <w:tcW w:w="1530" w:type="dxa"/>
            <w:vAlign w:val="bottom"/>
          </w:tcPr>
          <w:p w14:paraId="4BCF6ED3" w14:textId="77777777" w:rsidR="00BE5998" w:rsidRPr="006D17DF" w:rsidRDefault="00BE5998" w:rsidP="00773A33">
            <w:pPr>
              <w:rPr>
                <w:noProof/>
                <w:sz w:val="20"/>
                <w:szCs w:val="20"/>
              </w:rPr>
            </w:pPr>
            <w:r w:rsidRPr="006D17DF">
              <w:rPr>
                <w:color w:val="000000"/>
                <w:sz w:val="20"/>
                <w:szCs w:val="20"/>
              </w:rPr>
              <w:t>GO:0001568</w:t>
            </w:r>
          </w:p>
        </w:tc>
        <w:tc>
          <w:tcPr>
            <w:tcW w:w="1080" w:type="dxa"/>
            <w:noWrap/>
            <w:vAlign w:val="bottom"/>
            <w:hideMark/>
          </w:tcPr>
          <w:p w14:paraId="6FDB6F9D" w14:textId="77777777" w:rsidR="00BE5998" w:rsidRPr="006D17DF" w:rsidRDefault="00BE5998" w:rsidP="00773A33">
            <w:pPr>
              <w:rPr>
                <w:noProof/>
                <w:sz w:val="20"/>
                <w:szCs w:val="20"/>
              </w:rPr>
            </w:pPr>
            <w:r w:rsidRPr="006D17DF">
              <w:rPr>
                <w:color w:val="000000"/>
                <w:sz w:val="20"/>
                <w:szCs w:val="20"/>
              </w:rPr>
              <w:t>0.008</w:t>
            </w:r>
          </w:p>
        </w:tc>
      </w:tr>
      <w:tr w:rsidR="00BE5998" w:rsidRPr="00B5166A" w14:paraId="6E554C62" w14:textId="77777777" w:rsidTr="00945590">
        <w:trPr>
          <w:trHeight w:val="320"/>
        </w:trPr>
        <w:tc>
          <w:tcPr>
            <w:tcW w:w="2425" w:type="dxa"/>
            <w:noWrap/>
            <w:vAlign w:val="bottom"/>
          </w:tcPr>
          <w:p w14:paraId="05D3883E" w14:textId="77777777" w:rsidR="00BE5998" w:rsidRPr="006D17DF" w:rsidRDefault="00BE5998" w:rsidP="00773A33">
            <w:pPr>
              <w:rPr>
                <w:noProof/>
                <w:sz w:val="20"/>
                <w:szCs w:val="20"/>
              </w:rPr>
            </w:pPr>
          </w:p>
        </w:tc>
        <w:tc>
          <w:tcPr>
            <w:tcW w:w="4320" w:type="dxa"/>
            <w:noWrap/>
            <w:vAlign w:val="bottom"/>
            <w:hideMark/>
          </w:tcPr>
          <w:p w14:paraId="1F1E66FA" w14:textId="77777777" w:rsidR="00BE5998" w:rsidRPr="006D17DF" w:rsidRDefault="00BE5998" w:rsidP="00773A33">
            <w:pPr>
              <w:rPr>
                <w:noProof/>
                <w:sz w:val="20"/>
                <w:szCs w:val="20"/>
              </w:rPr>
            </w:pPr>
            <w:r w:rsidRPr="006D17DF">
              <w:rPr>
                <w:color w:val="000000"/>
                <w:sz w:val="20"/>
                <w:szCs w:val="20"/>
              </w:rPr>
              <w:t xml:space="preserve">vasculature development </w:t>
            </w:r>
          </w:p>
        </w:tc>
        <w:tc>
          <w:tcPr>
            <w:tcW w:w="1530" w:type="dxa"/>
            <w:vAlign w:val="bottom"/>
          </w:tcPr>
          <w:p w14:paraId="6C613DFD" w14:textId="77777777" w:rsidR="00BE5998" w:rsidRPr="006D17DF" w:rsidRDefault="00BE5998" w:rsidP="00773A33">
            <w:pPr>
              <w:rPr>
                <w:noProof/>
                <w:sz w:val="20"/>
                <w:szCs w:val="20"/>
              </w:rPr>
            </w:pPr>
            <w:r w:rsidRPr="006D17DF">
              <w:rPr>
                <w:color w:val="000000"/>
                <w:sz w:val="20"/>
                <w:szCs w:val="20"/>
              </w:rPr>
              <w:t>GO:0001944</w:t>
            </w:r>
          </w:p>
        </w:tc>
        <w:tc>
          <w:tcPr>
            <w:tcW w:w="1080" w:type="dxa"/>
            <w:noWrap/>
            <w:vAlign w:val="bottom"/>
            <w:hideMark/>
          </w:tcPr>
          <w:p w14:paraId="69940373" w14:textId="77777777" w:rsidR="00BE5998" w:rsidRPr="006D17DF" w:rsidRDefault="00BE5998" w:rsidP="00773A33">
            <w:pPr>
              <w:rPr>
                <w:noProof/>
                <w:sz w:val="20"/>
                <w:szCs w:val="20"/>
              </w:rPr>
            </w:pPr>
            <w:r w:rsidRPr="006D17DF">
              <w:rPr>
                <w:color w:val="000000"/>
                <w:sz w:val="20"/>
                <w:szCs w:val="20"/>
              </w:rPr>
              <w:t>0.007</w:t>
            </w:r>
          </w:p>
        </w:tc>
      </w:tr>
      <w:tr w:rsidR="00BE5998" w:rsidRPr="00B5166A" w14:paraId="7055BC03" w14:textId="77777777" w:rsidTr="00945590">
        <w:trPr>
          <w:trHeight w:val="320"/>
        </w:trPr>
        <w:tc>
          <w:tcPr>
            <w:tcW w:w="2425" w:type="dxa"/>
            <w:noWrap/>
            <w:vAlign w:val="bottom"/>
          </w:tcPr>
          <w:p w14:paraId="5960443C" w14:textId="77777777" w:rsidR="00BE5998" w:rsidRPr="006D17DF" w:rsidRDefault="00BE5998" w:rsidP="00773A33">
            <w:pPr>
              <w:rPr>
                <w:noProof/>
                <w:sz w:val="20"/>
                <w:szCs w:val="20"/>
              </w:rPr>
            </w:pPr>
          </w:p>
        </w:tc>
        <w:tc>
          <w:tcPr>
            <w:tcW w:w="4320" w:type="dxa"/>
            <w:noWrap/>
            <w:vAlign w:val="bottom"/>
            <w:hideMark/>
          </w:tcPr>
          <w:p w14:paraId="5D269CB8" w14:textId="77777777" w:rsidR="00BE5998" w:rsidRPr="006D17DF" w:rsidRDefault="00BE5998" w:rsidP="00773A33">
            <w:pPr>
              <w:rPr>
                <w:noProof/>
                <w:sz w:val="20"/>
                <w:szCs w:val="20"/>
              </w:rPr>
            </w:pPr>
            <w:r w:rsidRPr="006D17DF">
              <w:rPr>
                <w:color w:val="000000"/>
                <w:sz w:val="20"/>
                <w:szCs w:val="20"/>
              </w:rPr>
              <w:t xml:space="preserve">tube morphogenesis </w:t>
            </w:r>
          </w:p>
        </w:tc>
        <w:tc>
          <w:tcPr>
            <w:tcW w:w="1530" w:type="dxa"/>
            <w:vAlign w:val="bottom"/>
          </w:tcPr>
          <w:p w14:paraId="2D572067" w14:textId="77777777" w:rsidR="00BE5998" w:rsidRPr="006D17DF" w:rsidRDefault="00BE5998" w:rsidP="00773A33">
            <w:pPr>
              <w:rPr>
                <w:noProof/>
                <w:sz w:val="20"/>
                <w:szCs w:val="20"/>
              </w:rPr>
            </w:pPr>
            <w:r w:rsidRPr="006D17DF">
              <w:rPr>
                <w:color w:val="000000"/>
                <w:sz w:val="20"/>
                <w:szCs w:val="20"/>
              </w:rPr>
              <w:t>GO:0035239</w:t>
            </w:r>
          </w:p>
        </w:tc>
        <w:tc>
          <w:tcPr>
            <w:tcW w:w="1080" w:type="dxa"/>
            <w:noWrap/>
            <w:vAlign w:val="bottom"/>
            <w:hideMark/>
          </w:tcPr>
          <w:p w14:paraId="0282D5EE" w14:textId="77777777" w:rsidR="00BE5998" w:rsidRPr="006D17DF" w:rsidRDefault="00BE5998" w:rsidP="00773A33">
            <w:pPr>
              <w:rPr>
                <w:noProof/>
                <w:sz w:val="20"/>
                <w:szCs w:val="20"/>
              </w:rPr>
            </w:pPr>
            <w:r w:rsidRPr="006D17DF">
              <w:rPr>
                <w:color w:val="000000"/>
                <w:sz w:val="20"/>
                <w:szCs w:val="20"/>
              </w:rPr>
              <w:t>0.005</w:t>
            </w:r>
          </w:p>
        </w:tc>
      </w:tr>
      <w:tr w:rsidR="00BE5998" w:rsidRPr="00B5166A" w14:paraId="7905F616" w14:textId="77777777" w:rsidTr="00945590">
        <w:trPr>
          <w:trHeight w:val="320"/>
        </w:trPr>
        <w:tc>
          <w:tcPr>
            <w:tcW w:w="2425" w:type="dxa"/>
            <w:noWrap/>
            <w:vAlign w:val="bottom"/>
          </w:tcPr>
          <w:p w14:paraId="241AB3E8" w14:textId="77777777" w:rsidR="00BE5998" w:rsidRPr="006D17DF" w:rsidRDefault="00BE5998" w:rsidP="00773A33">
            <w:pPr>
              <w:rPr>
                <w:noProof/>
                <w:sz w:val="20"/>
                <w:szCs w:val="20"/>
              </w:rPr>
            </w:pPr>
          </w:p>
        </w:tc>
        <w:tc>
          <w:tcPr>
            <w:tcW w:w="4320" w:type="dxa"/>
            <w:noWrap/>
            <w:vAlign w:val="bottom"/>
            <w:hideMark/>
          </w:tcPr>
          <w:p w14:paraId="2F749C94" w14:textId="77777777" w:rsidR="00BE5998" w:rsidRPr="006D17DF" w:rsidRDefault="00BE5998" w:rsidP="00773A33">
            <w:pPr>
              <w:rPr>
                <w:noProof/>
                <w:sz w:val="20"/>
                <w:szCs w:val="20"/>
              </w:rPr>
            </w:pPr>
            <w:r w:rsidRPr="006D17DF">
              <w:rPr>
                <w:color w:val="000000"/>
                <w:sz w:val="20"/>
                <w:szCs w:val="20"/>
              </w:rPr>
              <w:t xml:space="preserve">tube development </w:t>
            </w:r>
          </w:p>
        </w:tc>
        <w:tc>
          <w:tcPr>
            <w:tcW w:w="1530" w:type="dxa"/>
            <w:vAlign w:val="bottom"/>
          </w:tcPr>
          <w:p w14:paraId="27A7B6AE" w14:textId="77777777" w:rsidR="00BE5998" w:rsidRPr="006D17DF" w:rsidRDefault="00BE5998" w:rsidP="00773A33">
            <w:pPr>
              <w:rPr>
                <w:noProof/>
                <w:sz w:val="20"/>
                <w:szCs w:val="20"/>
              </w:rPr>
            </w:pPr>
            <w:r w:rsidRPr="006D17DF">
              <w:rPr>
                <w:color w:val="000000"/>
                <w:sz w:val="20"/>
                <w:szCs w:val="20"/>
              </w:rPr>
              <w:t>GO:0035295</w:t>
            </w:r>
          </w:p>
        </w:tc>
        <w:tc>
          <w:tcPr>
            <w:tcW w:w="1080" w:type="dxa"/>
            <w:noWrap/>
            <w:vAlign w:val="bottom"/>
            <w:hideMark/>
          </w:tcPr>
          <w:p w14:paraId="6817EDAD" w14:textId="77777777" w:rsidR="00BE5998" w:rsidRPr="006D17DF" w:rsidRDefault="00BE5998" w:rsidP="00773A33">
            <w:pPr>
              <w:rPr>
                <w:noProof/>
                <w:sz w:val="20"/>
                <w:szCs w:val="20"/>
              </w:rPr>
            </w:pPr>
            <w:r w:rsidRPr="006D17DF">
              <w:rPr>
                <w:color w:val="000000"/>
                <w:sz w:val="20"/>
                <w:szCs w:val="20"/>
              </w:rPr>
              <w:t>0.006</w:t>
            </w:r>
          </w:p>
        </w:tc>
      </w:tr>
      <w:tr w:rsidR="00BE5998" w:rsidRPr="00B5166A" w14:paraId="72B42A0F" w14:textId="77777777" w:rsidTr="00945590">
        <w:trPr>
          <w:trHeight w:val="320"/>
        </w:trPr>
        <w:tc>
          <w:tcPr>
            <w:tcW w:w="2425" w:type="dxa"/>
            <w:noWrap/>
            <w:vAlign w:val="bottom"/>
            <w:hideMark/>
          </w:tcPr>
          <w:p w14:paraId="74BEADF0" w14:textId="77777777" w:rsidR="00BE5998" w:rsidRPr="006D17DF" w:rsidRDefault="00BE5998" w:rsidP="00773A33">
            <w:pPr>
              <w:rPr>
                <w:noProof/>
                <w:sz w:val="20"/>
                <w:szCs w:val="20"/>
              </w:rPr>
            </w:pPr>
            <w:r w:rsidRPr="006D17DF">
              <w:rPr>
                <w:color w:val="000000"/>
                <w:sz w:val="20"/>
                <w:szCs w:val="20"/>
              </w:rPr>
              <w:t>Medium ground finch</w:t>
            </w:r>
          </w:p>
        </w:tc>
        <w:tc>
          <w:tcPr>
            <w:tcW w:w="4320" w:type="dxa"/>
            <w:noWrap/>
            <w:vAlign w:val="bottom"/>
          </w:tcPr>
          <w:p w14:paraId="5223CB72" w14:textId="77777777" w:rsidR="00BE5998" w:rsidRPr="006D17DF" w:rsidRDefault="00BE5998" w:rsidP="00773A33">
            <w:pPr>
              <w:rPr>
                <w:noProof/>
                <w:sz w:val="20"/>
                <w:szCs w:val="20"/>
              </w:rPr>
            </w:pPr>
            <w:r w:rsidRPr="006D17DF">
              <w:rPr>
                <w:noProof/>
                <w:sz w:val="20"/>
                <w:szCs w:val="20"/>
              </w:rPr>
              <w:t>tRNA metabolic process</w:t>
            </w:r>
          </w:p>
        </w:tc>
        <w:tc>
          <w:tcPr>
            <w:tcW w:w="1530" w:type="dxa"/>
            <w:vAlign w:val="bottom"/>
          </w:tcPr>
          <w:p w14:paraId="4240A69C" w14:textId="77777777" w:rsidR="00BE5998" w:rsidRPr="006D17DF" w:rsidRDefault="00BE5998" w:rsidP="00773A33">
            <w:pPr>
              <w:rPr>
                <w:noProof/>
                <w:sz w:val="20"/>
                <w:szCs w:val="20"/>
              </w:rPr>
            </w:pPr>
            <w:r w:rsidRPr="006D17DF">
              <w:rPr>
                <w:color w:val="000000"/>
                <w:sz w:val="20"/>
                <w:szCs w:val="20"/>
              </w:rPr>
              <w:t>GO:0007519</w:t>
            </w:r>
          </w:p>
        </w:tc>
        <w:tc>
          <w:tcPr>
            <w:tcW w:w="1080" w:type="dxa"/>
            <w:noWrap/>
            <w:vAlign w:val="bottom"/>
          </w:tcPr>
          <w:p w14:paraId="4544927A" w14:textId="77777777" w:rsidR="00BE5998" w:rsidRPr="006D17DF" w:rsidRDefault="00BE5998" w:rsidP="00773A33">
            <w:pPr>
              <w:rPr>
                <w:noProof/>
                <w:sz w:val="20"/>
                <w:szCs w:val="20"/>
              </w:rPr>
            </w:pPr>
            <w:r w:rsidRPr="006D17DF">
              <w:rPr>
                <w:noProof/>
                <w:sz w:val="20"/>
                <w:szCs w:val="20"/>
              </w:rPr>
              <w:t>&lt;0.001</w:t>
            </w:r>
          </w:p>
        </w:tc>
      </w:tr>
      <w:tr w:rsidR="00BE5998" w:rsidRPr="00B5166A" w14:paraId="66DE41FC" w14:textId="77777777" w:rsidTr="00945590">
        <w:trPr>
          <w:trHeight w:val="320"/>
        </w:trPr>
        <w:tc>
          <w:tcPr>
            <w:tcW w:w="2425" w:type="dxa"/>
            <w:noWrap/>
            <w:vAlign w:val="bottom"/>
          </w:tcPr>
          <w:p w14:paraId="04BE7631" w14:textId="77777777" w:rsidR="00BE5998" w:rsidRPr="006D17DF" w:rsidRDefault="00BE5998" w:rsidP="00773A33">
            <w:pPr>
              <w:rPr>
                <w:noProof/>
                <w:sz w:val="20"/>
                <w:szCs w:val="20"/>
              </w:rPr>
            </w:pPr>
          </w:p>
        </w:tc>
        <w:tc>
          <w:tcPr>
            <w:tcW w:w="4320" w:type="dxa"/>
            <w:noWrap/>
            <w:vAlign w:val="bottom"/>
          </w:tcPr>
          <w:p w14:paraId="19C8E947" w14:textId="77777777" w:rsidR="00BE5998" w:rsidRPr="006D17DF" w:rsidRDefault="00BE5998" w:rsidP="00773A33">
            <w:pPr>
              <w:rPr>
                <w:noProof/>
                <w:sz w:val="20"/>
                <w:szCs w:val="20"/>
              </w:rPr>
            </w:pPr>
            <w:r w:rsidRPr="006D17DF">
              <w:rPr>
                <w:noProof/>
                <w:sz w:val="20"/>
                <w:szCs w:val="20"/>
              </w:rPr>
              <w:t>nucleic acid metabolic process</w:t>
            </w:r>
          </w:p>
        </w:tc>
        <w:tc>
          <w:tcPr>
            <w:tcW w:w="1530" w:type="dxa"/>
            <w:vAlign w:val="bottom"/>
          </w:tcPr>
          <w:p w14:paraId="4BAA1A77" w14:textId="77777777" w:rsidR="00BE5998" w:rsidRPr="006D17DF" w:rsidRDefault="00BE5998" w:rsidP="00773A33">
            <w:pPr>
              <w:rPr>
                <w:noProof/>
                <w:sz w:val="20"/>
                <w:szCs w:val="20"/>
              </w:rPr>
            </w:pPr>
            <w:r w:rsidRPr="006D17DF">
              <w:rPr>
                <w:color w:val="000000"/>
                <w:sz w:val="20"/>
                <w:szCs w:val="20"/>
              </w:rPr>
              <w:t>GO:0060538</w:t>
            </w:r>
          </w:p>
        </w:tc>
        <w:tc>
          <w:tcPr>
            <w:tcW w:w="1080" w:type="dxa"/>
            <w:noWrap/>
            <w:vAlign w:val="bottom"/>
          </w:tcPr>
          <w:p w14:paraId="57C6209E" w14:textId="77777777" w:rsidR="00BE5998" w:rsidRPr="006D17DF" w:rsidRDefault="00BE5998" w:rsidP="00773A33">
            <w:pPr>
              <w:rPr>
                <w:noProof/>
                <w:sz w:val="20"/>
                <w:szCs w:val="20"/>
              </w:rPr>
            </w:pPr>
            <w:r w:rsidRPr="006D17DF">
              <w:rPr>
                <w:noProof/>
                <w:sz w:val="20"/>
                <w:szCs w:val="20"/>
              </w:rPr>
              <w:t>&lt;0.001</w:t>
            </w:r>
          </w:p>
        </w:tc>
      </w:tr>
      <w:tr w:rsidR="00BE5998" w:rsidRPr="00B5166A" w14:paraId="397535DC" w14:textId="77777777" w:rsidTr="00945590">
        <w:trPr>
          <w:trHeight w:val="320"/>
        </w:trPr>
        <w:tc>
          <w:tcPr>
            <w:tcW w:w="2425" w:type="dxa"/>
            <w:noWrap/>
            <w:vAlign w:val="bottom"/>
          </w:tcPr>
          <w:p w14:paraId="779652A9" w14:textId="77777777" w:rsidR="00BE5998" w:rsidRPr="006D17DF" w:rsidRDefault="00BE5998" w:rsidP="00773A33">
            <w:pPr>
              <w:rPr>
                <w:noProof/>
                <w:sz w:val="20"/>
                <w:szCs w:val="20"/>
              </w:rPr>
            </w:pPr>
          </w:p>
        </w:tc>
        <w:tc>
          <w:tcPr>
            <w:tcW w:w="4320" w:type="dxa"/>
            <w:noWrap/>
            <w:vAlign w:val="bottom"/>
          </w:tcPr>
          <w:p w14:paraId="5CEE0FBC" w14:textId="77777777" w:rsidR="00BE5998" w:rsidRPr="006D17DF" w:rsidRDefault="00BE5998" w:rsidP="00773A33">
            <w:pPr>
              <w:rPr>
                <w:noProof/>
                <w:sz w:val="20"/>
                <w:szCs w:val="20"/>
              </w:rPr>
            </w:pPr>
            <w:r w:rsidRPr="006D17DF">
              <w:rPr>
                <w:noProof/>
                <w:sz w:val="20"/>
                <w:szCs w:val="20"/>
              </w:rPr>
              <w:t>nucleobase-containing compound metabolic process</w:t>
            </w:r>
          </w:p>
        </w:tc>
        <w:tc>
          <w:tcPr>
            <w:tcW w:w="1530" w:type="dxa"/>
            <w:vAlign w:val="bottom"/>
          </w:tcPr>
          <w:p w14:paraId="33DE8055" w14:textId="77777777" w:rsidR="00BE5998" w:rsidRPr="006D17DF" w:rsidRDefault="00BE5998" w:rsidP="00773A33">
            <w:pPr>
              <w:rPr>
                <w:noProof/>
                <w:sz w:val="20"/>
                <w:szCs w:val="20"/>
              </w:rPr>
            </w:pPr>
            <w:r w:rsidRPr="006D17DF">
              <w:rPr>
                <w:color w:val="000000"/>
                <w:sz w:val="20"/>
                <w:szCs w:val="20"/>
              </w:rPr>
              <w:t>GO:0007517</w:t>
            </w:r>
          </w:p>
        </w:tc>
        <w:tc>
          <w:tcPr>
            <w:tcW w:w="1080" w:type="dxa"/>
            <w:noWrap/>
            <w:vAlign w:val="bottom"/>
          </w:tcPr>
          <w:p w14:paraId="79EDF8F8" w14:textId="77777777" w:rsidR="00BE5998" w:rsidRPr="006D17DF" w:rsidRDefault="00BE5998" w:rsidP="00773A33">
            <w:pPr>
              <w:rPr>
                <w:noProof/>
                <w:sz w:val="20"/>
                <w:szCs w:val="20"/>
              </w:rPr>
            </w:pPr>
            <w:r w:rsidRPr="006D17DF">
              <w:rPr>
                <w:noProof/>
                <w:sz w:val="20"/>
                <w:szCs w:val="20"/>
              </w:rPr>
              <w:t>&lt;0.001</w:t>
            </w:r>
          </w:p>
        </w:tc>
      </w:tr>
      <w:tr w:rsidR="00BE5998" w:rsidRPr="00B5166A" w14:paraId="1B967A23" w14:textId="77777777" w:rsidTr="00945590">
        <w:trPr>
          <w:trHeight w:val="320"/>
        </w:trPr>
        <w:tc>
          <w:tcPr>
            <w:tcW w:w="2425" w:type="dxa"/>
            <w:noWrap/>
            <w:vAlign w:val="bottom"/>
          </w:tcPr>
          <w:p w14:paraId="60A004D3" w14:textId="77777777" w:rsidR="00BE5998" w:rsidRPr="006D17DF" w:rsidRDefault="00BE5998" w:rsidP="00773A33">
            <w:pPr>
              <w:rPr>
                <w:noProof/>
                <w:sz w:val="20"/>
                <w:szCs w:val="20"/>
              </w:rPr>
            </w:pPr>
          </w:p>
        </w:tc>
        <w:tc>
          <w:tcPr>
            <w:tcW w:w="4320" w:type="dxa"/>
            <w:noWrap/>
            <w:vAlign w:val="bottom"/>
          </w:tcPr>
          <w:p w14:paraId="75E5EC90" w14:textId="77777777" w:rsidR="00BE5998" w:rsidRPr="006D17DF" w:rsidRDefault="00BE5998" w:rsidP="00773A33">
            <w:pPr>
              <w:rPr>
                <w:noProof/>
                <w:sz w:val="20"/>
                <w:szCs w:val="20"/>
              </w:rPr>
            </w:pPr>
            <w:r w:rsidRPr="006D17DF">
              <w:rPr>
                <w:noProof/>
                <w:sz w:val="20"/>
                <w:szCs w:val="20"/>
              </w:rPr>
              <w:t>heterocycle metabolic process</w:t>
            </w:r>
          </w:p>
        </w:tc>
        <w:tc>
          <w:tcPr>
            <w:tcW w:w="1530" w:type="dxa"/>
            <w:vAlign w:val="bottom"/>
          </w:tcPr>
          <w:p w14:paraId="10B14F52" w14:textId="77777777" w:rsidR="00BE5998" w:rsidRPr="006D17DF" w:rsidRDefault="00BE5998" w:rsidP="00773A33">
            <w:pPr>
              <w:rPr>
                <w:noProof/>
                <w:sz w:val="20"/>
                <w:szCs w:val="20"/>
              </w:rPr>
            </w:pPr>
            <w:r w:rsidRPr="006D17DF">
              <w:rPr>
                <w:color w:val="000000"/>
                <w:sz w:val="20"/>
                <w:szCs w:val="20"/>
              </w:rPr>
              <w:t>GO:0060537</w:t>
            </w:r>
          </w:p>
        </w:tc>
        <w:tc>
          <w:tcPr>
            <w:tcW w:w="1080" w:type="dxa"/>
            <w:noWrap/>
            <w:vAlign w:val="bottom"/>
          </w:tcPr>
          <w:p w14:paraId="7D3CABC4" w14:textId="77777777" w:rsidR="00BE5998" w:rsidRPr="006D17DF" w:rsidRDefault="00BE5998" w:rsidP="00773A33">
            <w:pPr>
              <w:rPr>
                <w:noProof/>
                <w:sz w:val="20"/>
                <w:szCs w:val="20"/>
              </w:rPr>
            </w:pPr>
            <w:r w:rsidRPr="006D17DF">
              <w:rPr>
                <w:noProof/>
                <w:sz w:val="20"/>
                <w:szCs w:val="20"/>
              </w:rPr>
              <w:t>&lt;0.001</w:t>
            </w:r>
          </w:p>
        </w:tc>
      </w:tr>
      <w:tr w:rsidR="00BE5998" w:rsidRPr="00B5166A" w14:paraId="0A3CF824" w14:textId="77777777" w:rsidTr="00945590">
        <w:trPr>
          <w:trHeight w:val="320"/>
        </w:trPr>
        <w:tc>
          <w:tcPr>
            <w:tcW w:w="2425" w:type="dxa"/>
            <w:noWrap/>
            <w:vAlign w:val="bottom"/>
          </w:tcPr>
          <w:p w14:paraId="76D854F9" w14:textId="77777777" w:rsidR="00BE5998" w:rsidRPr="006D17DF" w:rsidRDefault="00BE5998" w:rsidP="00773A33">
            <w:pPr>
              <w:rPr>
                <w:noProof/>
                <w:sz w:val="20"/>
                <w:szCs w:val="20"/>
              </w:rPr>
            </w:pPr>
          </w:p>
        </w:tc>
        <w:tc>
          <w:tcPr>
            <w:tcW w:w="4320" w:type="dxa"/>
            <w:noWrap/>
            <w:vAlign w:val="bottom"/>
          </w:tcPr>
          <w:p w14:paraId="6440C080" w14:textId="77777777" w:rsidR="00BE5998" w:rsidRPr="006D17DF" w:rsidRDefault="00BE5998" w:rsidP="00773A33">
            <w:pPr>
              <w:rPr>
                <w:noProof/>
                <w:sz w:val="20"/>
                <w:szCs w:val="20"/>
              </w:rPr>
            </w:pPr>
            <w:r w:rsidRPr="006D17DF">
              <w:rPr>
                <w:noProof/>
                <w:sz w:val="20"/>
                <w:szCs w:val="20"/>
              </w:rPr>
              <w:t>cellular aromatic compound metabolic process</w:t>
            </w:r>
          </w:p>
        </w:tc>
        <w:tc>
          <w:tcPr>
            <w:tcW w:w="1530" w:type="dxa"/>
            <w:vAlign w:val="bottom"/>
          </w:tcPr>
          <w:p w14:paraId="2325EC02" w14:textId="77777777" w:rsidR="00BE5998" w:rsidRPr="006D17DF" w:rsidRDefault="00BE5998" w:rsidP="00773A33">
            <w:pPr>
              <w:rPr>
                <w:noProof/>
                <w:sz w:val="20"/>
                <w:szCs w:val="20"/>
              </w:rPr>
            </w:pPr>
            <w:r w:rsidRPr="006D17DF">
              <w:rPr>
                <w:color w:val="000000"/>
                <w:sz w:val="20"/>
                <w:szCs w:val="20"/>
              </w:rPr>
              <w:t>GO:0010720</w:t>
            </w:r>
          </w:p>
        </w:tc>
        <w:tc>
          <w:tcPr>
            <w:tcW w:w="1080" w:type="dxa"/>
            <w:noWrap/>
            <w:vAlign w:val="bottom"/>
          </w:tcPr>
          <w:p w14:paraId="00DBC5B9" w14:textId="77777777" w:rsidR="00BE5998" w:rsidRPr="006D17DF" w:rsidRDefault="00BE5998" w:rsidP="00773A33">
            <w:pPr>
              <w:rPr>
                <w:noProof/>
                <w:sz w:val="20"/>
                <w:szCs w:val="20"/>
              </w:rPr>
            </w:pPr>
            <w:r w:rsidRPr="006D17DF">
              <w:rPr>
                <w:noProof/>
                <w:sz w:val="20"/>
                <w:szCs w:val="20"/>
              </w:rPr>
              <w:t>&lt;0.001</w:t>
            </w:r>
          </w:p>
        </w:tc>
      </w:tr>
      <w:tr w:rsidR="00BE5998" w:rsidRPr="00B5166A" w14:paraId="01E74904" w14:textId="77777777" w:rsidTr="00945590">
        <w:trPr>
          <w:trHeight w:val="320"/>
        </w:trPr>
        <w:tc>
          <w:tcPr>
            <w:tcW w:w="2425" w:type="dxa"/>
            <w:noWrap/>
            <w:vAlign w:val="bottom"/>
          </w:tcPr>
          <w:p w14:paraId="60083DD1" w14:textId="77777777" w:rsidR="00BE5998" w:rsidRPr="006D17DF" w:rsidRDefault="00BE5998" w:rsidP="00773A33">
            <w:pPr>
              <w:rPr>
                <w:noProof/>
                <w:sz w:val="20"/>
                <w:szCs w:val="20"/>
              </w:rPr>
            </w:pPr>
            <w:r w:rsidRPr="006D17DF">
              <w:rPr>
                <w:noProof/>
                <w:sz w:val="20"/>
                <w:szCs w:val="20"/>
              </w:rPr>
              <w:t>Small tree finch</w:t>
            </w:r>
          </w:p>
        </w:tc>
        <w:tc>
          <w:tcPr>
            <w:tcW w:w="4320" w:type="dxa"/>
            <w:noWrap/>
            <w:vAlign w:val="bottom"/>
          </w:tcPr>
          <w:p w14:paraId="37385DDF" w14:textId="77777777" w:rsidR="00BE5998" w:rsidRPr="006D17DF" w:rsidRDefault="00BE5998" w:rsidP="00773A33">
            <w:pPr>
              <w:rPr>
                <w:color w:val="000000"/>
                <w:sz w:val="20"/>
                <w:szCs w:val="20"/>
              </w:rPr>
            </w:pPr>
            <w:r w:rsidRPr="006D17DF">
              <w:rPr>
                <w:color w:val="000000"/>
                <w:sz w:val="20"/>
                <w:szCs w:val="20"/>
              </w:rPr>
              <w:t>None</w:t>
            </w:r>
          </w:p>
        </w:tc>
        <w:tc>
          <w:tcPr>
            <w:tcW w:w="1530" w:type="dxa"/>
            <w:vAlign w:val="bottom"/>
          </w:tcPr>
          <w:p w14:paraId="0875F534" w14:textId="77777777" w:rsidR="00BE5998" w:rsidRPr="006D17DF" w:rsidRDefault="00BE5998" w:rsidP="00773A33">
            <w:pPr>
              <w:rPr>
                <w:color w:val="000000"/>
                <w:sz w:val="20"/>
                <w:szCs w:val="20"/>
              </w:rPr>
            </w:pPr>
            <w:r w:rsidRPr="006D17DF">
              <w:rPr>
                <w:color w:val="000000"/>
                <w:sz w:val="20"/>
                <w:szCs w:val="20"/>
              </w:rPr>
              <w:t>None</w:t>
            </w:r>
          </w:p>
        </w:tc>
        <w:tc>
          <w:tcPr>
            <w:tcW w:w="1080" w:type="dxa"/>
            <w:noWrap/>
            <w:vAlign w:val="bottom"/>
          </w:tcPr>
          <w:p w14:paraId="304C806B" w14:textId="77777777" w:rsidR="00BE5998" w:rsidRPr="006D17DF" w:rsidRDefault="00BE5998" w:rsidP="00773A33">
            <w:pPr>
              <w:rPr>
                <w:color w:val="000000"/>
                <w:sz w:val="20"/>
                <w:szCs w:val="20"/>
              </w:rPr>
            </w:pPr>
            <w:r w:rsidRPr="006D17DF">
              <w:rPr>
                <w:color w:val="000000"/>
                <w:sz w:val="20"/>
                <w:szCs w:val="20"/>
              </w:rPr>
              <w:t>NA</w:t>
            </w:r>
          </w:p>
        </w:tc>
      </w:tr>
      <w:tr w:rsidR="00F6293B" w:rsidRPr="00B5166A" w14:paraId="7D62D5E8" w14:textId="77777777" w:rsidTr="00945590">
        <w:trPr>
          <w:trHeight w:val="320"/>
        </w:trPr>
        <w:tc>
          <w:tcPr>
            <w:tcW w:w="2425" w:type="dxa"/>
            <w:noWrap/>
            <w:vAlign w:val="bottom"/>
          </w:tcPr>
          <w:p w14:paraId="54D40A14" w14:textId="3FF64906" w:rsidR="00F6293B" w:rsidRPr="006D17DF" w:rsidRDefault="00F6293B" w:rsidP="00F6293B">
            <w:pPr>
              <w:rPr>
                <w:noProof/>
                <w:sz w:val="20"/>
                <w:szCs w:val="20"/>
              </w:rPr>
            </w:pPr>
            <w:r w:rsidRPr="006D17DF">
              <w:rPr>
                <w:noProof/>
                <w:sz w:val="20"/>
                <w:szCs w:val="20"/>
              </w:rPr>
              <w:t>Pairwise overlap</w:t>
            </w:r>
          </w:p>
        </w:tc>
        <w:tc>
          <w:tcPr>
            <w:tcW w:w="4320" w:type="dxa"/>
            <w:noWrap/>
            <w:vAlign w:val="bottom"/>
          </w:tcPr>
          <w:p w14:paraId="65938AEA" w14:textId="665C3BE0" w:rsidR="00F6293B" w:rsidRPr="006D17DF" w:rsidRDefault="00F6293B" w:rsidP="00F6293B">
            <w:pPr>
              <w:rPr>
                <w:color w:val="000000"/>
                <w:sz w:val="20"/>
                <w:szCs w:val="20"/>
              </w:rPr>
            </w:pPr>
            <w:r w:rsidRPr="006D17DF">
              <w:rPr>
                <w:color w:val="000000"/>
                <w:sz w:val="20"/>
                <w:szCs w:val="20"/>
              </w:rPr>
              <w:t>None</w:t>
            </w:r>
          </w:p>
        </w:tc>
        <w:tc>
          <w:tcPr>
            <w:tcW w:w="1530" w:type="dxa"/>
            <w:vAlign w:val="bottom"/>
          </w:tcPr>
          <w:p w14:paraId="68451131" w14:textId="7B71F243" w:rsidR="00F6293B" w:rsidRPr="006D17DF" w:rsidRDefault="00F6293B" w:rsidP="00F6293B">
            <w:pPr>
              <w:rPr>
                <w:color w:val="000000"/>
                <w:sz w:val="20"/>
                <w:szCs w:val="20"/>
              </w:rPr>
            </w:pPr>
            <w:r w:rsidRPr="006D17DF">
              <w:rPr>
                <w:color w:val="000000"/>
                <w:sz w:val="20"/>
                <w:szCs w:val="20"/>
              </w:rPr>
              <w:t>None</w:t>
            </w:r>
          </w:p>
        </w:tc>
        <w:tc>
          <w:tcPr>
            <w:tcW w:w="1080" w:type="dxa"/>
            <w:noWrap/>
            <w:vAlign w:val="bottom"/>
          </w:tcPr>
          <w:p w14:paraId="3CB16B01" w14:textId="5D67F823" w:rsidR="00F6293B" w:rsidRPr="006D17DF" w:rsidRDefault="00F6293B" w:rsidP="00F6293B">
            <w:pPr>
              <w:rPr>
                <w:color w:val="000000"/>
                <w:sz w:val="20"/>
                <w:szCs w:val="20"/>
              </w:rPr>
            </w:pPr>
            <w:r w:rsidRPr="006D17DF">
              <w:rPr>
                <w:color w:val="000000"/>
                <w:sz w:val="20"/>
                <w:szCs w:val="20"/>
              </w:rPr>
              <w:t>NA</w:t>
            </w:r>
          </w:p>
        </w:tc>
      </w:tr>
    </w:tbl>
    <w:p w14:paraId="0B385B9D" w14:textId="77777777" w:rsidR="00BE5998" w:rsidRDefault="00BE5998" w:rsidP="001E0683">
      <w:pPr>
        <w:spacing w:after="160" w:line="278" w:lineRule="auto"/>
      </w:pPr>
    </w:p>
    <w:p w14:paraId="40213A6B" w14:textId="77777777" w:rsidR="001E0683" w:rsidRPr="00010C3D" w:rsidRDefault="001E0683" w:rsidP="001E0683">
      <w:pPr>
        <w:rPr>
          <w:b/>
          <w:bCs/>
          <w:noProof/>
          <w:u w:val="single"/>
        </w:rPr>
      </w:pPr>
      <w:r w:rsidRPr="00010C3D">
        <w:rPr>
          <w:b/>
          <w:bCs/>
          <w:noProof/>
          <w:u w:val="single"/>
        </w:rPr>
        <w:t>Table 3</w:t>
      </w:r>
    </w:p>
    <w:tbl>
      <w:tblPr>
        <w:tblStyle w:val="TableGrid"/>
        <w:tblW w:w="9338" w:type="dxa"/>
        <w:tblBorders>
          <w:left w:val="none" w:sz="0" w:space="0" w:color="auto"/>
          <w:right w:val="none" w:sz="0" w:space="0" w:color="auto"/>
          <w:insideV w:val="none" w:sz="0" w:space="0" w:color="auto"/>
        </w:tblBorders>
        <w:tblLook w:val="04A0" w:firstRow="1" w:lastRow="0" w:firstColumn="1" w:lastColumn="0" w:noHBand="0" w:noVBand="1"/>
      </w:tblPr>
      <w:tblGrid>
        <w:gridCol w:w="1525"/>
        <w:gridCol w:w="1513"/>
        <w:gridCol w:w="1260"/>
        <w:gridCol w:w="1260"/>
        <w:gridCol w:w="1260"/>
        <w:gridCol w:w="1260"/>
        <w:gridCol w:w="1260"/>
      </w:tblGrid>
      <w:tr w:rsidR="001E0683" w:rsidRPr="0016418C" w14:paraId="0C21EE13" w14:textId="77777777" w:rsidTr="00945590">
        <w:tc>
          <w:tcPr>
            <w:tcW w:w="1525" w:type="dxa"/>
          </w:tcPr>
          <w:p w14:paraId="55CAED11" w14:textId="77777777" w:rsidR="001E0683" w:rsidRPr="006D17DF" w:rsidRDefault="001E0683" w:rsidP="00773A33">
            <w:pPr>
              <w:rPr>
                <w:b/>
                <w:bCs/>
                <w:noProof/>
                <w:sz w:val="20"/>
                <w:szCs w:val="20"/>
              </w:rPr>
            </w:pPr>
            <w:r w:rsidRPr="006D17DF">
              <w:rPr>
                <w:b/>
                <w:bCs/>
                <w:noProof/>
                <w:sz w:val="20"/>
                <w:szCs w:val="20"/>
              </w:rPr>
              <w:t>Motif</w:t>
            </w:r>
          </w:p>
        </w:tc>
        <w:tc>
          <w:tcPr>
            <w:tcW w:w="1513" w:type="dxa"/>
          </w:tcPr>
          <w:p w14:paraId="64F588FA" w14:textId="77777777" w:rsidR="001E0683" w:rsidRPr="006D17DF" w:rsidRDefault="001E0683" w:rsidP="00773A33">
            <w:pPr>
              <w:rPr>
                <w:b/>
                <w:bCs/>
                <w:noProof/>
                <w:sz w:val="20"/>
                <w:szCs w:val="20"/>
              </w:rPr>
            </w:pPr>
            <w:r w:rsidRPr="006D17DF">
              <w:rPr>
                <w:b/>
                <w:bCs/>
                <w:noProof/>
                <w:sz w:val="20"/>
                <w:szCs w:val="20"/>
              </w:rPr>
              <w:t>Ancestral</w:t>
            </w:r>
          </w:p>
        </w:tc>
        <w:tc>
          <w:tcPr>
            <w:tcW w:w="1260" w:type="dxa"/>
          </w:tcPr>
          <w:p w14:paraId="3A94DCED" w14:textId="77777777" w:rsidR="001E0683" w:rsidRPr="006D17DF" w:rsidRDefault="001E0683" w:rsidP="00773A33">
            <w:pPr>
              <w:rPr>
                <w:b/>
                <w:bCs/>
                <w:noProof/>
                <w:sz w:val="20"/>
                <w:szCs w:val="20"/>
              </w:rPr>
            </w:pPr>
            <w:r w:rsidRPr="006D17DF">
              <w:rPr>
                <w:b/>
                <w:bCs/>
                <w:noProof/>
                <w:sz w:val="20"/>
                <w:szCs w:val="20"/>
              </w:rPr>
              <w:t>Z-score</w:t>
            </w:r>
          </w:p>
        </w:tc>
        <w:tc>
          <w:tcPr>
            <w:tcW w:w="1260" w:type="dxa"/>
          </w:tcPr>
          <w:p w14:paraId="7BEC3E78" w14:textId="77777777" w:rsidR="001E0683" w:rsidRPr="006D17DF" w:rsidRDefault="001E0683" w:rsidP="00773A33">
            <w:pPr>
              <w:rPr>
                <w:b/>
                <w:bCs/>
                <w:noProof/>
                <w:sz w:val="20"/>
                <w:szCs w:val="20"/>
              </w:rPr>
            </w:pPr>
            <w:r w:rsidRPr="006D17DF">
              <w:rPr>
                <w:b/>
                <w:bCs/>
                <w:noProof/>
                <w:sz w:val="20"/>
                <w:szCs w:val="20"/>
              </w:rPr>
              <w:t>P-value</w:t>
            </w:r>
          </w:p>
        </w:tc>
        <w:tc>
          <w:tcPr>
            <w:tcW w:w="1260" w:type="dxa"/>
          </w:tcPr>
          <w:p w14:paraId="312581A6" w14:textId="77777777" w:rsidR="001E0683" w:rsidRPr="006D17DF" w:rsidRDefault="001E0683" w:rsidP="00773A33">
            <w:pPr>
              <w:rPr>
                <w:b/>
                <w:bCs/>
                <w:noProof/>
                <w:sz w:val="20"/>
                <w:szCs w:val="20"/>
              </w:rPr>
            </w:pPr>
            <w:r w:rsidRPr="006D17DF">
              <w:rPr>
                <w:b/>
                <w:bCs/>
                <w:noProof/>
                <w:sz w:val="20"/>
                <w:szCs w:val="20"/>
              </w:rPr>
              <w:t>Derived</w:t>
            </w:r>
          </w:p>
        </w:tc>
        <w:tc>
          <w:tcPr>
            <w:tcW w:w="1260" w:type="dxa"/>
          </w:tcPr>
          <w:p w14:paraId="06EB811E" w14:textId="77777777" w:rsidR="001E0683" w:rsidRPr="006D17DF" w:rsidRDefault="001E0683" w:rsidP="00773A33">
            <w:pPr>
              <w:rPr>
                <w:b/>
                <w:bCs/>
                <w:noProof/>
                <w:sz w:val="20"/>
                <w:szCs w:val="20"/>
              </w:rPr>
            </w:pPr>
            <w:r w:rsidRPr="006D17DF">
              <w:rPr>
                <w:b/>
                <w:bCs/>
                <w:noProof/>
                <w:sz w:val="20"/>
                <w:szCs w:val="20"/>
              </w:rPr>
              <w:t>Z-score</w:t>
            </w:r>
          </w:p>
        </w:tc>
        <w:tc>
          <w:tcPr>
            <w:tcW w:w="1260" w:type="dxa"/>
          </w:tcPr>
          <w:p w14:paraId="13C51E23" w14:textId="77777777" w:rsidR="001E0683" w:rsidRPr="006D17DF" w:rsidRDefault="001E0683" w:rsidP="00773A33">
            <w:pPr>
              <w:rPr>
                <w:b/>
                <w:bCs/>
                <w:noProof/>
                <w:sz w:val="20"/>
                <w:szCs w:val="20"/>
              </w:rPr>
            </w:pPr>
            <w:r w:rsidRPr="006D17DF">
              <w:rPr>
                <w:b/>
                <w:bCs/>
                <w:noProof/>
                <w:sz w:val="20"/>
                <w:szCs w:val="20"/>
              </w:rPr>
              <w:t>P-value</w:t>
            </w:r>
          </w:p>
        </w:tc>
      </w:tr>
      <w:tr w:rsidR="001E0683" w:rsidRPr="0016418C" w14:paraId="5C4903FD" w14:textId="77777777" w:rsidTr="00945590">
        <w:tc>
          <w:tcPr>
            <w:tcW w:w="1525" w:type="dxa"/>
          </w:tcPr>
          <w:p w14:paraId="0CB6FBB7" w14:textId="77777777" w:rsidR="001E0683" w:rsidRPr="006D17DF" w:rsidRDefault="001E0683" w:rsidP="00773A33">
            <w:pPr>
              <w:rPr>
                <w:rFonts w:ascii="Courier New" w:hAnsi="Courier New" w:cs="Courier New"/>
                <w:noProof/>
                <w:sz w:val="20"/>
                <w:szCs w:val="20"/>
              </w:rPr>
            </w:pPr>
            <w:r w:rsidRPr="006D17DF">
              <w:rPr>
                <w:rFonts w:ascii="Courier New" w:hAnsi="Courier New" w:cs="Courier New"/>
                <w:noProof/>
                <w:sz w:val="20"/>
                <w:szCs w:val="20"/>
              </w:rPr>
              <w:t>wgcaug</w:t>
            </w:r>
            <w:r w:rsidRPr="006D17DF">
              <w:rPr>
                <w:rFonts w:ascii="Courier New" w:hAnsi="Courier New" w:cs="Courier New"/>
                <w:b/>
                <w:bCs/>
                <w:noProof/>
                <w:sz w:val="20"/>
                <w:szCs w:val="20"/>
              </w:rPr>
              <w:t>m</w:t>
            </w:r>
          </w:p>
        </w:tc>
        <w:tc>
          <w:tcPr>
            <w:tcW w:w="1513" w:type="dxa"/>
          </w:tcPr>
          <w:p w14:paraId="62E3406B" w14:textId="77777777" w:rsidR="001E0683" w:rsidRPr="006D17DF" w:rsidRDefault="001E0683" w:rsidP="00773A33">
            <w:pPr>
              <w:rPr>
                <w:rFonts w:ascii="Courier New" w:hAnsi="Courier New" w:cs="Courier New"/>
                <w:noProof/>
                <w:sz w:val="20"/>
                <w:szCs w:val="20"/>
              </w:rPr>
            </w:pPr>
            <w:r w:rsidRPr="006D17DF">
              <w:rPr>
                <w:rFonts w:ascii="Courier New" w:hAnsi="Courier New" w:cs="Courier New"/>
                <w:noProof/>
                <w:sz w:val="20"/>
                <w:szCs w:val="20"/>
              </w:rPr>
              <w:t>...g..</w:t>
            </w:r>
            <w:r w:rsidRPr="006D17DF">
              <w:rPr>
                <w:rFonts w:ascii="Courier New" w:hAnsi="Courier New" w:cs="Courier New"/>
                <w:b/>
                <w:bCs/>
                <w:noProof/>
                <w:sz w:val="20"/>
                <w:szCs w:val="20"/>
              </w:rPr>
              <w:t>g</w:t>
            </w:r>
          </w:p>
        </w:tc>
        <w:tc>
          <w:tcPr>
            <w:tcW w:w="1260" w:type="dxa"/>
          </w:tcPr>
          <w:p w14:paraId="432B37C4" w14:textId="77777777" w:rsidR="001E0683" w:rsidRPr="006D17DF" w:rsidRDefault="001E0683" w:rsidP="00773A33">
            <w:pPr>
              <w:rPr>
                <w:noProof/>
                <w:sz w:val="20"/>
                <w:szCs w:val="20"/>
              </w:rPr>
            </w:pPr>
            <w:r w:rsidRPr="006D17DF">
              <w:rPr>
                <w:noProof/>
                <w:sz w:val="20"/>
                <w:szCs w:val="20"/>
              </w:rPr>
              <w:t>2.855</w:t>
            </w:r>
          </w:p>
        </w:tc>
        <w:tc>
          <w:tcPr>
            <w:tcW w:w="1260" w:type="dxa"/>
          </w:tcPr>
          <w:p w14:paraId="6C072D72" w14:textId="77777777" w:rsidR="001E0683" w:rsidRPr="006D17DF" w:rsidRDefault="001E0683" w:rsidP="00773A33">
            <w:pPr>
              <w:rPr>
                <w:noProof/>
                <w:sz w:val="20"/>
                <w:szCs w:val="20"/>
              </w:rPr>
            </w:pPr>
            <w:r w:rsidRPr="006D17DF">
              <w:rPr>
                <w:noProof/>
                <w:sz w:val="20"/>
                <w:szCs w:val="20"/>
              </w:rPr>
              <w:t>0.0022</w:t>
            </w:r>
          </w:p>
        </w:tc>
        <w:tc>
          <w:tcPr>
            <w:tcW w:w="1260" w:type="dxa"/>
          </w:tcPr>
          <w:p w14:paraId="6A67670C" w14:textId="77777777" w:rsidR="001E0683" w:rsidRPr="006D17DF" w:rsidRDefault="001E0683" w:rsidP="00773A33">
            <w:pPr>
              <w:rPr>
                <w:rFonts w:ascii="Courier New" w:hAnsi="Courier New" w:cs="Courier New"/>
                <w:noProof/>
                <w:sz w:val="20"/>
                <w:szCs w:val="20"/>
              </w:rPr>
            </w:pPr>
            <w:r w:rsidRPr="006D17DF">
              <w:rPr>
                <w:rFonts w:ascii="Courier New" w:hAnsi="Courier New" w:cs="Courier New"/>
                <w:noProof/>
                <w:sz w:val="20"/>
                <w:szCs w:val="20"/>
              </w:rPr>
              <w:t>...g..</w:t>
            </w:r>
            <w:r w:rsidRPr="006D17DF">
              <w:rPr>
                <w:rFonts w:ascii="Courier New" w:hAnsi="Courier New" w:cs="Courier New"/>
                <w:b/>
                <w:bCs/>
                <w:noProof/>
                <w:sz w:val="20"/>
                <w:szCs w:val="20"/>
              </w:rPr>
              <w:t>c</w:t>
            </w:r>
          </w:p>
        </w:tc>
        <w:tc>
          <w:tcPr>
            <w:tcW w:w="1260" w:type="dxa"/>
          </w:tcPr>
          <w:p w14:paraId="1BE92249" w14:textId="77777777" w:rsidR="001E0683" w:rsidRPr="006D17DF" w:rsidRDefault="001E0683" w:rsidP="00773A33">
            <w:pPr>
              <w:rPr>
                <w:noProof/>
                <w:sz w:val="20"/>
                <w:szCs w:val="20"/>
              </w:rPr>
            </w:pPr>
            <w:r w:rsidRPr="006D17DF">
              <w:rPr>
                <w:noProof/>
                <w:sz w:val="20"/>
                <w:szCs w:val="20"/>
              </w:rPr>
              <w:t>3.329</w:t>
            </w:r>
          </w:p>
        </w:tc>
        <w:tc>
          <w:tcPr>
            <w:tcW w:w="1260" w:type="dxa"/>
          </w:tcPr>
          <w:p w14:paraId="59D505B6" w14:textId="77777777" w:rsidR="001E0683" w:rsidRPr="006D17DF" w:rsidRDefault="001E0683" w:rsidP="00773A33">
            <w:pPr>
              <w:rPr>
                <w:noProof/>
                <w:sz w:val="20"/>
                <w:szCs w:val="20"/>
              </w:rPr>
            </w:pPr>
            <w:r w:rsidRPr="006D17DF">
              <w:rPr>
                <w:noProof/>
                <w:sz w:val="20"/>
                <w:szCs w:val="20"/>
              </w:rPr>
              <w:t>0.0004</w:t>
            </w:r>
          </w:p>
        </w:tc>
      </w:tr>
      <w:tr w:rsidR="001E0683" w:rsidRPr="0016418C" w14:paraId="5CD75482" w14:textId="77777777" w:rsidTr="00945590">
        <w:tc>
          <w:tcPr>
            <w:tcW w:w="1525" w:type="dxa"/>
          </w:tcPr>
          <w:p w14:paraId="782AD7D3" w14:textId="77777777" w:rsidR="001E0683" w:rsidRPr="006D17DF" w:rsidRDefault="001E0683" w:rsidP="00773A33">
            <w:pPr>
              <w:rPr>
                <w:rFonts w:ascii="Courier New" w:hAnsi="Courier New" w:cs="Courier New"/>
                <w:noProof/>
                <w:sz w:val="20"/>
                <w:szCs w:val="20"/>
              </w:rPr>
            </w:pPr>
            <w:r w:rsidRPr="006D17DF">
              <w:rPr>
                <w:rFonts w:ascii="Courier New" w:hAnsi="Courier New" w:cs="Courier New"/>
                <w:noProof/>
                <w:sz w:val="20"/>
                <w:szCs w:val="20"/>
              </w:rPr>
              <w:t>cguc</w:t>
            </w:r>
            <w:r w:rsidRPr="006D17DF">
              <w:rPr>
                <w:rFonts w:ascii="Courier New" w:hAnsi="Courier New" w:cs="Courier New"/>
                <w:b/>
                <w:bCs/>
                <w:noProof/>
                <w:sz w:val="20"/>
                <w:szCs w:val="20"/>
              </w:rPr>
              <w:t>c</w:t>
            </w:r>
            <w:r w:rsidRPr="006D17DF">
              <w:rPr>
                <w:rFonts w:ascii="Courier New" w:hAnsi="Courier New" w:cs="Courier New"/>
                <w:noProof/>
                <w:sz w:val="20"/>
                <w:szCs w:val="20"/>
              </w:rPr>
              <w:t>a</w:t>
            </w:r>
          </w:p>
        </w:tc>
        <w:tc>
          <w:tcPr>
            <w:tcW w:w="1513" w:type="dxa"/>
          </w:tcPr>
          <w:p w14:paraId="1EA6AE78" w14:textId="77777777" w:rsidR="001E0683" w:rsidRPr="006D17DF" w:rsidRDefault="001E0683" w:rsidP="00773A33">
            <w:pPr>
              <w:rPr>
                <w:rFonts w:ascii="Courier New" w:hAnsi="Courier New" w:cs="Courier New"/>
                <w:noProof/>
                <w:sz w:val="20"/>
                <w:szCs w:val="20"/>
              </w:rPr>
            </w:pPr>
            <w:r w:rsidRPr="006D17DF">
              <w:rPr>
                <w:rFonts w:ascii="Courier New" w:hAnsi="Courier New" w:cs="Courier New"/>
                <w:noProof/>
                <w:sz w:val="20"/>
                <w:szCs w:val="20"/>
              </w:rPr>
              <w:t>...g</w:t>
            </w:r>
            <w:r w:rsidRPr="006D17DF">
              <w:rPr>
                <w:rFonts w:ascii="Courier New" w:hAnsi="Courier New" w:cs="Courier New"/>
                <w:b/>
                <w:bCs/>
                <w:noProof/>
                <w:sz w:val="20"/>
                <w:szCs w:val="20"/>
              </w:rPr>
              <w:t>g</w:t>
            </w:r>
            <w:r w:rsidRPr="006D17DF">
              <w:rPr>
                <w:rFonts w:ascii="Courier New" w:hAnsi="Courier New" w:cs="Courier New"/>
                <w:noProof/>
                <w:sz w:val="20"/>
                <w:szCs w:val="20"/>
              </w:rPr>
              <w:t>.</w:t>
            </w:r>
          </w:p>
        </w:tc>
        <w:tc>
          <w:tcPr>
            <w:tcW w:w="1260" w:type="dxa"/>
          </w:tcPr>
          <w:p w14:paraId="7B7FEBF6" w14:textId="77777777" w:rsidR="001E0683" w:rsidRPr="006D17DF" w:rsidRDefault="001E0683" w:rsidP="00773A33">
            <w:pPr>
              <w:rPr>
                <w:noProof/>
                <w:sz w:val="20"/>
                <w:szCs w:val="20"/>
              </w:rPr>
            </w:pPr>
            <w:r w:rsidRPr="006D17DF">
              <w:rPr>
                <w:noProof/>
                <w:sz w:val="20"/>
                <w:szCs w:val="20"/>
              </w:rPr>
              <w:t>NA</w:t>
            </w:r>
          </w:p>
        </w:tc>
        <w:tc>
          <w:tcPr>
            <w:tcW w:w="1260" w:type="dxa"/>
          </w:tcPr>
          <w:p w14:paraId="758C294F" w14:textId="77777777" w:rsidR="001E0683" w:rsidRPr="006D17DF" w:rsidRDefault="001E0683" w:rsidP="00773A33">
            <w:pPr>
              <w:rPr>
                <w:noProof/>
                <w:sz w:val="20"/>
                <w:szCs w:val="20"/>
              </w:rPr>
            </w:pPr>
            <w:r w:rsidRPr="006D17DF">
              <w:rPr>
                <w:noProof/>
                <w:sz w:val="20"/>
                <w:szCs w:val="20"/>
              </w:rPr>
              <w:t>NA</w:t>
            </w:r>
          </w:p>
        </w:tc>
        <w:tc>
          <w:tcPr>
            <w:tcW w:w="1260" w:type="dxa"/>
          </w:tcPr>
          <w:p w14:paraId="1D19C01A" w14:textId="77777777" w:rsidR="001E0683" w:rsidRPr="006D17DF" w:rsidRDefault="001E0683" w:rsidP="00773A33">
            <w:pPr>
              <w:rPr>
                <w:rFonts w:ascii="Courier New" w:hAnsi="Courier New" w:cs="Courier New"/>
                <w:noProof/>
                <w:sz w:val="20"/>
                <w:szCs w:val="20"/>
              </w:rPr>
            </w:pPr>
            <w:r w:rsidRPr="006D17DF">
              <w:rPr>
                <w:rFonts w:ascii="Courier New" w:hAnsi="Courier New" w:cs="Courier New"/>
                <w:noProof/>
                <w:sz w:val="20"/>
                <w:szCs w:val="20"/>
              </w:rPr>
              <w:t>...g</w:t>
            </w:r>
            <w:r w:rsidRPr="006D17DF">
              <w:rPr>
                <w:rFonts w:ascii="Courier New" w:hAnsi="Courier New" w:cs="Courier New"/>
                <w:b/>
                <w:bCs/>
                <w:noProof/>
                <w:sz w:val="20"/>
                <w:szCs w:val="20"/>
              </w:rPr>
              <w:t>c</w:t>
            </w:r>
            <w:r w:rsidRPr="006D17DF">
              <w:rPr>
                <w:rFonts w:ascii="Courier New" w:hAnsi="Courier New" w:cs="Courier New"/>
                <w:noProof/>
                <w:sz w:val="20"/>
                <w:szCs w:val="20"/>
              </w:rPr>
              <w:t>.</w:t>
            </w:r>
          </w:p>
        </w:tc>
        <w:tc>
          <w:tcPr>
            <w:tcW w:w="1260" w:type="dxa"/>
          </w:tcPr>
          <w:p w14:paraId="7FEB576B" w14:textId="77777777" w:rsidR="001E0683" w:rsidRPr="006D17DF" w:rsidRDefault="001E0683" w:rsidP="00773A33">
            <w:pPr>
              <w:rPr>
                <w:noProof/>
                <w:sz w:val="20"/>
                <w:szCs w:val="20"/>
              </w:rPr>
            </w:pPr>
            <w:r w:rsidRPr="006D17DF">
              <w:rPr>
                <w:noProof/>
                <w:sz w:val="20"/>
                <w:szCs w:val="20"/>
              </w:rPr>
              <w:t>2.241</w:t>
            </w:r>
          </w:p>
        </w:tc>
        <w:tc>
          <w:tcPr>
            <w:tcW w:w="1260" w:type="dxa"/>
          </w:tcPr>
          <w:p w14:paraId="0285A9FF" w14:textId="77777777" w:rsidR="001E0683" w:rsidRPr="006D17DF" w:rsidRDefault="001E0683" w:rsidP="00773A33">
            <w:pPr>
              <w:rPr>
                <w:noProof/>
                <w:sz w:val="20"/>
                <w:szCs w:val="20"/>
              </w:rPr>
            </w:pPr>
            <w:r w:rsidRPr="006D17DF">
              <w:rPr>
                <w:noProof/>
                <w:sz w:val="20"/>
                <w:szCs w:val="20"/>
              </w:rPr>
              <w:t>0.0125</w:t>
            </w:r>
          </w:p>
        </w:tc>
      </w:tr>
      <w:tr w:rsidR="001E0683" w:rsidRPr="0016418C" w14:paraId="744C0E99" w14:textId="77777777" w:rsidTr="00945590">
        <w:tc>
          <w:tcPr>
            <w:tcW w:w="1525" w:type="dxa"/>
          </w:tcPr>
          <w:p w14:paraId="4BD1D3E6" w14:textId="77777777" w:rsidR="001E0683" w:rsidRPr="006D17DF" w:rsidRDefault="001E0683" w:rsidP="00773A33">
            <w:pPr>
              <w:rPr>
                <w:rFonts w:ascii="Courier New" w:hAnsi="Courier New" w:cs="Courier New"/>
                <w:noProof/>
                <w:sz w:val="20"/>
                <w:szCs w:val="20"/>
              </w:rPr>
            </w:pPr>
            <w:r w:rsidRPr="006D17DF">
              <w:rPr>
                <w:rFonts w:ascii="Courier New" w:hAnsi="Courier New" w:cs="Courier New"/>
                <w:noProof/>
                <w:sz w:val="20"/>
                <w:szCs w:val="20"/>
              </w:rPr>
              <w:t>ryg</w:t>
            </w:r>
            <w:r w:rsidRPr="006D17DF">
              <w:rPr>
                <w:rFonts w:ascii="Courier New" w:hAnsi="Courier New" w:cs="Courier New"/>
                <w:b/>
                <w:bCs/>
                <w:noProof/>
                <w:sz w:val="20"/>
                <w:szCs w:val="20"/>
              </w:rPr>
              <w:t>c</w:t>
            </w:r>
            <w:r w:rsidRPr="006D17DF">
              <w:rPr>
                <w:rFonts w:ascii="Courier New" w:hAnsi="Courier New" w:cs="Courier New"/>
                <w:noProof/>
                <w:sz w:val="20"/>
                <w:szCs w:val="20"/>
              </w:rPr>
              <w:t>g</w:t>
            </w:r>
            <w:r w:rsidRPr="006D17DF">
              <w:rPr>
                <w:rFonts w:ascii="Courier New" w:hAnsi="Courier New" w:cs="Courier New"/>
                <w:b/>
                <w:bCs/>
                <w:noProof/>
                <w:sz w:val="20"/>
                <w:szCs w:val="20"/>
              </w:rPr>
              <w:t>cb</w:t>
            </w:r>
          </w:p>
        </w:tc>
        <w:tc>
          <w:tcPr>
            <w:tcW w:w="1513" w:type="dxa"/>
          </w:tcPr>
          <w:p w14:paraId="4BBAF2C6" w14:textId="77777777" w:rsidR="001E0683" w:rsidRPr="006D17DF" w:rsidRDefault="001E0683" w:rsidP="00773A33">
            <w:pPr>
              <w:rPr>
                <w:rFonts w:ascii="Courier New" w:hAnsi="Courier New" w:cs="Courier New"/>
                <w:noProof/>
                <w:sz w:val="20"/>
                <w:szCs w:val="20"/>
              </w:rPr>
            </w:pPr>
            <w:r w:rsidRPr="006D17DF">
              <w:rPr>
                <w:rFonts w:ascii="Courier New" w:hAnsi="Courier New" w:cs="Courier New"/>
                <w:noProof/>
                <w:sz w:val="20"/>
                <w:szCs w:val="20"/>
              </w:rPr>
              <w:t>...u.ga</w:t>
            </w:r>
          </w:p>
        </w:tc>
        <w:tc>
          <w:tcPr>
            <w:tcW w:w="1260" w:type="dxa"/>
          </w:tcPr>
          <w:p w14:paraId="5E007610" w14:textId="77777777" w:rsidR="001E0683" w:rsidRPr="006D17DF" w:rsidRDefault="001E0683" w:rsidP="00773A33">
            <w:pPr>
              <w:rPr>
                <w:noProof/>
                <w:sz w:val="20"/>
                <w:szCs w:val="20"/>
              </w:rPr>
            </w:pPr>
            <w:r w:rsidRPr="006D17DF">
              <w:rPr>
                <w:noProof/>
                <w:sz w:val="20"/>
                <w:szCs w:val="20"/>
              </w:rPr>
              <w:t>NA</w:t>
            </w:r>
          </w:p>
        </w:tc>
        <w:tc>
          <w:tcPr>
            <w:tcW w:w="1260" w:type="dxa"/>
          </w:tcPr>
          <w:p w14:paraId="52BE1F60" w14:textId="77777777" w:rsidR="001E0683" w:rsidRPr="006D17DF" w:rsidRDefault="001E0683" w:rsidP="00773A33">
            <w:pPr>
              <w:rPr>
                <w:noProof/>
                <w:sz w:val="20"/>
                <w:szCs w:val="20"/>
              </w:rPr>
            </w:pPr>
            <w:r w:rsidRPr="006D17DF">
              <w:rPr>
                <w:noProof/>
                <w:sz w:val="20"/>
                <w:szCs w:val="20"/>
              </w:rPr>
              <w:t>NA</w:t>
            </w:r>
          </w:p>
        </w:tc>
        <w:tc>
          <w:tcPr>
            <w:tcW w:w="1260" w:type="dxa"/>
          </w:tcPr>
          <w:p w14:paraId="62C67E5D" w14:textId="77777777" w:rsidR="001E0683" w:rsidRPr="006D17DF" w:rsidRDefault="001E0683" w:rsidP="00773A33">
            <w:pPr>
              <w:rPr>
                <w:rFonts w:ascii="Courier New" w:hAnsi="Courier New" w:cs="Courier New"/>
                <w:noProof/>
                <w:sz w:val="20"/>
                <w:szCs w:val="20"/>
              </w:rPr>
            </w:pPr>
            <w:r w:rsidRPr="006D17DF">
              <w:rPr>
                <w:rFonts w:ascii="Courier New" w:hAnsi="Courier New" w:cs="Courier New"/>
                <w:noProof/>
                <w:sz w:val="20"/>
                <w:szCs w:val="20"/>
              </w:rPr>
              <w:t>...u.</w:t>
            </w:r>
            <w:r w:rsidRPr="006D17DF">
              <w:rPr>
                <w:rFonts w:ascii="Courier New" w:hAnsi="Courier New" w:cs="Courier New"/>
                <w:b/>
                <w:bCs/>
                <w:noProof/>
                <w:sz w:val="20"/>
                <w:szCs w:val="20"/>
              </w:rPr>
              <w:t>c</w:t>
            </w:r>
            <w:r w:rsidRPr="006D17DF">
              <w:rPr>
                <w:rFonts w:ascii="Courier New" w:hAnsi="Courier New" w:cs="Courier New"/>
                <w:noProof/>
                <w:sz w:val="20"/>
                <w:szCs w:val="20"/>
              </w:rPr>
              <w:t>a</w:t>
            </w:r>
          </w:p>
        </w:tc>
        <w:tc>
          <w:tcPr>
            <w:tcW w:w="1260" w:type="dxa"/>
          </w:tcPr>
          <w:p w14:paraId="73EAA37A" w14:textId="77777777" w:rsidR="001E0683" w:rsidRPr="006D17DF" w:rsidRDefault="001E0683" w:rsidP="00773A33">
            <w:pPr>
              <w:rPr>
                <w:noProof/>
                <w:sz w:val="20"/>
                <w:szCs w:val="20"/>
              </w:rPr>
            </w:pPr>
            <w:r w:rsidRPr="006D17DF">
              <w:rPr>
                <w:noProof/>
                <w:sz w:val="20"/>
                <w:szCs w:val="20"/>
              </w:rPr>
              <w:t>1.784</w:t>
            </w:r>
          </w:p>
        </w:tc>
        <w:tc>
          <w:tcPr>
            <w:tcW w:w="1260" w:type="dxa"/>
          </w:tcPr>
          <w:p w14:paraId="0B8E7C87" w14:textId="77777777" w:rsidR="001E0683" w:rsidRPr="006D17DF" w:rsidRDefault="001E0683" w:rsidP="00773A33">
            <w:pPr>
              <w:rPr>
                <w:noProof/>
                <w:sz w:val="20"/>
                <w:szCs w:val="20"/>
              </w:rPr>
            </w:pPr>
            <w:r w:rsidRPr="006D17DF">
              <w:rPr>
                <w:noProof/>
                <w:sz w:val="20"/>
                <w:szCs w:val="20"/>
              </w:rPr>
              <w:t>0.0372</w:t>
            </w:r>
          </w:p>
        </w:tc>
      </w:tr>
    </w:tbl>
    <w:p w14:paraId="24D8EF55" w14:textId="77777777" w:rsidR="001E0683" w:rsidRDefault="001E0683" w:rsidP="001E0683">
      <w:pPr>
        <w:rPr>
          <w:noProof/>
        </w:rPr>
      </w:pPr>
    </w:p>
    <w:p w14:paraId="2AF79BAE" w14:textId="77777777" w:rsidR="001E0683" w:rsidRDefault="001E0683">
      <w:pPr>
        <w:spacing w:after="160" w:line="278" w:lineRule="auto"/>
        <w:rPr>
          <w:b/>
          <w:bCs/>
          <w:u w:val="single"/>
        </w:rPr>
      </w:pPr>
      <w:r>
        <w:rPr>
          <w:b/>
          <w:bCs/>
          <w:u w:val="single"/>
        </w:rPr>
        <w:br w:type="page"/>
      </w:r>
    </w:p>
    <w:p w14:paraId="6819C82C" w14:textId="02CB4ECE" w:rsidR="001E0683" w:rsidRPr="006D17DF" w:rsidRDefault="001E0683" w:rsidP="001E0683">
      <w:pPr>
        <w:spacing w:after="160" w:line="278" w:lineRule="auto"/>
      </w:pPr>
      <w:r w:rsidRPr="001E0683">
        <w:rPr>
          <w:b/>
          <w:bCs/>
          <w:u w:val="single"/>
        </w:rPr>
        <w:lastRenderedPageBreak/>
        <w:t xml:space="preserve">Figure </w:t>
      </w:r>
      <w:r w:rsidR="00ED2F3B">
        <w:rPr>
          <w:b/>
          <w:bCs/>
          <w:u w:val="single"/>
        </w:rPr>
        <w:t>1</w:t>
      </w:r>
      <w:r w:rsidR="006D17DF">
        <w:rPr>
          <w:b/>
          <w:bCs/>
          <w:u w:val="single"/>
        </w:rPr>
        <w:t>:</w:t>
      </w:r>
      <w:r w:rsidR="006D17DF">
        <w:t xml:space="preserve"> Manhattan plots of composite statistic for each species. The genes associated with a significant GO term identified for a particular species are mapped to the plot and presented in the color theme of the respective species. The three genes in black were identified as candidate genes in all three species.</w:t>
      </w:r>
    </w:p>
    <w:p w14:paraId="63431685" w14:textId="1FC3CAE1" w:rsidR="00ED2F3B" w:rsidRDefault="00ED2F3B" w:rsidP="001E0683">
      <w:pPr>
        <w:spacing w:after="160" w:line="278" w:lineRule="auto"/>
        <w:rPr>
          <w:b/>
          <w:bCs/>
          <w:u w:val="single"/>
        </w:rPr>
      </w:pPr>
      <w:r>
        <w:rPr>
          <w:noProof/>
          <w14:ligatures w14:val="standardContextual"/>
        </w:rPr>
        <w:drawing>
          <wp:inline distT="0" distB="0" distL="0" distR="0" wp14:anchorId="354AD60E" wp14:editId="511F7A84">
            <wp:extent cx="5943600" cy="3948430"/>
            <wp:effectExtent l="0" t="0" r="0" b="1270"/>
            <wp:docPr id="1824681985" name="Picture 2" descr="A diagram of a number of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81985" name="Picture 2" descr="A diagram of a number of colorful lines&#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943600" cy="3948430"/>
                    </a:xfrm>
                    <a:prstGeom prst="rect">
                      <a:avLst/>
                    </a:prstGeom>
                  </pic:spPr>
                </pic:pic>
              </a:graphicData>
            </a:graphic>
          </wp:inline>
        </w:drawing>
      </w:r>
    </w:p>
    <w:p w14:paraId="7DAEDD8C" w14:textId="77777777" w:rsidR="00ED2F3B" w:rsidRDefault="00ED2F3B">
      <w:pPr>
        <w:spacing w:after="160" w:line="278" w:lineRule="auto"/>
        <w:rPr>
          <w:b/>
          <w:bCs/>
          <w:u w:val="single"/>
        </w:rPr>
      </w:pPr>
      <w:r>
        <w:rPr>
          <w:b/>
          <w:bCs/>
          <w:u w:val="single"/>
        </w:rPr>
        <w:br w:type="page"/>
      </w:r>
    </w:p>
    <w:p w14:paraId="5220B0EB" w14:textId="34DFDDF6" w:rsidR="00ED2F3B" w:rsidRPr="006D17DF" w:rsidRDefault="00ED2F3B" w:rsidP="001E0683">
      <w:pPr>
        <w:spacing w:after="160" w:line="278" w:lineRule="auto"/>
      </w:pPr>
      <w:r>
        <w:rPr>
          <w:b/>
          <w:bCs/>
          <w:u w:val="single"/>
        </w:rPr>
        <w:lastRenderedPageBreak/>
        <w:t>Figure 2</w:t>
      </w:r>
      <w:r w:rsidR="006D17DF">
        <w:rPr>
          <w:b/>
          <w:bCs/>
          <w:u w:val="single"/>
        </w:rPr>
        <w:t>:</w:t>
      </w:r>
      <w:r w:rsidR="006D17DF" w:rsidRPr="006D17DF">
        <w:rPr>
          <w:b/>
          <w:bCs/>
        </w:rPr>
        <w:t xml:space="preserve"> A</w:t>
      </w:r>
      <w:r w:rsidR="006D17DF">
        <w:t xml:space="preserve">. Counts of candidate genes identified in the top 1% of windows of each species using the composite statistic. </w:t>
      </w:r>
      <w:r w:rsidR="006D17DF" w:rsidRPr="006D17DF">
        <w:rPr>
          <w:b/>
          <w:bCs/>
        </w:rPr>
        <w:t>B</w:t>
      </w:r>
      <w:r w:rsidR="006D17DF">
        <w:t xml:space="preserve">. Change in allele frequency of CpG sites identified within the three genes identified within all three focal taxa, the three genes in the center of the </w:t>
      </w:r>
      <w:proofErr w:type="spellStart"/>
      <w:r w:rsidR="006D17DF">
        <w:t>venn</w:t>
      </w:r>
      <w:proofErr w:type="spellEnd"/>
      <w:r w:rsidR="006D17DF">
        <w:t xml:space="preserve"> diagram in </w:t>
      </w:r>
      <w:r w:rsidR="006D17DF" w:rsidRPr="006D17DF">
        <w:rPr>
          <w:i/>
          <w:iCs/>
        </w:rPr>
        <w:t>A</w:t>
      </w:r>
      <w:r w:rsidR="006D17DF">
        <w:t>. Allele frequencies are encoded to show the frequency of the allele that contains the CpG pattern at a particular site rather than the alternative allele.</w:t>
      </w:r>
    </w:p>
    <w:p w14:paraId="0051B0D0" w14:textId="331E3F9B" w:rsidR="001E0683" w:rsidRPr="00903CDB" w:rsidRDefault="001E0683" w:rsidP="001E0683">
      <w:pPr>
        <w:spacing w:after="160" w:line="278" w:lineRule="auto"/>
      </w:pPr>
      <w:r>
        <w:rPr>
          <w:noProof/>
          <w14:ligatures w14:val="standardContextual"/>
        </w:rPr>
        <w:drawing>
          <wp:inline distT="0" distB="0" distL="0" distR="0" wp14:anchorId="2A7AF7F9" wp14:editId="06C12B3E">
            <wp:extent cx="5943600" cy="4342765"/>
            <wp:effectExtent l="0" t="0" r="0" b="635"/>
            <wp:docPr id="420730632" name="Picture 1" descr="A diagram of different types of tre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730632" name="Picture 1" descr="A diagram of different types of trees&#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943600" cy="4342765"/>
                    </a:xfrm>
                    <a:prstGeom prst="rect">
                      <a:avLst/>
                    </a:prstGeom>
                  </pic:spPr>
                </pic:pic>
              </a:graphicData>
            </a:graphic>
          </wp:inline>
        </w:drawing>
      </w:r>
    </w:p>
    <w:p w14:paraId="2006C1D3" w14:textId="77777777" w:rsidR="00903CDB" w:rsidRDefault="00903CDB" w:rsidP="00F678AC">
      <w:pPr>
        <w:spacing w:after="160" w:line="278" w:lineRule="auto"/>
        <w:ind w:firstLine="360"/>
      </w:pPr>
    </w:p>
    <w:p w14:paraId="5984C1F9" w14:textId="448B1D6B" w:rsidR="00F678AC" w:rsidRPr="00F678AC" w:rsidRDefault="00EC0CC4" w:rsidP="00F678AC">
      <w:pPr>
        <w:spacing w:after="160" w:line="278" w:lineRule="auto"/>
        <w:ind w:firstLine="360"/>
      </w:pPr>
      <w:r>
        <w:t xml:space="preserve"> </w:t>
      </w:r>
    </w:p>
    <w:p w14:paraId="43AC706A" w14:textId="04C5CF58" w:rsidR="00857BB0" w:rsidRDefault="00F678AC" w:rsidP="000B32DA">
      <w:pPr>
        <w:spacing w:after="160" w:line="278" w:lineRule="auto"/>
        <w:ind w:firstLine="360"/>
      </w:pPr>
      <w:r>
        <w:t xml:space="preserve">  </w:t>
      </w:r>
    </w:p>
    <w:p w14:paraId="5D114431" w14:textId="3292C56B" w:rsidR="000129E9" w:rsidRDefault="000129E9" w:rsidP="000B32DA">
      <w:pPr>
        <w:spacing w:after="160" w:line="278" w:lineRule="auto"/>
        <w:ind w:firstLine="360"/>
      </w:pPr>
      <w:r>
        <w:br w:type="page"/>
      </w:r>
    </w:p>
    <w:p w14:paraId="7E68973B" w14:textId="2A49676B" w:rsidR="00304CCA" w:rsidRPr="00665B9B" w:rsidRDefault="006727B2">
      <w:pPr>
        <w:rPr>
          <w:b/>
          <w:bCs/>
          <w:sz w:val="32"/>
          <w:szCs w:val="32"/>
          <w:u w:val="single"/>
        </w:rPr>
      </w:pPr>
      <w:r w:rsidRPr="00665B9B">
        <w:rPr>
          <w:b/>
          <w:bCs/>
          <w:sz w:val="32"/>
          <w:szCs w:val="32"/>
          <w:u w:val="single"/>
        </w:rPr>
        <w:lastRenderedPageBreak/>
        <w:t>Methods</w:t>
      </w:r>
    </w:p>
    <w:p w14:paraId="49DFE236" w14:textId="1432DA60" w:rsidR="006727B2" w:rsidRPr="006727B2" w:rsidRDefault="006727B2">
      <w:pPr>
        <w:rPr>
          <w:b/>
          <w:bCs/>
          <w:u w:val="single"/>
        </w:rPr>
      </w:pPr>
      <w:r w:rsidRPr="006727B2">
        <w:rPr>
          <w:b/>
          <w:bCs/>
          <w:u w:val="single"/>
        </w:rPr>
        <w:t>DNA Sequencing</w:t>
      </w:r>
    </w:p>
    <w:p w14:paraId="765329E8" w14:textId="40815C8A" w:rsidR="006727B2" w:rsidRDefault="009810B7">
      <w:r>
        <w:t>We accessed published whole genome sequence data (~9x coverage) from samples taken in the 1980s and 1990s from three species of Darwin’s finch: the medium ground finch (</w:t>
      </w:r>
      <w:r>
        <w:rPr>
          <w:i/>
          <w:iCs/>
        </w:rPr>
        <w:t xml:space="preserve">Geospiza fortis, </w:t>
      </w:r>
      <w:r>
        <w:t>N=10), vegetarian finch (</w:t>
      </w:r>
      <w:r>
        <w:rPr>
          <w:i/>
          <w:iCs/>
        </w:rPr>
        <w:t xml:space="preserve">Platyspiza </w:t>
      </w:r>
      <w:proofErr w:type="spellStart"/>
      <w:r>
        <w:rPr>
          <w:i/>
          <w:iCs/>
        </w:rPr>
        <w:t>crassirostris</w:t>
      </w:r>
      <w:proofErr w:type="spellEnd"/>
      <w:r>
        <w:rPr>
          <w:i/>
          <w:iCs/>
        </w:rPr>
        <w:t xml:space="preserve">, </w:t>
      </w:r>
      <w:r>
        <w:t>N=5), and the small tree finch (</w:t>
      </w:r>
      <w:proofErr w:type="spellStart"/>
      <w:r>
        <w:rPr>
          <w:i/>
          <w:iCs/>
        </w:rPr>
        <w:t>Camarhynchus</w:t>
      </w:r>
      <w:proofErr w:type="spellEnd"/>
      <w:r>
        <w:rPr>
          <w:i/>
          <w:iCs/>
        </w:rPr>
        <w:t xml:space="preserve"> </w:t>
      </w:r>
      <w:proofErr w:type="spellStart"/>
      <w:r>
        <w:rPr>
          <w:i/>
          <w:iCs/>
        </w:rPr>
        <w:t>parvulus</w:t>
      </w:r>
      <w:proofErr w:type="spellEnd"/>
      <w:r>
        <w:t>, N=12). These samples constitute our “</w:t>
      </w:r>
      <w:proofErr w:type="spellStart"/>
      <w:r>
        <w:t>pre invasion</w:t>
      </w:r>
      <w:proofErr w:type="spellEnd"/>
      <w:r>
        <w:t xml:space="preserve">” treatment. </w:t>
      </w:r>
      <w:r w:rsidR="006727B2">
        <w:t xml:space="preserve">We collected blood samples from </w:t>
      </w:r>
      <w:r>
        <w:t>these same</w:t>
      </w:r>
      <w:r w:rsidR="006727B2">
        <w:t xml:space="preserve"> species </w:t>
      </w:r>
      <w:r>
        <w:t>in</w:t>
      </w:r>
      <w:r w:rsidR="006727B2">
        <w:t xml:space="preserve"> 2019</w:t>
      </w:r>
      <w:r>
        <w:t>, (</w:t>
      </w:r>
      <w:r w:rsidR="006727B2">
        <w:t>N=8</w:t>
      </w:r>
      <w:r>
        <w:t xml:space="preserve">, </w:t>
      </w:r>
      <w:r w:rsidR="006727B2">
        <w:t>N=9</w:t>
      </w:r>
      <w:r>
        <w:t>,</w:t>
      </w:r>
      <w:r w:rsidR="006727B2">
        <w:t xml:space="preserve"> and N=7</w:t>
      </w:r>
      <w:r>
        <w:t>, respectively</w:t>
      </w:r>
      <w:r w:rsidR="006727B2">
        <w:t>)</w:t>
      </w:r>
      <w:r>
        <w:t xml:space="preserve">, extracted the DNA using Qiagen </w:t>
      </w:r>
      <w:proofErr w:type="spellStart"/>
      <w:r>
        <w:t>DNeasy</w:t>
      </w:r>
      <w:proofErr w:type="spellEnd"/>
      <w:r>
        <w:t xml:space="preserve"> kits [confirm extraction  with Sabrina], and </w:t>
      </w:r>
      <w:r w:rsidR="006727B2">
        <w:t xml:space="preserve">sequenced the whole genomes on Illumina … </w:t>
      </w:r>
      <w:r>
        <w:t>[</w:t>
      </w:r>
      <w:r w:rsidR="006727B2">
        <w:t>get sequencing info from Sabrina</w:t>
      </w:r>
      <w:r>
        <w:t>]</w:t>
      </w:r>
      <w:r w:rsidR="006727B2">
        <w:t xml:space="preserve"> to an average depth of ~9x coverage. These samples constitute our “post invasion” </w:t>
      </w:r>
      <w:proofErr w:type="gramStart"/>
      <w:r w:rsidR="001A610C">
        <w:t>treatment</w:t>
      </w:r>
      <w:r w:rsidR="006727B2">
        <w:t>, and</w:t>
      </w:r>
      <w:proofErr w:type="gramEnd"/>
      <w:r w:rsidR="006727B2">
        <w:t xml:space="preserve"> were taken 21 years or 3.5-7 finch generations after the fly was first recorded in an avian nest in 1998 (CITE). </w:t>
      </w:r>
    </w:p>
    <w:p w14:paraId="0A9D148D" w14:textId="77777777" w:rsidR="001F2342" w:rsidRDefault="001F2342"/>
    <w:p w14:paraId="4937F2BD" w14:textId="6A422010" w:rsidR="006727B2" w:rsidRDefault="006727B2">
      <w:pPr>
        <w:rPr>
          <w:b/>
          <w:bCs/>
          <w:u w:val="single"/>
        </w:rPr>
      </w:pPr>
      <w:r>
        <w:rPr>
          <w:b/>
          <w:bCs/>
          <w:u w:val="single"/>
        </w:rPr>
        <w:t>DNA Processing</w:t>
      </w:r>
    </w:p>
    <w:p w14:paraId="463A4101" w14:textId="5A60FA2E" w:rsidR="001A610C" w:rsidRDefault="001A610C" w:rsidP="001A610C">
      <w:pPr>
        <w:ind w:firstLine="720"/>
      </w:pPr>
      <w:r>
        <w:t xml:space="preserve">To assess and address potential batch effects between the genomic datasets in our pre and post treatments, we carefully followed guidelines for data processing to ameliorate batch effects outlined in Lou et al. (CITE). We also prioritized analyses that leverage genotype likelihoods </w:t>
      </w:r>
      <w:r w:rsidR="009810B7">
        <w:t xml:space="preserve">for </w:t>
      </w:r>
      <w:r w:rsidR="00ED2F3B">
        <w:t>all</w:t>
      </w:r>
      <w:r w:rsidR="009810B7">
        <w:t xml:space="preserve"> of our analyses</w:t>
      </w:r>
      <w:r w:rsidR="00ED2F3B">
        <w:t xml:space="preserve">. For analyses of specific mutations in candidate genes, we report allele frequencies using genotype calls for ease of interpretability of results. </w:t>
      </w:r>
    </w:p>
    <w:p w14:paraId="57466548" w14:textId="57E9FA75" w:rsidR="006727B2" w:rsidRDefault="006727B2" w:rsidP="001A610C">
      <w:pPr>
        <w:ind w:firstLine="720"/>
      </w:pPr>
      <w:r>
        <w:t xml:space="preserve">We </w:t>
      </w:r>
      <w:r w:rsidR="007E6400">
        <w:t xml:space="preserve">trimmed adapters from the raw sequence </w:t>
      </w:r>
      <w:proofErr w:type="spellStart"/>
      <w:r w:rsidR="007E6400">
        <w:t>fasta</w:t>
      </w:r>
      <w:proofErr w:type="spellEnd"/>
      <w:r w:rsidR="007E6400">
        <w:t xml:space="preserve"> files using </w:t>
      </w:r>
      <w:proofErr w:type="spellStart"/>
      <w:r w:rsidR="007E6400">
        <w:t>Trimmomatic</w:t>
      </w:r>
      <w:proofErr w:type="spellEnd"/>
      <w:r w:rsidR="007E6400">
        <w:t xml:space="preserve">. We then trimmed </w:t>
      </w:r>
      <w:proofErr w:type="spellStart"/>
      <w:r w:rsidR="007E6400">
        <w:t>polyg</w:t>
      </w:r>
      <w:proofErr w:type="spellEnd"/>
      <w:r w:rsidR="007E6400">
        <w:t xml:space="preserve"> tails with a minimum poly-g length of 10 in the program </w:t>
      </w:r>
      <w:proofErr w:type="spellStart"/>
      <w:r w:rsidR="007E6400">
        <w:t>fastp</w:t>
      </w:r>
      <w:proofErr w:type="spellEnd"/>
      <w:r w:rsidR="007E6400">
        <w:t xml:space="preserve">. Following this, we trimmed for length and quality using </w:t>
      </w:r>
      <w:proofErr w:type="spellStart"/>
      <w:r w:rsidR="007E6400">
        <w:t>Trimmomatic</w:t>
      </w:r>
      <w:proofErr w:type="spellEnd"/>
      <w:r w:rsidR="007E6400">
        <w:t xml:space="preserve"> with the settings </w:t>
      </w:r>
      <w:r w:rsidR="007E6400" w:rsidRPr="007E6400">
        <w:t>LEADING:20 TRAILING:20 SLIDINGWINDOW:4:20 MINLEN:90</w:t>
      </w:r>
      <w:r w:rsidR="007E6400">
        <w:t xml:space="preserve">. We assessed sequence data using </w:t>
      </w:r>
      <w:proofErr w:type="spellStart"/>
      <w:r w:rsidR="007E6400">
        <w:t>fastqc</w:t>
      </w:r>
      <w:proofErr w:type="spellEnd"/>
      <w:r w:rsidR="007E6400">
        <w:t xml:space="preserve"> at each step.</w:t>
      </w:r>
    </w:p>
    <w:p w14:paraId="59B34C3E" w14:textId="23D550AF" w:rsidR="001A610C" w:rsidRDefault="007E6400" w:rsidP="007E6400">
      <w:pPr>
        <w:ind w:firstLine="720"/>
      </w:pPr>
      <w:r>
        <w:t xml:space="preserve">We then aligned files using bowtie2 to the chromosome level </w:t>
      </w:r>
      <w:proofErr w:type="spellStart"/>
      <w:r w:rsidRPr="007E6400">
        <w:rPr>
          <w:i/>
          <w:iCs/>
        </w:rPr>
        <w:t>Camarhynchus</w:t>
      </w:r>
      <w:proofErr w:type="spellEnd"/>
      <w:r w:rsidRPr="007E6400">
        <w:rPr>
          <w:i/>
          <w:iCs/>
        </w:rPr>
        <w:t xml:space="preserve"> </w:t>
      </w:r>
      <w:proofErr w:type="spellStart"/>
      <w:r w:rsidRPr="007E6400">
        <w:rPr>
          <w:i/>
          <w:iCs/>
        </w:rPr>
        <w:t>parvulus</w:t>
      </w:r>
      <w:proofErr w:type="spellEnd"/>
      <w:r>
        <w:t xml:space="preserve"> </w:t>
      </w:r>
      <w:r w:rsidR="00CD2994">
        <w:t>STF-</w:t>
      </w:r>
      <w:proofErr w:type="spellStart"/>
      <w:r w:rsidR="00CD2994">
        <w:t>HiC</w:t>
      </w:r>
      <w:proofErr w:type="spellEnd"/>
      <w:r w:rsidR="00CD2994">
        <w:t xml:space="preserve"> </w:t>
      </w:r>
      <w:r>
        <w:t>reference genome (</w:t>
      </w:r>
      <w:r w:rsidR="00CD2994">
        <w:t xml:space="preserve">1.28 </w:t>
      </w:r>
      <w:proofErr w:type="spellStart"/>
      <w:r w:rsidR="00CD2994">
        <w:t>GB;Genbank</w:t>
      </w:r>
      <w:proofErr w:type="spellEnd"/>
      <w:r w:rsidR="00CD2994">
        <w:t xml:space="preserve"> accession number</w:t>
      </w:r>
      <w:r>
        <w:t>: GCF_901933205.1)</w:t>
      </w:r>
      <w:r w:rsidR="00CD2994">
        <w:t xml:space="preserve">, converted the output to bam files, and sorted each bam file in </w:t>
      </w:r>
      <w:proofErr w:type="spellStart"/>
      <w:r w:rsidR="00CD2994">
        <w:t>samtools</w:t>
      </w:r>
      <w:proofErr w:type="spellEnd"/>
      <w:r w:rsidR="00CD2994">
        <w:t xml:space="preserve">. We clipped overlapping read pairs using the function </w:t>
      </w:r>
      <w:proofErr w:type="spellStart"/>
      <w:r w:rsidR="00CD2994">
        <w:t>clipOverlap</w:t>
      </w:r>
      <w:proofErr w:type="spellEnd"/>
      <w:r w:rsidR="00CD2994">
        <w:t xml:space="preserve"> in </w:t>
      </w:r>
      <w:proofErr w:type="spellStart"/>
      <w:r w:rsidR="00CD2994">
        <w:t>bamUtil</w:t>
      </w:r>
      <w:proofErr w:type="spellEnd"/>
      <w:r w:rsidR="00CD2994">
        <w:t xml:space="preserve"> and we realigned around indels using </w:t>
      </w:r>
      <w:proofErr w:type="spellStart"/>
      <w:r w:rsidR="00CD2994">
        <w:t>gatk</w:t>
      </w:r>
      <w:proofErr w:type="spellEnd"/>
      <w:r w:rsidR="00CD2994">
        <w:t xml:space="preserve"> (3.7-0). Finally, we added read groups using the </w:t>
      </w:r>
      <w:proofErr w:type="spellStart"/>
      <w:r w:rsidR="00CD2994">
        <w:t>AddOrReplaceReadGroups</w:t>
      </w:r>
      <w:proofErr w:type="spellEnd"/>
      <w:r w:rsidR="00CD2994">
        <w:t xml:space="preserve"> function in </w:t>
      </w:r>
      <w:proofErr w:type="spellStart"/>
      <w:r w:rsidR="00CD2994">
        <w:t>picard</w:t>
      </w:r>
      <w:proofErr w:type="spellEnd"/>
      <w:r w:rsidR="00CD2994">
        <w:t>.</w:t>
      </w:r>
      <w:r w:rsidR="001A610C">
        <w:t xml:space="preserve"> We then curated a list of SNPs for use in downstream analyses in </w:t>
      </w:r>
      <w:proofErr w:type="spellStart"/>
      <w:r w:rsidR="001A610C">
        <w:t>angsd</w:t>
      </w:r>
      <w:proofErr w:type="spellEnd"/>
      <w:r w:rsidR="001A610C">
        <w:t xml:space="preserve"> using the default SNP p-value cutoff of 1e-6, minimum quality and mapping quality scores of 30, and minimum minor-allele frequency of 0.05.</w:t>
      </w:r>
    </w:p>
    <w:p w14:paraId="4F50069E" w14:textId="5D629B5D" w:rsidR="006727B2" w:rsidRDefault="006727B2">
      <w:pPr>
        <w:rPr>
          <w:b/>
          <w:bCs/>
          <w:u w:val="single"/>
        </w:rPr>
      </w:pPr>
      <w:r>
        <w:rPr>
          <w:b/>
          <w:bCs/>
          <w:u w:val="single"/>
        </w:rPr>
        <w:t>DNA Analysis</w:t>
      </w:r>
    </w:p>
    <w:p w14:paraId="684F65B4" w14:textId="6BB13523" w:rsidR="00CD29FE" w:rsidRDefault="001A610C">
      <w:r>
        <w:tab/>
        <w:t xml:space="preserve">We assessed population structure of our samples using a </w:t>
      </w:r>
      <w:r w:rsidR="009810B7">
        <w:t>principal component analysis</w:t>
      </w:r>
      <w:r>
        <w:t xml:space="preserve"> implemented in </w:t>
      </w:r>
      <w:proofErr w:type="spellStart"/>
      <w:r>
        <w:t>PCAngsd</w:t>
      </w:r>
      <w:proofErr w:type="spellEnd"/>
      <w:r>
        <w:t xml:space="preserve">, which confirmed species clusters and showed no bias by treatment. For all windowed analyses, we eliminated windows with either an average depth of coverage or average </w:t>
      </w:r>
      <w:proofErr w:type="spellStart"/>
      <w:r>
        <w:t>mapability</w:t>
      </w:r>
      <w:proofErr w:type="spellEnd"/>
      <w:r>
        <w:t xml:space="preserve"> below or above 2 standard deviations from the mean. We tested for selection between our two time points by analyzing F</w:t>
      </w:r>
      <w:r w:rsidRPr="001A610C">
        <w:rPr>
          <w:vertAlign w:val="superscript"/>
        </w:rPr>
        <w:t>ST</w:t>
      </w:r>
      <w:r w:rsidR="0081768C">
        <w:t xml:space="preserve"> and </w:t>
      </w:r>
      <w:r w:rsidR="00CD29FE">
        <w:t xml:space="preserve">change in </w:t>
      </w:r>
      <w:r>
        <w:t>Tajima’s D</w:t>
      </w:r>
      <w:r w:rsidR="00CD29FE">
        <w:t xml:space="preserve"> (∆Tajima)</w:t>
      </w:r>
      <w:r w:rsidR="0081768C">
        <w:t xml:space="preserve"> </w:t>
      </w:r>
      <w:r>
        <w:t xml:space="preserve">across the genome using </w:t>
      </w:r>
      <w:proofErr w:type="spellStart"/>
      <w:r>
        <w:t>angsd</w:t>
      </w:r>
      <w:proofErr w:type="spellEnd"/>
      <w:r>
        <w:t xml:space="preserve">. </w:t>
      </w:r>
      <w:r w:rsidR="009810B7">
        <w:t>For each, w</w:t>
      </w:r>
      <w:r>
        <w:t>e performed overlapping windowed analyses using 50,000 base pair windows with a step size of 12,500 base pairs. For F</w:t>
      </w:r>
      <w:r w:rsidRPr="001A610C">
        <w:rPr>
          <w:vertAlign w:val="superscript"/>
        </w:rPr>
        <w:t>ST</w:t>
      </w:r>
      <w:r w:rsidR="0081768C">
        <w:t xml:space="preserve">, </w:t>
      </w:r>
      <w:r>
        <w:t xml:space="preserve">we directly compared pre- and post-invasion treatments within each species. We computed the difference in </w:t>
      </w:r>
      <w:r w:rsidR="00CD29FE">
        <w:t>∆</w:t>
      </w:r>
      <w:r>
        <w:t xml:space="preserve">Tajima by subtracting the value estimated in each window from the pre-invasion treatment from the value estimated in the post-invasion treatment. </w:t>
      </w:r>
      <w:r w:rsidR="00D33411">
        <w:t xml:space="preserve">We computed average depth of coverage and </w:t>
      </w:r>
      <w:proofErr w:type="spellStart"/>
      <w:r w:rsidR="00D33411">
        <w:t>mapability</w:t>
      </w:r>
      <w:proofErr w:type="spellEnd"/>
      <w:r w:rsidR="00D33411">
        <w:t xml:space="preserve"> (cite </w:t>
      </w:r>
      <w:proofErr w:type="spellStart"/>
      <w:r w:rsidR="00D33411">
        <w:t>snpable</w:t>
      </w:r>
      <w:proofErr w:type="spellEnd"/>
      <w:r w:rsidR="00D33411">
        <w:t xml:space="preserve">) </w:t>
      </w:r>
      <w:r w:rsidR="003C2804">
        <w:t xml:space="preserve">for each window and then pruned out windows with depth greater or less than two standard deviations from the mean, or with </w:t>
      </w:r>
      <w:proofErr w:type="spellStart"/>
      <w:r w:rsidR="003C2804">
        <w:t>mapability</w:t>
      </w:r>
      <w:proofErr w:type="spellEnd"/>
      <w:r w:rsidR="003C2804">
        <w:t xml:space="preserve"> less than two standard deviations below the mean. These windows were pruned prior to the computation of outlier windows. </w:t>
      </w:r>
    </w:p>
    <w:p w14:paraId="0164D420" w14:textId="4E2B66AE" w:rsidR="00CD29FE" w:rsidRDefault="00CD29FE" w:rsidP="0081768C">
      <w:pPr>
        <w:ind w:firstLine="720"/>
      </w:pPr>
      <w:r>
        <w:lastRenderedPageBreak/>
        <w:t xml:space="preserve">We first </w:t>
      </w:r>
      <w:r w:rsidR="00B33898">
        <w:t>identified</w:t>
      </w:r>
      <w:r>
        <w:t xml:space="preserve"> </w:t>
      </w:r>
      <w:r w:rsidR="00B33898">
        <w:t>outlier windows under selection</w:t>
      </w:r>
      <w:r>
        <w:t xml:space="preserve"> </w:t>
      </w:r>
      <w:r w:rsidR="00B33898">
        <w:t>using</w:t>
      </w:r>
      <w:r>
        <w:t xml:space="preserve"> a composite statistic </w:t>
      </w:r>
      <w:r w:rsidR="00B33898">
        <w:t>of</w:t>
      </w:r>
      <w:r>
        <w:t xml:space="preserve"> </w:t>
      </w:r>
      <w:r w:rsidR="00B33898">
        <w:t>F</w:t>
      </w:r>
      <w:r w:rsidR="00B33898" w:rsidRPr="00B33898">
        <w:rPr>
          <w:vertAlign w:val="subscript"/>
        </w:rPr>
        <w:t>ST</w:t>
      </w:r>
      <w:r w:rsidR="00B33898">
        <w:t xml:space="preserve"> and Tajima’s D. A soft sweep is expected to drive relatively high F</w:t>
      </w:r>
      <w:r w:rsidR="00B33898" w:rsidRPr="00B33898">
        <w:rPr>
          <w:vertAlign w:val="subscript"/>
        </w:rPr>
        <w:t>ST</w:t>
      </w:r>
      <w:r w:rsidR="00B33898">
        <w:t xml:space="preserve"> values and reductions in Tajima’s D over time.</w:t>
      </w:r>
      <w:r>
        <w:t xml:space="preserve"> </w:t>
      </w:r>
      <w:r w:rsidR="00B33898">
        <w:t>For each species, we</w:t>
      </w:r>
      <w:r w:rsidR="00F419F2">
        <w:t xml:space="preserve"> </w:t>
      </w:r>
      <w:r>
        <w:t xml:space="preserve">computed the Pearson’s correlation coefficient and found no evidence of </w:t>
      </w:r>
      <w:r w:rsidR="00B33898">
        <w:t xml:space="preserve">a </w:t>
      </w:r>
      <w:r>
        <w:t>strong correlation</w:t>
      </w:r>
      <w:r w:rsidR="00B33898">
        <w:t xml:space="preserve"> between F</w:t>
      </w:r>
      <w:r w:rsidR="00B33898" w:rsidRPr="00B33898">
        <w:rPr>
          <w:vertAlign w:val="subscript"/>
        </w:rPr>
        <w:t>ST</w:t>
      </w:r>
      <w:r w:rsidR="00B33898">
        <w:t xml:space="preserve"> and ∆Tajima. We scaled and centered both statistics, took the inverse</w:t>
      </w:r>
      <w:r w:rsidR="00A9406C">
        <w:t xml:space="preserve"> of ∆Tajima, and took the sum. This produced our composite statistic in which the highest values exhibit characteristics of an ongoing selective sweep. </w:t>
      </w:r>
      <w:r w:rsidR="0081768C">
        <w:t>We conservatively took the top 0.1% of windows as candidate windows for selection, and we took the top 1% of windows for analysis of parallel evolution across taxa.</w:t>
      </w:r>
    </w:p>
    <w:p w14:paraId="377E93C6" w14:textId="3775E04F" w:rsidR="00F1423B" w:rsidRDefault="00D33411" w:rsidP="006D48F3">
      <w:pPr>
        <w:ind w:firstLine="720"/>
      </w:pPr>
      <w:r>
        <w:t xml:space="preserve">We identified the biological processes under selection by testing for overrepresented gene ontology (GO) terms in PANTHER. </w:t>
      </w:r>
      <w:r w:rsidR="003769D2">
        <w:t xml:space="preserve">From the lists of the top 0.1% outlier windows from each analysis, we curated a list of genes that overlapped with part of any window using bedtools2. </w:t>
      </w:r>
      <w:r>
        <w:t>We curated background gene lists for each analysis that only included the genes within the reference genome’s GFF that overlapped with any window kept in each analysis</w:t>
      </w:r>
      <w:r w:rsidR="003C2804">
        <w:t xml:space="preserve"> after depth and </w:t>
      </w:r>
      <w:proofErr w:type="spellStart"/>
      <w:r w:rsidR="003C2804">
        <w:t>mapability</w:t>
      </w:r>
      <w:proofErr w:type="spellEnd"/>
      <w:r w:rsidR="003C2804">
        <w:t xml:space="preserve"> filtering</w:t>
      </w:r>
      <w:r>
        <w:t>, i.e. the genes that had the potential to be identified as an outlier.</w:t>
      </w:r>
      <w:r w:rsidR="003C2804">
        <w:t xml:space="preserve"> In PANTHER, we used </w:t>
      </w:r>
      <w:r w:rsidR="003C2804">
        <w:rPr>
          <w:i/>
          <w:iCs/>
        </w:rPr>
        <w:t xml:space="preserve">Gallus </w:t>
      </w:r>
      <w:proofErr w:type="spellStart"/>
      <w:r w:rsidR="003C2804">
        <w:rPr>
          <w:i/>
          <w:iCs/>
        </w:rPr>
        <w:t>gallus</w:t>
      </w:r>
      <w:proofErr w:type="spellEnd"/>
      <w:r w:rsidR="003C2804">
        <w:t xml:space="preserve"> as our reference organism, performed the statistical overrepresentation test using the PANTHER GO-Slim Biological Process annotation dataset, and a Fisher’s Exact Test with no correction for multiple testing. We downloaded the full list of all GO terms and </w:t>
      </w:r>
      <w:r w:rsidR="005151D6">
        <w:t>performed a Benjamini-Hochberg procedure to control for False Discovery Rate (FDR), keeping only terms with q&lt;0.</w:t>
      </w:r>
      <w:r w:rsidR="006D48F3">
        <w:t>05</w:t>
      </w:r>
      <w:r w:rsidR="005151D6">
        <w:t xml:space="preserve">. </w:t>
      </w:r>
      <w:r w:rsidR="006D48F3">
        <w:t xml:space="preserve">We visualized significant GO terms using the R package </w:t>
      </w:r>
      <w:proofErr w:type="spellStart"/>
      <w:r w:rsidR="006D48F3">
        <w:t>rrvgo</w:t>
      </w:r>
      <w:proofErr w:type="spellEnd"/>
      <w:r w:rsidR="006D48F3">
        <w:t>, which produces a hierarchical clustering analysis of semantic similarities between G terms. These plots groups GO terms by similar meaning and visualizes them in a scatterplot similar to a PCA, with arbitrary and therefore unlabeled axes.</w:t>
      </w:r>
    </w:p>
    <w:p w14:paraId="15BFBC05" w14:textId="30160A08" w:rsidR="003769D2" w:rsidRDefault="003769D2" w:rsidP="003769D2">
      <w:pPr>
        <w:ind w:firstLine="720"/>
      </w:pPr>
      <w:r>
        <w:t>To test for evidence of parallel evolution across species, we curated a list of genes that overlapped with part of any window using bedtools2</w:t>
      </w:r>
      <w:r w:rsidRPr="003769D2">
        <w:t xml:space="preserve"> </w:t>
      </w:r>
      <w:r>
        <w:t xml:space="preserve">from the less stringent lists of the top 1% outlier windows from each analysis. We performed a Fisher’s Exact Test pairwise between species on counts of genes and used a Benjamini-Hochberg procedure to control for False Discovery Rate (FDR) with a q-value threshold of &lt;0.05. We exported lists of genes that were identified by more than one </w:t>
      </w:r>
      <w:proofErr w:type="gramStart"/>
      <w:r>
        <w:t>taxa</w:t>
      </w:r>
      <w:proofErr w:type="gramEnd"/>
      <w:r>
        <w:t xml:space="preserve"> and tested for overrepresented GO terms following the methods described above.</w:t>
      </w:r>
    </w:p>
    <w:p w14:paraId="4DE1F44F" w14:textId="77777777" w:rsidR="00ED2F3B" w:rsidRDefault="00ED2F3B">
      <w:pPr>
        <w:spacing w:after="160" w:line="278" w:lineRule="auto"/>
        <w:rPr>
          <w:b/>
          <w:bCs/>
          <w:u w:val="single"/>
        </w:rPr>
      </w:pPr>
    </w:p>
    <w:p w14:paraId="02653F6F" w14:textId="77777777" w:rsidR="00ED2F3B" w:rsidRDefault="00ED2F3B">
      <w:pPr>
        <w:spacing w:after="160" w:line="278" w:lineRule="auto"/>
        <w:rPr>
          <w:b/>
          <w:bCs/>
          <w:u w:val="single"/>
        </w:rPr>
      </w:pPr>
      <w:r>
        <w:rPr>
          <w:b/>
          <w:bCs/>
          <w:u w:val="single"/>
        </w:rPr>
        <w:br w:type="page"/>
      </w:r>
    </w:p>
    <w:p w14:paraId="586AF658" w14:textId="3F5C90BA" w:rsidR="00141FA8" w:rsidRDefault="00141FA8" w:rsidP="00141FA8">
      <w:pPr>
        <w:pStyle w:val="Bibliography"/>
        <w:rPr>
          <w:b/>
          <w:bCs/>
          <w:u w:val="single"/>
        </w:rPr>
      </w:pPr>
      <w:r>
        <w:rPr>
          <w:b/>
          <w:bCs/>
          <w:u w:val="single"/>
        </w:rPr>
        <w:lastRenderedPageBreak/>
        <w:t>References</w:t>
      </w:r>
    </w:p>
    <w:p w14:paraId="02002E6E" w14:textId="77777777" w:rsidR="00C066B7" w:rsidRPr="00C066B7" w:rsidRDefault="000E4458" w:rsidP="00C066B7">
      <w:pPr>
        <w:pStyle w:val="Bibliography"/>
        <w:rPr>
          <w:rFonts w:eastAsiaTheme="minorHAnsi"/>
        </w:rPr>
      </w:pPr>
      <w:r>
        <w:rPr>
          <w:b/>
          <w:bCs/>
          <w:u w:val="single"/>
        </w:rPr>
        <w:fldChar w:fldCharType="begin"/>
      </w:r>
      <w:r>
        <w:rPr>
          <w:b/>
          <w:bCs/>
          <w:u w:val="single"/>
        </w:rPr>
        <w:instrText xml:space="preserve"> ADDIN ZOTERO_BIBL {"uncited":[],"omitted":[],"custom":[]} CSL_BIBLIOGRAPHY </w:instrText>
      </w:r>
      <w:r>
        <w:rPr>
          <w:b/>
          <w:bCs/>
          <w:u w:val="single"/>
        </w:rPr>
        <w:fldChar w:fldCharType="separate"/>
      </w:r>
      <w:r w:rsidR="00C066B7" w:rsidRPr="00C066B7">
        <w:rPr>
          <w:rFonts w:eastAsiaTheme="minorHAnsi"/>
        </w:rPr>
        <w:t xml:space="preserve">1. </w:t>
      </w:r>
      <w:r w:rsidR="00C066B7" w:rsidRPr="00C066B7">
        <w:rPr>
          <w:rFonts w:eastAsiaTheme="minorHAnsi"/>
        </w:rPr>
        <w:tab/>
        <w:t xml:space="preserve">C.-J. Rubin, E. D. Enbody, M. P. Dobreva, A. </w:t>
      </w:r>
      <w:proofErr w:type="spellStart"/>
      <w:r w:rsidR="00C066B7" w:rsidRPr="00C066B7">
        <w:rPr>
          <w:rFonts w:eastAsiaTheme="minorHAnsi"/>
        </w:rPr>
        <w:t>Abzhanov</w:t>
      </w:r>
      <w:proofErr w:type="spellEnd"/>
      <w:r w:rsidR="00C066B7" w:rsidRPr="00C066B7">
        <w:rPr>
          <w:rFonts w:eastAsiaTheme="minorHAnsi"/>
        </w:rPr>
        <w:t xml:space="preserve">, B. W. Davis, S. </w:t>
      </w:r>
      <w:proofErr w:type="spellStart"/>
      <w:r w:rsidR="00C066B7" w:rsidRPr="00C066B7">
        <w:rPr>
          <w:rFonts w:eastAsiaTheme="minorHAnsi"/>
        </w:rPr>
        <w:t>Lamichhaney</w:t>
      </w:r>
      <w:proofErr w:type="spellEnd"/>
      <w:r w:rsidR="00C066B7" w:rsidRPr="00C066B7">
        <w:rPr>
          <w:rFonts w:eastAsiaTheme="minorHAnsi"/>
        </w:rPr>
        <w:t xml:space="preserve">, M. Pettersson, A. T. </w:t>
      </w:r>
      <w:proofErr w:type="spellStart"/>
      <w:r w:rsidR="00C066B7" w:rsidRPr="00C066B7">
        <w:rPr>
          <w:rFonts w:eastAsiaTheme="minorHAnsi"/>
        </w:rPr>
        <w:t>Sendell</w:t>
      </w:r>
      <w:proofErr w:type="spellEnd"/>
      <w:r w:rsidR="00C066B7" w:rsidRPr="00C066B7">
        <w:rPr>
          <w:rFonts w:eastAsiaTheme="minorHAnsi"/>
        </w:rPr>
        <w:t xml:space="preserve">-Price, C. G. Sprehn, C. A. Valle, K. Vasco, O. </w:t>
      </w:r>
      <w:proofErr w:type="spellStart"/>
      <w:r w:rsidR="00C066B7" w:rsidRPr="00C066B7">
        <w:rPr>
          <w:rFonts w:eastAsiaTheme="minorHAnsi"/>
        </w:rPr>
        <w:t>Wallerman</w:t>
      </w:r>
      <w:proofErr w:type="spellEnd"/>
      <w:r w:rsidR="00C066B7" w:rsidRPr="00C066B7">
        <w:rPr>
          <w:rFonts w:eastAsiaTheme="minorHAnsi"/>
        </w:rPr>
        <w:t xml:space="preserve">, B. R. Grant, P. R. Grant, L. Andersson, Rapid adaptive radiation of Darwin’s finches depends on ancestral genetic modules. </w:t>
      </w:r>
      <w:r w:rsidR="00C066B7" w:rsidRPr="00C066B7">
        <w:rPr>
          <w:rFonts w:eastAsiaTheme="minorHAnsi"/>
          <w:i/>
          <w:iCs/>
        </w:rPr>
        <w:t>Science Advances</w:t>
      </w:r>
      <w:r w:rsidR="00C066B7" w:rsidRPr="00C066B7">
        <w:rPr>
          <w:rFonts w:eastAsiaTheme="minorHAnsi"/>
        </w:rPr>
        <w:t xml:space="preserve"> </w:t>
      </w:r>
      <w:r w:rsidR="00C066B7" w:rsidRPr="00C066B7">
        <w:rPr>
          <w:rFonts w:eastAsiaTheme="minorHAnsi"/>
          <w:b/>
          <w:bCs/>
        </w:rPr>
        <w:t>8</w:t>
      </w:r>
      <w:r w:rsidR="00C066B7" w:rsidRPr="00C066B7">
        <w:rPr>
          <w:rFonts w:eastAsiaTheme="minorHAnsi"/>
        </w:rPr>
        <w:t>, eabm5982 (2022).</w:t>
      </w:r>
    </w:p>
    <w:p w14:paraId="5C01D4A7" w14:textId="77777777" w:rsidR="00C066B7" w:rsidRPr="00C066B7" w:rsidRDefault="00C066B7" w:rsidP="00C066B7">
      <w:pPr>
        <w:pStyle w:val="Bibliography"/>
        <w:rPr>
          <w:rFonts w:eastAsiaTheme="minorHAnsi"/>
        </w:rPr>
      </w:pPr>
      <w:r w:rsidRPr="00C066B7">
        <w:rPr>
          <w:rFonts w:eastAsiaTheme="minorHAnsi"/>
        </w:rPr>
        <w:t xml:space="preserve">2. </w:t>
      </w:r>
      <w:r w:rsidRPr="00C066B7">
        <w:rPr>
          <w:rFonts w:eastAsiaTheme="minorHAnsi"/>
        </w:rPr>
        <w:tab/>
        <w:t xml:space="preserve">S. </w:t>
      </w:r>
      <w:proofErr w:type="spellStart"/>
      <w:r w:rsidRPr="00C066B7">
        <w:rPr>
          <w:rFonts w:eastAsiaTheme="minorHAnsi"/>
        </w:rPr>
        <w:t>Lamichhaney</w:t>
      </w:r>
      <w:proofErr w:type="spellEnd"/>
      <w:r w:rsidRPr="00C066B7">
        <w:rPr>
          <w:rFonts w:eastAsiaTheme="minorHAnsi"/>
        </w:rPr>
        <w:t xml:space="preserve">, F. Han, J. Berglund, C. Wang, M. S. </w:t>
      </w:r>
      <w:proofErr w:type="spellStart"/>
      <w:r w:rsidRPr="00C066B7">
        <w:rPr>
          <w:rFonts w:eastAsiaTheme="minorHAnsi"/>
        </w:rPr>
        <w:t>Almén</w:t>
      </w:r>
      <w:proofErr w:type="spellEnd"/>
      <w:r w:rsidRPr="00C066B7">
        <w:rPr>
          <w:rFonts w:eastAsiaTheme="minorHAnsi"/>
        </w:rPr>
        <w:t xml:space="preserve">, M. T. Webster, B. R. Grant, P. R. Grant, L. Andersson, A beak size locus in Darwin’s finches facilitated character displacement during a drought. </w:t>
      </w:r>
      <w:r w:rsidRPr="00C066B7">
        <w:rPr>
          <w:rFonts w:eastAsiaTheme="minorHAnsi"/>
          <w:i/>
          <w:iCs/>
        </w:rPr>
        <w:t>Science</w:t>
      </w:r>
      <w:r w:rsidRPr="00C066B7">
        <w:rPr>
          <w:rFonts w:eastAsiaTheme="minorHAnsi"/>
        </w:rPr>
        <w:t xml:space="preserve"> </w:t>
      </w:r>
      <w:r w:rsidRPr="00C066B7">
        <w:rPr>
          <w:rFonts w:eastAsiaTheme="minorHAnsi"/>
          <w:b/>
          <w:bCs/>
        </w:rPr>
        <w:t>352</w:t>
      </w:r>
      <w:r w:rsidRPr="00C066B7">
        <w:rPr>
          <w:rFonts w:eastAsiaTheme="minorHAnsi"/>
        </w:rPr>
        <w:t>, 470–474 (2016).</w:t>
      </w:r>
    </w:p>
    <w:p w14:paraId="4D47E855" w14:textId="77777777" w:rsidR="00C066B7" w:rsidRPr="00C066B7" w:rsidRDefault="00C066B7" w:rsidP="00C066B7">
      <w:pPr>
        <w:pStyle w:val="Bibliography"/>
        <w:rPr>
          <w:rFonts w:eastAsiaTheme="minorHAnsi"/>
        </w:rPr>
      </w:pPr>
      <w:r w:rsidRPr="00C066B7">
        <w:rPr>
          <w:rFonts w:eastAsiaTheme="minorHAnsi"/>
        </w:rPr>
        <w:t xml:space="preserve">3. </w:t>
      </w:r>
      <w:r w:rsidRPr="00C066B7">
        <w:rPr>
          <w:rFonts w:eastAsiaTheme="minorHAnsi"/>
        </w:rPr>
        <w:tab/>
        <w:t xml:space="preserve">P. R. Grant, B. R. Grant, From microcosm to macrocosm: adaptive radiation of Darwin’s finches. </w:t>
      </w:r>
      <w:r w:rsidRPr="00C066B7">
        <w:rPr>
          <w:rFonts w:eastAsiaTheme="minorHAnsi"/>
          <w:i/>
          <w:iCs/>
        </w:rPr>
        <w:t>Evolutionary Journal of the Linnean Society</w:t>
      </w:r>
      <w:r w:rsidRPr="00C066B7">
        <w:rPr>
          <w:rFonts w:eastAsiaTheme="minorHAnsi"/>
        </w:rPr>
        <w:t xml:space="preserve"> </w:t>
      </w:r>
      <w:r w:rsidRPr="00C066B7">
        <w:rPr>
          <w:rFonts w:eastAsiaTheme="minorHAnsi"/>
          <w:b/>
          <w:bCs/>
        </w:rPr>
        <w:t>3</w:t>
      </w:r>
      <w:r w:rsidRPr="00C066B7">
        <w:rPr>
          <w:rFonts w:eastAsiaTheme="minorHAnsi"/>
        </w:rPr>
        <w:t>, kzae006 (2024).</w:t>
      </w:r>
    </w:p>
    <w:p w14:paraId="5AA8D14E" w14:textId="77777777" w:rsidR="00C066B7" w:rsidRPr="00C066B7" w:rsidRDefault="00C066B7" w:rsidP="00C066B7">
      <w:pPr>
        <w:pStyle w:val="Bibliography"/>
        <w:rPr>
          <w:rFonts w:eastAsiaTheme="minorHAnsi"/>
        </w:rPr>
      </w:pPr>
      <w:r w:rsidRPr="00C066B7">
        <w:rPr>
          <w:rFonts w:eastAsiaTheme="minorHAnsi"/>
        </w:rPr>
        <w:t xml:space="preserve">4. </w:t>
      </w:r>
      <w:r w:rsidRPr="00C066B7">
        <w:rPr>
          <w:rFonts w:eastAsiaTheme="minorHAnsi"/>
        </w:rPr>
        <w:tab/>
        <w:t xml:space="preserve">S. </w:t>
      </w:r>
      <w:proofErr w:type="spellStart"/>
      <w:r w:rsidRPr="00C066B7">
        <w:rPr>
          <w:rFonts w:eastAsiaTheme="minorHAnsi"/>
        </w:rPr>
        <w:t>Kleindorfer</w:t>
      </w:r>
      <w:proofErr w:type="spellEnd"/>
      <w:r w:rsidRPr="00C066B7">
        <w:rPr>
          <w:rFonts w:eastAsiaTheme="minorHAnsi"/>
        </w:rPr>
        <w:t xml:space="preserve">, J. A. O’Connor, R. Y. </w:t>
      </w:r>
      <w:proofErr w:type="spellStart"/>
      <w:r w:rsidRPr="00C066B7">
        <w:rPr>
          <w:rFonts w:eastAsiaTheme="minorHAnsi"/>
        </w:rPr>
        <w:t>Dudaniec</w:t>
      </w:r>
      <w:proofErr w:type="spellEnd"/>
      <w:r w:rsidRPr="00C066B7">
        <w:rPr>
          <w:rFonts w:eastAsiaTheme="minorHAnsi"/>
        </w:rPr>
        <w:t xml:space="preserve">, S. A. Myers, J. Robertson, F. J. Sulloway, Species Collapse via Hybridization in Darwin’s Tree Finches. </w:t>
      </w:r>
      <w:r w:rsidRPr="00C066B7">
        <w:rPr>
          <w:rFonts w:eastAsiaTheme="minorHAnsi"/>
          <w:i/>
          <w:iCs/>
        </w:rPr>
        <w:t>The American Naturalist</w:t>
      </w:r>
      <w:r w:rsidRPr="00C066B7">
        <w:rPr>
          <w:rFonts w:eastAsiaTheme="minorHAnsi"/>
        </w:rPr>
        <w:t xml:space="preserve"> </w:t>
      </w:r>
      <w:r w:rsidRPr="00C066B7">
        <w:rPr>
          <w:rFonts w:eastAsiaTheme="minorHAnsi"/>
          <w:b/>
          <w:bCs/>
        </w:rPr>
        <w:t>183</w:t>
      </w:r>
      <w:r w:rsidRPr="00C066B7">
        <w:rPr>
          <w:rFonts w:eastAsiaTheme="minorHAnsi"/>
        </w:rPr>
        <w:t>, 325–341 (2014).</w:t>
      </w:r>
    </w:p>
    <w:p w14:paraId="197281AB" w14:textId="77777777" w:rsidR="00C066B7" w:rsidRPr="00C066B7" w:rsidRDefault="00C066B7" w:rsidP="00C066B7">
      <w:pPr>
        <w:pStyle w:val="Bibliography"/>
        <w:rPr>
          <w:rFonts w:eastAsiaTheme="minorHAnsi"/>
        </w:rPr>
      </w:pPr>
      <w:r w:rsidRPr="00C066B7">
        <w:rPr>
          <w:rFonts w:eastAsiaTheme="minorHAnsi"/>
        </w:rPr>
        <w:t xml:space="preserve">5. </w:t>
      </w:r>
      <w:r w:rsidRPr="00C066B7">
        <w:rPr>
          <w:rFonts w:eastAsiaTheme="minorHAnsi"/>
        </w:rPr>
        <w:tab/>
        <w:t xml:space="preserve">S. M. McNew, D. H. Clayton, Alien Invasion: Biology of </w:t>
      </w:r>
      <w:proofErr w:type="spellStart"/>
      <w:r w:rsidRPr="00C066B7">
        <w:rPr>
          <w:rFonts w:eastAsiaTheme="minorHAnsi"/>
        </w:rPr>
        <w:t>Philornis</w:t>
      </w:r>
      <w:proofErr w:type="spellEnd"/>
      <w:r w:rsidRPr="00C066B7">
        <w:rPr>
          <w:rFonts w:eastAsiaTheme="minorHAnsi"/>
        </w:rPr>
        <w:t xml:space="preserve"> Flies Highlighting </w:t>
      </w:r>
      <w:proofErr w:type="spellStart"/>
      <w:r w:rsidRPr="00C066B7">
        <w:rPr>
          <w:rFonts w:eastAsiaTheme="minorHAnsi"/>
        </w:rPr>
        <w:t>Philornis</w:t>
      </w:r>
      <w:proofErr w:type="spellEnd"/>
      <w:r w:rsidRPr="00C066B7">
        <w:rPr>
          <w:rFonts w:eastAsiaTheme="minorHAnsi"/>
        </w:rPr>
        <w:t xml:space="preserve"> </w:t>
      </w:r>
      <w:proofErr w:type="spellStart"/>
      <w:r w:rsidRPr="00C066B7">
        <w:rPr>
          <w:rFonts w:eastAsiaTheme="minorHAnsi"/>
        </w:rPr>
        <w:t>downsi</w:t>
      </w:r>
      <w:proofErr w:type="spellEnd"/>
      <w:r w:rsidRPr="00C066B7">
        <w:rPr>
          <w:rFonts w:eastAsiaTheme="minorHAnsi"/>
        </w:rPr>
        <w:t xml:space="preserve">, an Introduced Parasite of Galápagos Birds. </w:t>
      </w:r>
      <w:r w:rsidRPr="00C066B7">
        <w:rPr>
          <w:rFonts w:eastAsiaTheme="minorHAnsi"/>
          <w:i/>
          <w:iCs/>
        </w:rPr>
        <w:t>Annual Review of Entomology</w:t>
      </w:r>
      <w:r w:rsidRPr="00C066B7">
        <w:rPr>
          <w:rFonts w:eastAsiaTheme="minorHAnsi"/>
        </w:rPr>
        <w:t xml:space="preserve"> </w:t>
      </w:r>
      <w:r w:rsidRPr="00C066B7">
        <w:rPr>
          <w:rFonts w:eastAsiaTheme="minorHAnsi"/>
          <w:b/>
          <w:bCs/>
        </w:rPr>
        <w:t>63</w:t>
      </w:r>
      <w:r w:rsidRPr="00C066B7">
        <w:rPr>
          <w:rFonts w:eastAsiaTheme="minorHAnsi"/>
        </w:rPr>
        <w:t>, 369–387 (2018).</w:t>
      </w:r>
    </w:p>
    <w:p w14:paraId="58E538EA" w14:textId="77777777" w:rsidR="00C066B7" w:rsidRPr="00C066B7" w:rsidRDefault="00C066B7" w:rsidP="00C066B7">
      <w:pPr>
        <w:pStyle w:val="Bibliography"/>
        <w:rPr>
          <w:rFonts w:eastAsiaTheme="minorHAnsi"/>
        </w:rPr>
      </w:pPr>
      <w:r w:rsidRPr="00C066B7">
        <w:rPr>
          <w:rFonts w:eastAsiaTheme="minorHAnsi"/>
        </w:rPr>
        <w:t xml:space="preserve">6. </w:t>
      </w:r>
      <w:r w:rsidRPr="00C066B7">
        <w:rPr>
          <w:rFonts w:eastAsiaTheme="minorHAnsi"/>
        </w:rPr>
        <w:tab/>
        <w:t xml:space="preserve">J. A. H. Koop, P. S. Kim, S. A. </w:t>
      </w:r>
      <w:proofErr w:type="spellStart"/>
      <w:r w:rsidRPr="00C066B7">
        <w:rPr>
          <w:rFonts w:eastAsiaTheme="minorHAnsi"/>
        </w:rPr>
        <w:t>Knutie</w:t>
      </w:r>
      <w:proofErr w:type="spellEnd"/>
      <w:r w:rsidRPr="00C066B7">
        <w:rPr>
          <w:rFonts w:eastAsiaTheme="minorHAnsi"/>
        </w:rPr>
        <w:t xml:space="preserve">, F. Adler, D. H. Clayton, </w:t>
      </w:r>
      <w:proofErr w:type="gramStart"/>
      <w:r w:rsidRPr="00C066B7">
        <w:rPr>
          <w:rFonts w:eastAsiaTheme="minorHAnsi"/>
        </w:rPr>
        <w:t>An</w:t>
      </w:r>
      <w:proofErr w:type="gramEnd"/>
      <w:r w:rsidRPr="00C066B7">
        <w:rPr>
          <w:rFonts w:eastAsiaTheme="minorHAnsi"/>
        </w:rPr>
        <w:t xml:space="preserve"> introduced parasitic fly may lead to local extinction of Darwin’s finch populations. </w:t>
      </w:r>
      <w:r w:rsidRPr="00C066B7">
        <w:rPr>
          <w:rFonts w:eastAsiaTheme="minorHAnsi"/>
          <w:i/>
          <w:iCs/>
        </w:rPr>
        <w:t>Journal of Applied Ecology</w:t>
      </w:r>
      <w:r w:rsidRPr="00C066B7">
        <w:rPr>
          <w:rFonts w:eastAsiaTheme="minorHAnsi"/>
        </w:rPr>
        <w:t xml:space="preserve"> </w:t>
      </w:r>
      <w:r w:rsidRPr="00C066B7">
        <w:rPr>
          <w:rFonts w:eastAsiaTheme="minorHAnsi"/>
          <w:b/>
          <w:bCs/>
        </w:rPr>
        <w:t>53</w:t>
      </w:r>
      <w:r w:rsidRPr="00C066B7">
        <w:rPr>
          <w:rFonts w:eastAsiaTheme="minorHAnsi"/>
        </w:rPr>
        <w:t>, 511–518 (2016).</w:t>
      </w:r>
    </w:p>
    <w:p w14:paraId="6CC540E5" w14:textId="77777777" w:rsidR="00C066B7" w:rsidRPr="00C066B7" w:rsidRDefault="00C066B7" w:rsidP="00C066B7">
      <w:pPr>
        <w:pStyle w:val="Bibliography"/>
        <w:rPr>
          <w:rFonts w:eastAsiaTheme="minorHAnsi"/>
        </w:rPr>
      </w:pPr>
      <w:r w:rsidRPr="00C066B7">
        <w:rPr>
          <w:rFonts w:eastAsiaTheme="minorHAnsi"/>
        </w:rPr>
        <w:t xml:space="preserve">7. </w:t>
      </w:r>
      <w:r w:rsidRPr="00C066B7">
        <w:rPr>
          <w:rFonts w:eastAsiaTheme="minorHAnsi"/>
        </w:rPr>
        <w:tab/>
        <w:t xml:space="preserve">G. E. </w:t>
      </w:r>
      <w:proofErr w:type="spellStart"/>
      <w:r w:rsidRPr="00C066B7">
        <w:rPr>
          <w:rFonts w:eastAsiaTheme="minorHAnsi"/>
        </w:rPr>
        <w:t>Heimpel</w:t>
      </w:r>
      <w:proofErr w:type="spellEnd"/>
      <w:r w:rsidRPr="00C066B7">
        <w:rPr>
          <w:rFonts w:eastAsiaTheme="minorHAnsi"/>
        </w:rPr>
        <w:t xml:space="preserve">, Hillstrom ,Alexandra, Freund ,Deborah, </w:t>
      </w:r>
      <w:proofErr w:type="spellStart"/>
      <w:r w:rsidRPr="00C066B7">
        <w:rPr>
          <w:rFonts w:eastAsiaTheme="minorHAnsi"/>
        </w:rPr>
        <w:t>Knutie</w:t>
      </w:r>
      <w:proofErr w:type="spellEnd"/>
      <w:r w:rsidRPr="00C066B7">
        <w:rPr>
          <w:rFonts w:eastAsiaTheme="minorHAnsi"/>
        </w:rPr>
        <w:t xml:space="preserve"> ,Sarah A., D. H. and Clayton, Invasive Parasites and the Fate of Darwin’s Finches in the Galapagos Islands: The Case of the Vegetarian Finch (Platyspiza </w:t>
      </w:r>
      <w:proofErr w:type="spellStart"/>
      <w:r w:rsidRPr="00C066B7">
        <w:rPr>
          <w:rFonts w:eastAsiaTheme="minorHAnsi"/>
        </w:rPr>
        <w:t>crassirostris</w:t>
      </w:r>
      <w:proofErr w:type="spellEnd"/>
      <w:r w:rsidRPr="00C066B7">
        <w:rPr>
          <w:rFonts w:eastAsiaTheme="minorHAnsi"/>
        </w:rPr>
        <w:t xml:space="preserve">). </w:t>
      </w:r>
      <w:r w:rsidRPr="00C066B7">
        <w:rPr>
          <w:rFonts w:eastAsiaTheme="minorHAnsi"/>
          <w:i/>
          <w:iCs/>
        </w:rPr>
        <w:t>The Wilson Journal of Ornithology</w:t>
      </w:r>
      <w:r w:rsidRPr="00C066B7">
        <w:rPr>
          <w:rFonts w:eastAsiaTheme="minorHAnsi"/>
        </w:rPr>
        <w:t xml:space="preserve"> </w:t>
      </w:r>
      <w:r w:rsidRPr="00C066B7">
        <w:rPr>
          <w:rFonts w:eastAsiaTheme="minorHAnsi"/>
          <w:b/>
          <w:bCs/>
        </w:rPr>
        <w:t>129</w:t>
      </w:r>
      <w:r w:rsidRPr="00C066B7">
        <w:rPr>
          <w:rFonts w:eastAsiaTheme="minorHAnsi"/>
        </w:rPr>
        <w:t>, 345–349 (2017).</w:t>
      </w:r>
    </w:p>
    <w:p w14:paraId="665793DD" w14:textId="77777777" w:rsidR="00C066B7" w:rsidRPr="00C066B7" w:rsidRDefault="00C066B7" w:rsidP="00C066B7">
      <w:pPr>
        <w:pStyle w:val="Bibliography"/>
        <w:rPr>
          <w:rFonts w:eastAsiaTheme="minorHAnsi"/>
        </w:rPr>
      </w:pPr>
      <w:r w:rsidRPr="00C066B7">
        <w:rPr>
          <w:rFonts w:eastAsiaTheme="minorHAnsi"/>
        </w:rPr>
        <w:t xml:space="preserve">8. </w:t>
      </w:r>
      <w:r w:rsidRPr="00C066B7">
        <w:rPr>
          <w:rFonts w:eastAsiaTheme="minorHAnsi"/>
        </w:rPr>
        <w:tab/>
        <w:t xml:space="preserve">S. </w:t>
      </w:r>
      <w:proofErr w:type="spellStart"/>
      <w:r w:rsidRPr="00C066B7">
        <w:rPr>
          <w:rFonts w:eastAsiaTheme="minorHAnsi"/>
        </w:rPr>
        <w:t>Lamichhaney</w:t>
      </w:r>
      <w:proofErr w:type="spellEnd"/>
      <w:r w:rsidRPr="00C066B7">
        <w:rPr>
          <w:rFonts w:eastAsiaTheme="minorHAnsi"/>
        </w:rPr>
        <w:t xml:space="preserve">, J. Berglund, M. S. </w:t>
      </w:r>
      <w:proofErr w:type="spellStart"/>
      <w:r w:rsidRPr="00C066B7">
        <w:rPr>
          <w:rFonts w:eastAsiaTheme="minorHAnsi"/>
        </w:rPr>
        <w:t>Almén</w:t>
      </w:r>
      <w:proofErr w:type="spellEnd"/>
      <w:r w:rsidRPr="00C066B7">
        <w:rPr>
          <w:rFonts w:eastAsiaTheme="minorHAnsi"/>
        </w:rPr>
        <w:t xml:space="preserve">, K. Maqbool, M. </w:t>
      </w:r>
      <w:proofErr w:type="spellStart"/>
      <w:r w:rsidRPr="00C066B7">
        <w:rPr>
          <w:rFonts w:eastAsiaTheme="minorHAnsi"/>
        </w:rPr>
        <w:t>Grabherr</w:t>
      </w:r>
      <w:proofErr w:type="spellEnd"/>
      <w:r w:rsidRPr="00C066B7">
        <w:rPr>
          <w:rFonts w:eastAsiaTheme="minorHAnsi"/>
        </w:rPr>
        <w:t xml:space="preserve">, A. Martinez-Barrio, M. </w:t>
      </w:r>
      <w:proofErr w:type="spellStart"/>
      <w:r w:rsidRPr="00C066B7">
        <w:rPr>
          <w:rFonts w:eastAsiaTheme="minorHAnsi"/>
        </w:rPr>
        <w:t>Promerová</w:t>
      </w:r>
      <w:proofErr w:type="spellEnd"/>
      <w:r w:rsidRPr="00C066B7">
        <w:rPr>
          <w:rFonts w:eastAsiaTheme="minorHAnsi"/>
        </w:rPr>
        <w:t xml:space="preserve">, C.-J. Rubin, C. Wang, N. Zamani, B. R. Grant, P. R. Grant, M. T. Webster, L. Andersson, Evolution of Darwin’s finches and their beaks revealed by genome sequencing. </w:t>
      </w:r>
      <w:r w:rsidRPr="00C066B7">
        <w:rPr>
          <w:rFonts w:eastAsiaTheme="minorHAnsi"/>
          <w:i/>
          <w:iCs/>
        </w:rPr>
        <w:t>Nature</w:t>
      </w:r>
      <w:r w:rsidRPr="00C066B7">
        <w:rPr>
          <w:rFonts w:eastAsiaTheme="minorHAnsi"/>
        </w:rPr>
        <w:t xml:space="preserve"> </w:t>
      </w:r>
      <w:r w:rsidRPr="00C066B7">
        <w:rPr>
          <w:rFonts w:eastAsiaTheme="minorHAnsi"/>
          <w:b/>
          <w:bCs/>
        </w:rPr>
        <w:t>518</w:t>
      </w:r>
      <w:r w:rsidRPr="00C066B7">
        <w:rPr>
          <w:rFonts w:eastAsiaTheme="minorHAnsi"/>
        </w:rPr>
        <w:t>, 371–375 (2015).</w:t>
      </w:r>
    </w:p>
    <w:p w14:paraId="48D07D18" w14:textId="77777777" w:rsidR="00C066B7" w:rsidRPr="00C066B7" w:rsidRDefault="00C066B7" w:rsidP="00C066B7">
      <w:pPr>
        <w:pStyle w:val="Bibliography"/>
        <w:rPr>
          <w:rFonts w:eastAsiaTheme="minorHAnsi"/>
        </w:rPr>
      </w:pPr>
      <w:r w:rsidRPr="00C066B7">
        <w:rPr>
          <w:rFonts w:eastAsiaTheme="minorHAnsi"/>
        </w:rPr>
        <w:t xml:space="preserve">9. </w:t>
      </w:r>
      <w:r w:rsidRPr="00C066B7">
        <w:rPr>
          <w:rFonts w:eastAsiaTheme="minorHAnsi"/>
        </w:rPr>
        <w:tab/>
        <w:t xml:space="preserve">P. M. Benham, J. Walsh, R. C. K. Bowie, Spatial variation in population genomic responses to over a century of anthropogenic change within a tidal marsh songbird. </w:t>
      </w:r>
      <w:r w:rsidRPr="00C066B7">
        <w:rPr>
          <w:rFonts w:eastAsiaTheme="minorHAnsi"/>
          <w:i/>
          <w:iCs/>
        </w:rPr>
        <w:t>Global Change Biology</w:t>
      </w:r>
      <w:r w:rsidRPr="00C066B7">
        <w:rPr>
          <w:rFonts w:eastAsiaTheme="minorHAnsi"/>
        </w:rPr>
        <w:t xml:space="preserve"> </w:t>
      </w:r>
      <w:r w:rsidRPr="00C066B7">
        <w:rPr>
          <w:rFonts w:eastAsiaTheme="minorHAnsi"/>
          <w:b/>
          <w:bCs/>
        </w:rPr>
        <w:t>30</w:t>
      </w:r>
      <w:r w:rsidRPr="00C066B7">
        <w:rPr>
          <w:rFonts w:eastAsiaTheme="minorHAnsi"/>
        </w:rPr>
        <w:t>, e17126 (2024).</w:t>
      </w:r>
    </w:p>
    <w:p w14:paraId="015BEC92" w14:textId="77777777" w:rsidR="00C066B7" w:rsidRPr="00C066B7" w:rsidRDefault="00C066B7" w:rsidP="00C066B7">
      <w:pPr>
        <w:pStyle w:val="Bibliography"/>
        <w:rPr>
          <w:rFonts w:eastAsiaTheme="minorHAnsi"/>
        </w:rPr>
      </w:pPr>
      <w:r w:rsidRPr="00C066B7">
        <w:rPr>
          <w:rFonts w:eastAsiaTheme="minorHAnsi"/>
        </w:rPr>
        <w:t xml:space="preserve">10. </w:t>
      </w:r>
      <w:r w:rsidRPr="00C066B7">
        <w:rPr>
          <w:rFonts w:eastAsiaTheme="minorHAnsi"/>
        </w:rPr>
        <w:tab/>
        <w:t xml:space="preserve">Y. Liu, H. Wang, J. Wang, B. Wei, X. Zhang, M. Zhang, D. Cao, J. Dai, Z. Wang, E. </w:t>
      </w:r>
      <w:proofErr w:type="spellStart"/>
      <w:r w:rsidRPr="00C066B7">
        <w:rPr>
          <w:rFonts w:eastAsiaTheme="minorHAnsi"/>
        </w:rPr>
        <w:t>Nyirimigabo</w:t>
      </w:r>
      <w:proofErr w:type="spellEnd"/>
      <w:r w:rsidRPr="00C066B7">
        <w:rPr>
          <w:rFonts w:eastAsiaTheme="minorHAnsi"/>
        </w:rPr>
        <w:t xml:space="preserve">, G. Ji, A positive feedback regulation of Heme oxygenase 1 by CELF1 in cardiac myoblast cells. </w:t>
      </w:r>
      <w:proofErr w:type="spellStart"/>
      <w:r w:rsidRPr="00C066B7">
        <w:rPr>
          <w:rFonts w:eastAsiaTheme="minorHAnsi"/>
          <w:i/>
          <w:iCs/>
        </w:rPr>
        <w:t>Biochimica</w:t>
      </w:r>
      <w:proofErr w:type="spellEnd"/>
      <w:r w:rsidRPr="00C066B7">
        <w:rPr>
          <w:rFonts w:eastAsiaTheme="minorHAnsi"/>
          <w:i/>
          <w:iCs/>
        </w:rPr>
        <w:t xml:space="preserve"> et </w:t>
      </w:r>
      <w:proofErr w:type="spellStart"/>
      <w:r w:rsidRPr="00C066B7">
        <w:rPr>
          <w:rFonts w:eastAsiaTheme="minorHAnsi"/>
          <w:i/>
          <w:iCs/>
        </w:rPr>
        <w:t>Biophysica</w:t>
      </w:r>
      <w:proofErr w:type="spellEnd"/>
      <w:r w:rsidRPr="00C066B7">
        <w:rPr>
          <w:rFonts w:eastAsiaTheme="minorHAnsi"/>
          <w:i/>
          <w:iCs/>
        </w:rPr>
        <w:t xml:space="preserve"> Acta (BBA) - Gene Regulatory Mechanisms</w:t>
      </w:r>
      <w:r w:rsidRPr="00C066B7">
        <w:rPr>
          <w:rFonts w:eastAsiaTheme="minorHAnsi"/>
        </w:rPr>
        <w:t xml:space="preserve"> </w:t>
      </w:r>
      <w:r w:rsidRPr="00C066B7">
        <w:rPr>
          <w:rFonts w:eastAsiaTheme="minorHAnsi"/>
          <w:b/>
          <w:bCs/>
        </w:rPr>
        <w:t>1862</w:t>
      </w:r>
      <w:r w:rsidRPr="00C066B7">
        <w:rPr>
          <w:rFonts w:eastAsiaTheme="minorHAnsi"/>
        </w:rPr>
        <w:t>, 209–218 (2019).</w:t>
      </w:r>
    </w:p>
    <w:p w14:paraId="3E8F5144" w14:textId="77777777" w:rsidR="00C066B7" w:rsidRPr="00C066B7" w:rsidRDefault="00C066B7" w:rsidP="00C066B7">
      <w:pPr>
        <w:pStyle w:val="Bibliography"/>
        <w:rPr>
          <w:rFonts w:eastAsiaTheme="minorHAnsi"/>
        </w:rPr>
      </w:pPr>
      <w:r w:rsidRPr="00C066B7">
        <w:rPr>
          <w:rFonts w:eastAsiaTheme="minorHAnsi"/>
        </w:rPr>
        <w:t xml:space="preserve">11. </w:t>
      </w:r>
      <w:r w:rsidRPr="00C066B7">
        <w:rPr>
          <w:rFonts w:eastAsiaTheme="minorHAnsi"/>
        </w:rPr>
        <w:tab/>
        <w:t>T. Liu, L. Zhang, D. Joo, S.-C. Sun, NF-</w:t>
      </w:r>
      <w:proofErr w:type="spellStart"/>
      <w:r w:rsidRPr="00C066B7">
        <w:rPr>
          <w:rFonts w:eastAsiaTheme="minorHAnsi"/>
        </w:rPr>
        <w:t>κB</w:t>
      </w:r>
      <w:proofErr w:type="spellEnd"/>
      <w:r w:rsidRPr="00C066B7">
        <w:rPr>
          <w:rFonts w:eastAsiaTheme="minorHAnsi"/>
        </w:rPr>
        <w:t xml:space="preserve"> signaling in inflammation. </w:t>
      </w:r>
      <w:r w:rsidRPr="00C066B7">
        <w:rPr>
          <w:rFonts w:eastAsiaTheme="minorHAnsi"/>
          <w:i/>
          <w:iCs/>
        </w:rPr>
        <w:t xml:space="preserve">Sig </w:t>
      </w:r>
      <w:proofErr w:type="spellStart"/>
      <w:r w:rsidRPr="00C066B7">
        <w:rPr>
          <w:rFonts w:eastAsiaTheme="minorHAnsi"/>
          <w:i/>
          <w:iCs/>
        </w:rPr>
        <w:t>Transduct</w:t>
      </w:r>
      <w:proofErr w:type="spellEnd"/>
      <w:r w:rsidRPr="00C066B7">
        <w:rPr>
          <w:rFonts w:eastAsiaTheme="minorHAnsi"/>
          <w:i/>
          <w:iCs/>
        </w:rPr>
        <w:t xml:space="preserve"> Target Ther</w:t>
      </w:r>
      <w:r w:rsidRPr="00C066B7">
        <w:rPr>
          <w:rFonts w:eastAsiaTheme="minorHAnsi"/>
        </w:rPr>
        <w:t xml:space="preserve"> </w:t>
      </w:r>
      <w:r w:rsidRPr="00C066B7">
        <w:rPr>
          <w:rFonts w:eastAsiaTheme="minorHAnsi"/>
          <w:b/>
          <w:bCs/>
        </w:rPr>
        <w:t>2</w:t>
      </w:r>
      <w:r w:rsidRPr="00C066B7">
        <w:rPr>
          <w:rFonts w:eastAsiaTheme="minorHAnsi"/>
        </w:rPr>
        <w:t>, 17023 (2017).</w:t>
      </w:r>
    </w:p>
    <w:p w14:paraId="1B2D6856" w14:textId="77777777" w:rsidR="00C066B7" w:rsidRPr="00C066B7" w:rsidRDefault="00C066B7" w:rsidP="00C066B7">
      <w:pPr>
        <w:pStyle w:val="Bibliography"/>
        <w:rPr>
          <w:rFonts w:eastAsiaTheme="minorHAnsi"/>
        </w:rPr>
      </w:pPr>
      <w:r w:rsidRPr="00C066B7">
        <w:rPr>
          <w:rFonts w:eastAsiaTheme="minorHAnsi"/>
        </w:rPr>
        <w:lastRenderedPageBreak/>
        <w:t xml:space="preserve">12. </w:t>
      </w:r>
      <w:r w:rsidRPr="00C066B7">
        <w:rPr>
          <w:rFonts w:eastAsiaTheme="minorHAnsi"/>
        </w:rPr>
        <w:tab/>
        <w:t xml:space="preserve">P. Huang, Y. Chen, Y. Shi, C. Zhong, H. Lin, X. Yu, K. Chen, Z. Huang, L. Zhang, S. Fang, J. Lu, J. Chen, Phosphoribosyl transferase domain containing 1: A prognostic biomarker in testicular germ cell tumors. </w:t>
      </w:r>
      <w:r w:rsidRPr="00C066B7">
        <w:rPr>
          <w:rFonts w:eastAsiaTheme="minorHAnsi"/>
          <w:i/>
          <w:iCs/>
        </w:rPr>
        <w:t>Molecular Therapy Oncology</w:t>
      </w:r>
      <w:r w:rsidRPr="00C066B7">
        <w:rPr>
          <w:rFonts w:eastAsiaTheme="minorHAnsi"/>
        </w:rPr>
        <w:t xml:space="preserve"> </w:t>
      </w:r>
      <w:r w:rsidRPr="00C066B7">
        <w:rPr>
          <w:rFonts w:eastAsiaTheme="minorHAnsi"/>
          <w:b/>
          <w:bCs/>
        </w:rPr>
        <w:t>33</w:t>
      </w:r>
      <w:r w:rsidRPr="00C066B7">
        <w:rPr>
          <w:rFonts w:eastAsiaTheme="minorHAnsi"/>
        </w:rPr>
        <w:t xml:space="preserve"> (2025).</w:t>
      </w:r>
    </w:p>
    <w:p w14:paraId="380866E3" w14:textId="77777777" w:rsidR="00C066B7" w:rsidRPr="00C066B7" w:rsidRDefault="00C066B7" w:rsidP="00C066B7">
      <w:pPr>
        <w:pStyle w:val="Bibliography"/>
        <w:rPr>
          <w:rFonts w:eastAsiaTheme="minorHAnsi"/>
        </w:rPr>
      </w:pPr>
      <w:r w:rsidRPr="00C066B7">
        <w:rPr>
          <w:rFonts w:eastAsiaTheme="minorHAnsi"/>
        </w:rPr>
        <w:t xml:space="preserve">13. </w:t>
      </w:r>
      <w:r w:rsidRPr="00C066B7">
        <w:rPr>
          <w:rFonts w:eastAsiaTheme="minorHAnsi"/>
        </w:rPr>
        <w:tab/>
        <w:t xml:space="preserve">N. C. Helderman, D. Terlouw, L. </w:t>
      </w:r>
      <w:proofErr w:type="spellStart"/>
      <w:r w:rsidRPr="00C066B7">
        <w:rPr>
          <w:rFonts w:eastAsiaTheme="minorHAnsi"/>
        </w:rPr>
        <w:t>Bonjoch</w:t>
      </w:r>
      <w:proofErr w:type="spellEnd"/>
      <w:r w:rsidRPr="00C066B7">
        <w:rPr>
          <w:rFonts w:eastAsiaTheme="minorHAnsi"/>
        </w:rPr>
        <w:t xml:space="preserve">, M. </w:t>
      </w:r>
      <w:proofErr w:type="spellStart"/>
      <w:r w:rsidRPr="00C066B7">
        <w:rPr>
          <w:rFonts w:eastAsiaTheme="minorHAnsi"/>
        </w:rPr>
        <w:t>Golubicki</w:t>
      </w:r>
      <w:proofErr w:type="spellEnd"/>
      <w:r w:rsidRPr="00C066B7">
        <w:rPr>
          <w:rFonts w:eastAsiaTheme="minorHAnsi"/>
        </w:rPr>
        <w:t xml:space="preserve">, M. Antelo, H. Morreau, T. van Wezel, S. </w:t>
      </w:r>
      <w:proofErr w:type="spellStart"/>
      <w:r w:rsidRPr="00C066B7">
        <w:rPr>
          <w:rFonts w:eastAsiaTheme="minorHAnsi"/>
        </w:rPr>
        <w:t>Castellví</w:t>
      </w:r>
      <w:proofErr w:type="spellEnd"/>
      <w:r w:rsidRPr="00C066B7">
        <w:rPr>
          <w:rFonts w:eastAsiaTheme="minorHAnsi"/>
        </w:rPr>
        <w:t xml:space="preserve">-Bel, Y. Goldberg, M. Nielsen, Molecular functions of MCM8 and MCM9 and their associated pathologies. </w:t>
      </w:r>
      <w:proofErr w:type="spellStart"/>
      <w:r w:rsidRPr="00C066B7">
        <w:rPr>
          <w:rFonts w:eastAsiaTheme="minorHAnsi"/>
          <w:i/>
          <w:iCs/>
        </w:rPr>
        <w:t>iScience</w:t>
      </w:r>
      <w:proofErr w:type="spellEnd"/>
      <w:r w:rsidRPr="00C066B7">
        <w:rPr>
          <w:rFonts w:eastAsiaTheme="minorHAnsi"/>
        </w:rPr>
        <w:t xml:space="preserve"> </w:t>
      </w:r>
      <w:r w:rsidRPr="00C066B7">
        <w:rPr>
          <w:rFonts w:eastAsiaTheme="minorHAnsi"/>
          <w:b/>
          <w:bCs/>
        </w:rPr>
        <w:t>26</w:t>
      </w:r>
      <w:r w:rsidRPr="00C066B7">
        <w:rPr>
          <w:rFonts w:eastAsiaTheme="minorHAnsi"/>
        </w:rPr>
        <w:t xml:space="preserve"> (2023).</w:t>
      </w:r>
    </w:p>
    <w:p w14:paraId="355FDC6C" w14:textId="77777777" w:rsidR="00C066B7" w:rsidRPr="00C066B7" w:rsidRDefault="00C066B7" w:rsidP="00C066B7">
      <w:pPr>
        <w:pStyle w:val="Bibliography"/>
        <w:rPr>
          <w:rFonts w:eastAsiaTheme="minorHAnsi"/>
        </w:rPr>
      </w:pPr>
      <w:r w:rsidRPr="00C066B7">
        <w:rPr>
          <w:rFonts w:eastAsiaTheme="minorHAnsi"/>
        </w:rPr>
        <w:t xml:space="preserve">14. </w:t>
      </w:r>
      <w:r w:rsidRPr="00C066B7">
        <w:rPr>
          <w:rFonts w:eastAsiaTheme="minorHAnsi"/>
        </w:rPr>
        <w:tab/>
        <w:t xml:space="preserve">X.-L. Mao, G. Eriani, X.-L. Zhou, ADATs: roles in tRNA editing and relevance to disease. </w:t>
      </w:r>
      <w:r w:rsidRPr="00C066B7">
        <w:rPr>
          <w:rFonts w:eastAsiaTheme="minorHAnsi"/>
          <w:i/>
          <w:iCs/>
        </w:rPr>
        <w:t xml:space="preserve">Acta Biochim </w:t>
      </w:r>
      <w:proofErr w:type="spellStart"/>
      <w:r w:rsidRPr="00C066B7">
        <w:rPr>
          <w:rFonts w:eastAsiaTheme="minorHAnsi"/>
          <w:i/>
          <w:iCs/>
        </w:rPr>
        <w:t>Biophys</w:t>
      </w:r>
      <w:proofErr w:type="spellEnd"/>
      <w:r w:rsidRPr="00C066B7">
        <w:rPr>
          <w:rFonts w:eastAsiaTheme="minorHAnsi"/>
          <w:i/>
          <w:iCs/>
        </w:rPr>
        <w:t xml:space="preserve"> Sin (Shanghai)</w:t>
      </w:r>
      <w:r w:rsidRPr="00C066B7">
        <w:rPr>
          <w:rFonts w:eastAsiaTheme="minorHAnsi"/>
        </w:rPr>
        <w:t xml:space="preserve"> </w:t>
      </w:r>
      <w:r w:rsidRPr="00C066B7">
        <w:rPr>
          <w:rFonts w:eastAsiaTheme="minorHAnsi"/>
          <w:b/>
          <w:bCs/>
        </w:rPr>
        <w:t>57</w:t>
      </w:r>
      <w:r w:rsidRPr="00C066B7">
        <w:rPr>
          <w:rFonts w:eastAsiaTheme="minorHAnsi"/>
        </w:rPr>
        <w:t>, 73–83 (2024).</w:t>
      </w:r>
    </w:p>
    <w:p w14:paraId="3997D96D" w14:textId="77777777" w:rsidR="00C066B7" w:rsidRPr="00C066B7" w:rsidRDefault="00C066B7" w:rsidP="00C066B7">
      <w:pPr>
        <w:pStyle w:val="Bibliography"/>
        <w:rPr>
          <w:rFonts w:eastAsiaTheme="minorHAnsi"/>
        </w:rPr>
      </w:pPr>
      <w:r w:rsidRPr="00C066B7">
        <w:rPr>
          <w:rFonts w:eastAsiaTheme="minorHAnsi"/>
        </w:rPr>
        <w:t xml:space="preserve">15. </w:t>
      </w:r>
      <w:r w:rsidRPr="00C066B7">
        <w:rPr>
          <w:rFonts w:eastAsiaTheme="minorHAnsi"/>
        </w:rPr>
        <w:tab/>
        <w:t xml:space="preserve">E. </w:t>
      </w:r>
      <w:proofErr w:type="spellStart"/>
      <w:r w:rsidRPr="00C066B7">
        <w:rPr>
          <w:rFonts w:eastAsiaTheme="minorHAnsi"/>
        </w:rPr>
        <w:t>Vantroys</w:t>
      </w:r>
      <w:proofErr w:type="spellEnd"/>
      <w:r w:rsidRPr="00C066B7">
        <w:rPr>
          <w:rFonts w:eastAsiaTheme="minorHAnsi"/>
        </w:rPr>
        <w:t xml:space="preserve">, A. Larson, M. Friederich, K. Knight, M. A. Swanson, C. A. Powell, J. Smet, S. </w:t>
      </w:r>
      <w:proofErr w:type="spellStart"/>
      <w:r w:rsidRPr="00C066B7">
        <w:rPr>
          <w:rFonts w:eastAsiaTheme="minorHAnsi"/>
        </w:rPr>
        <w:t>Vergult</w:t>
      </w:r>
      <w:proofErr w:type="spellEnd"/>
      <w:r w:rsidRPr="00C066B7">
        <w:rPr>
          <w:rFonts w:eastAsiaTheme="minorHAnsi"/>
        </w:rPr>
        <w:t xml:space="preserve">, B. De Paepe, S. Seneca, H. </w:t>
      </w:r>
      <w:proofErr w:type="spellStart"/>
      <w:r w:rsidRPr="00C066B7">
        <w:rPr>
          <w:rFonts w:eastAsiaTheme="minorHAnsi"/>
        </w:rPr>
        <w:t>Roeyers</w:t>
      </w:r>
      <w:proofErr w:type="spellEnd"/>
      <w:r w:rsidRPr="00C066B7">
        <w:rPr>
          <w:rFonts w:eastAsiaTheme="minorHAnsi"/>
        </w:rPr>
        <w:t xml:space="preserve">, B. Menten, M. </w:t>
      </w:r>
      <w:proofErr w:type="spellStart"/>
      <w:r w:rsidRPr="00C066B7">
        <w:rPr>
          <w:rFonts w:eastAsiaTheme="minorHAnsi"/>
        </w:rPr>
        <w:t>Minczuk</w:t>
      </w:r>
      <w:proofErr w:type="spellEnd"/>
      <w:r w:rsidRPr="00C066B7">
        <w:rPr>
          <w:rFonts w:eastAsiaTheme="minorHAnsi"/>
        </w:rPr>
        <w:t xml:space="preserve">, A. </w:t>
      </w:r>
      <w:proofErr w:type="spellStart"/>
      <w:r w:rsidRPr="00C066B7">
        <w:rPr>
          <w:rFonts w:eastAsiaTheme="minorHAnsi"/>
        </w:rPr>
        <w:t>Vanlander</w:t>
      </w:r>
      <w:proofErr w:type="spellEnd"/>
      <w:r w:rsidRPr="00C066B7">
        <w:rPr>
          <w:rFonts w:eastAsiaTheme="minorHAnsi"/>
        </w:rPr>
        <w:t xml:space="preserve">, J. Van Hove, R. Van Coster, New insights into the phenotype of </w:t>
      </w:r>
      <w:r w:rsidRPr="00C066B7">
        <w:rPr>
          <w:rFonts w:eastAsiaTheme="minorHAnsi"/>
          <w:i/>
          <w:iCs/>
        </w:rPr>
        <w:t>FARS2</w:t>
      </w:r>
      <w:r w:rsidRPr="00C066B7">
        <w:rPr>
          <w:rFonts w:eastAsiaTheme="minorHAnsi"/>
        </w:rPr>
        <w:t xml:space="preserve"> deficiency. </w:t>
      </w:r>
      <w:r w:rsidRPr="00C066B7">
        <w:rPr>
          <w:rFonts w:eastAsiaTheme="minorHAnsi"/>
          <w:i/>
          <w:iCs/>
        </w:rPr>
        <w:t>Molecular Genetics and Metabolism</w:t>
      </w:r>
      <w:r w:rsidRPr="00C066B7">
        <w:rPr>
          <w:rFonts w:eastAsiaTheme="minorHAnsi"/>
        </w:rPr>
        <w:t xml:space="preserve"> </w:t>
      </w:r>
      <w:r w:rsidRPr="00C066B7">
        <w:rPr>
          <w:rFonts w:eastAsiaTheme="minorHAnsi"/>
          <w:b/>
          <w:bCs/>
        </w:rPr>
        <w:t>122</w:t>
      </w:r>
      <w:r w:rsidRPr="00C066B7">
        <w:rPr>
          <w:rFonts w:eastAsiaTheme="minorHAnsi"/>
        </w:rPr>
        <w:t>, 172–181 (2017).</w:t>
      </w:r>
    </w:p>
    <w:p w14:paraId="117CFB4C" w14:textId="77777777" w:rsidR="00C066B7" w:rsidRPr="00C066B7" w:rsidRDefault="00C066B7" w:rsidP="00C066B7">
      <w:pPr>
        <w:pStyle w:val="Bibliography"/>
        <w:rPr>
          <w:rFonts w:eastAsiaTheme="minorHAnsi"/>
        </w:rPr>
      </w:pPr>
      <w:r w:rsidRPr="00C066B7">
        <w:rPr>
          <w:rFonts w:eastAsiaTheme="minorHAnsi"/>
        </w:rPr>
        <w:t xml:space="preserve">16. </w:t>
      </w:r>
      <w:r w:rsidRPr="00C066B7">
        <w:rPr>
          <w:rFonts w:eastAsiaTheme="minorHAnsi"/>
        </w:rPr>
        <w:tab/>
        <w:t xml:space="preserve">N. P. J. Brindle, P. </w:t>
      </w:r>
      <w:proofErr w:type="spellStart"/>
      <w:r w:rsidRPr="00C066B7">
        <w:rPr>
          <w:rFonts w:eastAsiaTheme="minorHAnsi"/>
        </w:rPr>
        <w:t>Saharinen</w:t>
      </w:r>
      <w:proofErr w:type="spellEnd"/>
      <w:r w:rsidRPr="00C066B7">
        <w:rPr>
          <w:rFonts w:eastAsiaTheme="minorHAnsi"/>
        </w:rPr>
        <w:t xml:space="preserve">, K. </w:t>
      </w:r>
      <w:proofErr w:type="spellStart"/>
      <w:r w:rsidRPr="00C066B7">
        <w:rPr>
          <w:rFonts w:eastAsiaTheme="minorHAnsi"/>
        </w:rPr>
        <w:t>Alitalo</w:t>
      </w:r>
      <w:proofErr w:type="spellEnd"/>
      <w:r w:rsidRPr="00C066B7">
        <w:rPr>
          <w:rFonts w:eastAsiaTheme="minorHAnsi"/>
        </w:rPr>
        <w:t xml:space="preserve">, Signaling and Functions of Angiopoietin-1 in Vascular Protection. </w:t>
      </w:r>
      <w:r w:rsidRPr="00C066B7">
        <w:rPr>
          <w:rFonts w:eastAsiaTheme="minorHAnsi"/>
          <w:i/>
          <w:iCs/>
        </w:rPr>
        <w:t>Circulation Research</w:t>
      </w:r>
      <w:r w:rsidRPr="00C066B7">
        <w:rPr>
          <w:rFonts w:eastAsiaTheme="minorHAnsi"/>
        </w:rPr>
        <w:t xml:space="preserve"> </w:t>
      </w:r>
      <w:r w:rsidRPr="00C066B7">
        <w:rPr>
          <w:rFonts w:eastAsiaTheme="minorHAnsi"/>
          <w:b/>
          <w:bCs/>
        </w:rPr>
        <w:t>98</w:t>
      </w:r>
      <w:r w:rsidRPr="00C066B7">
        <w:rPr>
          <w:rFonts w:eastAsiaTheme="minorHAnsi"/>
        </w:rPr>
        <w:t>, 1014–1023 (2006).</w:t>
      </w:r>
    </w:p>
    <w:p w14:paraId="02C15E24" w14:textId="77777777" w:rsidR="00C066B7" w:rsidRPr="00C066B7" w:rsidRDefault="00C066B7" w:rsidP="00C066B7">
      <w:pPr>
        <w:pStyle w:val="Bibliography"/>
        <w:rPr>
          <w:rFonts w:eastAsiaTheme="minorHAnsi"/>
        </w:rPr>
      </w:pPr>
      <w:r w:rsidRPr="00C066B7">
        <w:rPr>
          <w:rFonts w:eastAsiaTheme="minorHAnsi"/>
        </w:rPr>
        <w:t xml:space="preserve">17. </w:t>
      </w:r>
      <w:r w:rsidRPr="00C066B7">
        <w:rPr>
          <w:rFonts w:eastAsiaTheme="minorHAnsi"/>
        </w:rPr>
        <w:tab/>
        <w:t xml:space="preserve">T. N. Durrant, M. T. van den Bosch, I. Hers, Integrin αIIbβ3 outside-in signaling. </w:t>
      </w:r>
      <w:r w:rsidRPr="00C066B7">
        <w:rPr>
          <w:rFonts w:eastAsiaTheme="minorHAnsi"/>
          <w:i/>
          <w:iCs/>
        </w:rPr>
        <w:t>Blood</w:t>
      </w:r>
      <w:r w:rsidRPr="00C066B7">
        <w:rPr>
          <w:rFonts w:eastAsiaTheme="minorHAnsi"/>
        </w:rPr>
        <w:t xml:space="preserve"> </w:t>
      </w:r>
      <w:r w:rsidRPr="00C066B7">
        <w:rPr>
          <w:rFonts w:eastAsiaTheme="minorHAnsi"/>
          <w:b/>
          <w:bCs/>
        </w:rPr>
        <w:t>130</w:t>
      </w:r>
      <w:r w:rsidRPr="00C066B7">
        <w:rPr>
          <w:rFonts w:eastAsiaTheme="minorHAnsi"/>
        </w:rPr>
        <w:t>, 1607–1619 (2017).</w:t>
      </w:r>
    </w:p>
    <w:p w14:paraId="4F454226" w14:textId="77777777" w:rsidR="00C066B7" w:rsidRPr="00C066B7" w:rsidRDefault="00C066B7" w:rsidP="00C066B7">
      <w:pPr>
        <w:pStyle w:val="Bibliography"/>
        <w:rPr>
          <w:rFonts w:eastAsiaTheme="minorHAnsi"/>
        </w:rPr>
      </w:pPr>
      <w:r w:rsidRPr="00C066B7">
        <w:rPr>
          <w:rFonts w:eastAsiaTheme="minorHAnsi"/>
        </w:rPr>
        <w:t xml:space="preserve">18. </w:t>
      </w:r>
      <w:r w:rsidRPr="00C066B7">
        <w:rPr>
          <w:rFonts w:eastAsiaTheme="minorHAnsi"/>
        </w:rPr>
        <w:tab/>
        <w:t xml:space="preserve">J. Huang, X. Li, X. Shi, M. Zhu, J. Wang, S. Huang, X. Huang, H. Wang, L. Li, H. Deng, Y. Zhou, J. Mao, Z. Long, Z. Ma, W. Ye, J. Pan, X. Xi, J. Jin, Platelet integrin αIIbβ3: signal transduction, regulation, and its therapeutic targeting. </w:t>
      </w:r>
      <w:r w:rsidRPr="00C066B7">
        <w:rPr>
          <w:rFonts w:eastAsiaTheme="minorHAnsi"/>
          <w:i/>
          <w:iCs/>
        </w:rPr>
        <w:t>Journal of Hematology &amp; Oncology</w:t>
      </w:r>
      <w:r w:rsidRPr="00C066B7">
        <w:rPr>
          <w:rFonts w:eastAsiaTheme="minorHAnsi"/>
        </w:rPr>
        <w:t xml:space="preserve"> </w:t>
      </w:r>
      <w:r w:rsidRPr="00C066B7">
        <w:rPr>
          <w:rFonts w:eastAsiaTheme="minorHAnsi"/>
          <w:b/>
          <w:bCs/>
        </w:rPr>
        <w:t>12</w:t>
      </w:r>
      <w:r w:rsidRPr="00C066B7">
        <w:rPr>
          <w:rFonts w:eastAsiaTheme="minorHAnsi"/>
        </w:rPr>
        <w:t>, 26 (2019).</w:t>
      </w:r>
    </w:p>
    <w:p w14:paraId="2F07990E" w14:textId="77777777" w:rsidR="00C066B7" w:rsidRPr="00C066B7" w:rsidRDefault="00C066B7" w:rsidP="00C066B7">
      <w:pPr>
        <w:pStyle w:val="Bibliography"/>
        <w:rPr>
          <w:rFonts w:eastAsiaTheme="minorHAnsi"/>
        </w:rPr>
      </w:pPr>
      <w:r w:rsidRPr="00C066B7">
        <w:rPr>
          <w:rFonts w:eastAsiaTheme="minorHAnsi"/>
        </w:rPr>
        <w:t xml:space="preserve">19. </w:t>
      </w:r>
      <w:r w:rsidRPr="00C066B7">
        <w:rPr>
          <w:rFonts w:eastAsiaTheme="minorHAnsi"/>
        </w:rPr>
        <w:tab/>
        <w:t xml:space="preserve">I. Paz, I. Kosti, M. Ares Jr, M. Cline, Y. Mandel-Gutfreund, </w:t>
      </w:r>
      <w:proofErr w:type="spellStart"/>
      <w:r w:rsidRPr="00C066B7">
        <w:rPr>
          <w:rFonts w:eastAsiaTheme="minorHAnsi"/>
        </w:rPr>
        <w:t>RBPmap</w:t>
      </w:r>
      <w:proofErr w:type="spellEnd"/>
      <w:r w:rsidRPr="00C066B7">
        <w:rPr>
          <w:rFonts w:eastAsiaTheme="minorHAnsi"/>
        </w:rPr>
        <w:t xml:space="preserve">: a web server for mapping binding sites of RNA-binding proteins. </w:t>
      </w:r>
      <w:r w:rsidRPr="00C066B7">
        <w:rPr>
          <w:rFonts w:eastAsiaTheme="minorHAnsi"/>
          <w:i/>
          <w:iCs/>
        </w:rPr>
        <w:t>Nucleic Acids Research</w:t>
      </w:r>
      <w:r w:rsidRPr="00C066B7">
        <w:rPr>
          <w:rFonts w:eastAsiaTheme="minorHAnsi"/>
        </w:rPr>
        <w:t xml:space="preserve"> </w:t>
      </w:r>
      <w:r w:rsidRPr="00C066B7">
        <w:rPr>
          <w:rFonts w:eastAsiaTheme="minorHAnsi"/>
          <w:b/>
          <w:bCs/>
        </w:rPr>
        <w:t>42</w:t>
      </w:r>
      <w:r w:rsidRPr="00C066B7">
        <w:rPr>
          <w:rFonts w:eastAsiaTheme="minorHAnsi"/>
        </w:rPr>
        <w:t>, W361–W367 (2014).</w:t>
      </w:r>
    </w:p>
    <w:p w14:paraId="5187721F" w14:textId="77777777" w:rsidR="00C066B7" w:rsidRPr="00C066B7" w:rsidRDefault="00C066B7" w:rsidP="00C066B7">
      <w:pPr>
        <w:pStyle w:val="Bibliography"/>
        <w:rPr>
          <w:rFonts w:eastAsiaTheme="minorHAnsi"/>
        </w:rPr>
      </w:pPr>
      <w:r w:rsidRPr="00C066B7">
        <w:rPr>
          <w:rFonts w:eastAsiaTheme="minorHAnsi"/>
        </w:rPr>
        <w:t xml:space="preserve">20. </w:t>
      </w:r>
      <w:r w:rsidRPr="00C066B7">
        <w:rPr>
          <w:rFonts w:eastAsiaTheme="minorHAnsi"/>
        </w:rPr>
        <w:tab/>
        <w:t xml:space="preserve">I. </w:t>
      </w:r>
      <w:proofErr w:type="spellStart"/>
      <w:r w:rsidRPr="00C066B7">
        <w:rPr>
          <w:rFonts w:eastAsiaTheme="minorHAnsi"/>
        </w:rPr>
        <w:t>Vlodavsky</w:t>
      </w:r>
      <w:proofErr w:type="spellEnd"/>
      <w:r w:rsidRPr="00C066B7">
        <w:rPr>
          <w:rFonts w:eastAsiaTheme="minorHAnsi"/>
        </w:rPr>
        <w:t xml:space="preserve">, Y. Kayal, M. </w:t>
      </w:r>
      <w:proofErr w:type="spellStart"/>
      <w:r w:rsidRPr="00C066B7">
        <w:rPr>
          <w:rFonts w:eastAsiaTheme="minorHAnsi"/>
        </w:rPr>
        <w:t>Hilwi</w:t>
      </w:r>
      <w:proofErr w:type="spellEnd"/>
      <w:r w:rsidRPr="00C066B7">
        <w:rPr>
          <w:rFonts w:eastAsiaTheme="minorHAnsi"/>
        </w:rPr>
        <w:t xml:space="preserve">, S. Soboh, R. D. Sanderson, N. Ilan, </w:t>
      </w:r>
      <w:proofErr w:type="spellStart"/>
      <w:r w:rsidRPr="00C066B7">
        <w:rPr>
          <w:rFonts w:eastAsiaTheme="minorHAnsi"/>
        </w:rPr>
        <w:t>Heparanase</w:t>
      </w:r>
      <w:proofErr w:type="spellEnd"/>
      <w:r w:rsidRPr="00C066B7">
        <w:rPr>
          <w:rFonts w:eastAsiaTheme="minorHAnsi"/>
        </w:rPr>
        <w:t xml:space="preserve">—A single protein with multiple enzymatic and nonenzymatic functions. </w:t>
      </w:r>
      <w:r w:rsidRPr="00C066B7">
        <w:rPr>
          <w:rFonts w:eastAsiaTheme="minorHAnsi"/>
          <w:i/>
          <w:iCs/>
        </w:rPr>
        <w:t>Proteoglycan Research</w:t>
      </w:r>
      <w:r w:rsidRPr="00C066B7">
        <w:rPr>
          <w:rFonts w:eastAsiaTheme="minorHAnsi"/>
        </w:rPr>
        <w:t xml:space="preserve"> </w:t>
      </w:r>
      <w:r w:rsidRPr="00C066B7">
        <w:rPr>
          <w:rFonts w:eastAsiaTheme="minorHAnsi"/>
          <w:b/>
          <w:bCs/>
        </w:rPr>
        <w:t>1</w:t>
      </w:r>
      <w:r w:rsidRPr="00C066B7">
        <w:rPr>
          <w:rFonts w:eastAsiaTheme="minorHAnsi"/>
        </w:rPr>
        <w:t>, e6 (2023).</w:t>
      </w:r>
    </w:p>
    <w:p w14:paraId="5431E667" w14:textId="77777777" w:rsidR="00C066B7" w:rsidRPr="00C066B7" w:rsidRDefault="00C066B7" w:rsidP="00C066B7">
      <w:pPr>
        <w:pStyle w:val="Bibliography"/>
        <w:rPr>
          <w:rFonts w:eastAsiaTheme="minorHAnsi"/>
        </w:rPr>
      </w:pPr>
      <w:r w:rsidRPr="00C066B7">
        <w:rPr>
          <w:rFonts w:eastAsiaTheme="minorHAnsi"/>
        </w:rPr>
        <w:t xml:space="preserve">21. </w:t>
      </w:r>
      <w:r w:rsidRPr="00C066B7">
        <w:rPr>
          <w:rFonts w:eastAsiaTheme="minorHAnsi"/>
        </w:rPr>
        <w:tab/>
        <w:t xml:space="preserve">J. Li, I. </w:t>
      </w:r>
      <w:proofErr w:type="spellStart"/>
      <w:r w:rsidRPr="00C066B7">
        <w:rPr>
          <w:rFonts w:eastAsiaTheme="minorHAnsi"/>
        </w:rPr>
        <w:t>Vlodavsky</w:t>
      </w:r>
      <w:proofErr w:type="spellEnd"/>
      <w:r w:rsidRPr="00C066B7">
        <w:rPr>
          <w:rFonts w:eastAsiaTheme="minorHAnsi"/>
        </w:rPr>
        <w:t xml:space="preserve">, Heparin, heparan sulfate and </w:t>
      </w:r>
      <w:proofErr w:type="spellStart"/>
      <w:r w:rsidRPr="00C066B7">
        <w:rPr>
          <w:rFonts w:eastAsiaTheme="minorHAnsi"/>
        </w:rPr>
        <w:t>heparanase</w:t>
      </w:r>
      <w:proofErr w:type="spellEnd"/>
      <w:r w:rsidRPr="00C066B7">
        <w:rPr>
          <w:rFonts w:eastAsiaTheme="minorHAnsi"/>
        </w:rPr>
        <w:t xml:space="preserve"> in inflammatory reactions. </w:t>
      </w:r>
      <w:r w:rsidRPr="00C066B7">
        <w:rPr>
          <w:rFonts w:eastAsiaTheme="minorHAnsi"/>
          <w:i/>
          <w:iCs/>
        </w:rPr>
        <w:t xml:space="preserve">Thrombosis and </w:t>
      </w:r>
      <w:proofErr w:type="spellStart"/>
      <w:r w:rsidRPr="00C066B7">
        <w:rPr>
          <w:rFonts w:eastAsiaTheme="minorHAnsi"/>
          <w:i/>
          <w:iCs/>
        </w:rPr>
        <w:t>Haemostasis</w:t>
      </w:r>
      <w:proofErr w:type="spellEnd"/>
      <w:r w:rsidRPr="00C066B7">
        <w:rPr>
          <w:rFonts w:eastAsiaTheme="minorHAnsi"/>
        </w:rPr>
        <w:t xml:space="preserve"> </w:t>
      </w:r>
      <w:r w:rsidRPr="00C066B7">
        <w:rPr>
          <w:rFonts w:eastAsiaTheme="minorHAnsi"/>
          <w:b/>
          <w:bCs/>
        </w:rPr>
        <w:t>102</w:t>
      </w:r>
      <w:r w:rsidRPr="00C066B7">
        <w:rPr>
          <w:rFonts w:eastAsiaTheme="minorHAnsi"/>
        </w:rPr>
        <w:t>, 823–828 (2017).</w:t>
      </w:r>
    </w:p>
    <w:p w14:paraId="1960E0C7" w14:textId="77777777" w:rsidR="00C066B7" w:rsidRPr="00C066B7" w:rsidRDefault="00C066B7" w:rsidP="00C066B7">
      <w:pPr>
        <w:pStyle w:val="Bibliography"/>
        <w:rPr>
          <w:rFonts w:eastAsiaTheme="minorHAnsi"/>
        </w:rPr>
      </w:pPr>
      <w:r w:rsidRPr="00C066B7">
        <w:rPr>
          <w:rFonts w:eastAsiaTheme="minorHAnsi"/>
        </w:rPr>
        <w:t xml:space="preserve">22. </w:t>
      </w:r>
      <w:r w:rsidRPr="00C066B7">
        <w:rPr>
          <w:rFonts w:eastAsiaTheme="minorHAnsi"/>
        </w:rPr>
        <w:tab/>
        <w:t xml:space="preserve">P. Kumar, S. </w:t>
      </w:r>
      <w:proofErr w:type="spellStart"/>
      <w:r w:rsidRPr="00C066B7">
        <w:rPr>
          <w:rFonts w:eastAsiaTheme="minorHAnsi"/>
        </w:rPr>
        <w:t>Henikoff</w:t>
      </w:r>
      <w:proofErr w:type="spellEnd"/>
      <w:r w:rsidRPr="00C066B7">
        <w:rPr>
          <w:rFonts w:eastAsiaTheme="minorHAnsi"/>
        </w:rPr>
        <w:t xml:space="preserve">, P. C. Ng, Predicting the effects of coding non-synonymous variants on protein function using the SIFT algorithm. </w:t>
      </w:r>
      <w:r w:rsidRPr="00C066B7">
        <w:rPr>
          <w:rFonts w:eastAsiaTheme="minorHAnsi"/>
          <w:i/>
          <w:iCs/>
        </w:rPr>
        <w:t xml:space="preserve">Nat </w:t>
      </w:r>
      <w:proofErr w:type="spellStart"/>
      <w:r w:rsidRPr="00C066B7">
        <w:rPr>
          <w:rFonts w:eastAsiaTheme="minorHAnsi"/>
          <w:i/>
          <w:iCs/>
        </w:rPr>
        <w:t>Protoc</w:t>
      </w:r>
      <w:proofErr w:type="spellEnd"/>
      <w:r w:rsidRPr="00C066B7">
        <w:rPr>
          <w:rFonts w:eastAsiaTheme="minorHAnsi"/>
        </w:rPr>
        <w:t xml:space="preserve"> </w:t>
      </w:r>
      <w:r w:rsidRPr="00C066B7">
        <w:rPr>
          <w:rFonts w:eastAsiaTheme="minorHAnsi"/>
          <w:b/>
          <w:bCs/>
        </w:rPr>
        <w:t>4</w:t>
      </w:r>
      <w:r w:rsidRPr="00C066B7">
        <w:rPr>
          <w:rFonts w:eastAsiaTheme="minorHAnsi"/>
        </w:rPr>
        <w:t>, 1073–1081 (2009).</w:t>
      </w:r>
    </w:p>
    <w:p w14:paraId="349BE03A" w14:textId="77777777" w:rsidR="00C066B7" w:rsidRPr="00C066B7" w:rsidRDefault="00C066B7" w:rsidP="00C066B7">
      <w:pPr>
        <w:pStyle w:val="Bibliography"/>
        <w:rPr>
          <w:rFonts w:eastAsiaTheme="minorHAnsi"/>
        </w:rPr>
      </w:pPr>
      <w:r w:rsidRPr="00C066B7">
        <w:rPr>
          <w:rFonts w:eastAsiaTheme="minorHAnsi"/>
        </w:rPr>
        <w:t xml:space="preserve">23. </w:t>
      </w:r>
      <w:r w:rsidRPr="00C066B7">
        <w:rPr>
          <w:rFonts w:eastAsiaTheme="minorHAnsi"/>
        </w:rPr>
        <w:tab/>
        <w:t xml:space="preserve">J. S. Nielsen, K. M. </w:t>
      </w:r>
      <w:proofErr w:type="spellStart"/>
      <w:r w:rsidRPr="00C066B7">
        <w:rPr>
          <w:rFonts w:eastAsiaTheme="minorHAnsi"/>
        </w:rPr>
        <w:t>McNagny</w:t>
      </w:r>
      <w:proofErr w:type="spellEnd"/>
      <w:r w:rsidRPr="00C066B7">
        <w:rPr>
          <w:rFonts w:eastAsiaTheme="minorHAnsi"/>
        </w:rPr>
        <w:t xml:space="preserve">, The Role of </w:t>
      </w:r>
      <w:proofErr w:type="spellStart"/>
      <w:r w:rsidRPr="00C066B7">
        <w:rPr>
          <w:rFonts w:eastAsiaTheme="minorHAnsi"/>
        </w:rPr>
        <w:t>Podocalyxin</w:t>
      </w:r>
      <w:proofErr w:type="spellEnd"/>
      <w:r w:rsidRPr="00C066B7">
        <w:rPr>
          <w:rFonts w:eastAsiaTheme="minorHAnsi"/>
        </w:rPr>
        <w:t xml:space="preserve"> in Health and Disease. </w:t>
      </w:r>
      <w:r w:rsidRPr="00C066B7">
        <w:rPr>
          <w:rFonts w:eastAsiaTheme="minorHAnsi"/>
          <w:i/>
          <w:iCs/>
        </w:rPr>
        <w:t>Journal of the American Society of Nephrology</w:t>
      </w:r>
      <w:r w:rsidRPr="00C066B7">
        <w:rPr>
          <w:rFonts w:eastAsiaTheme="minorHAnsi"/>
        </w:rPr>
        <w:t xml:space="preserve"> </w:t>
      </w:r>
      <w:r w:rsidRPr="00C066B7">
        <w:rPr>
          <w:rFonts w:eastAsiaTheme="minorHAnsi"/>
          <w:b/>
          <w:bCs/>
        </w:rPr>
        <w:t>20</w:t>
      </w:r>
      <w:r w:rsidRPr="00C066B7">
        <w:rPr>
          <w:rFonts w:eastAsiaTheme="minorHAnsi"/>
        </w:rPr>
        <w:t>, 1669 (2009).</w:t>
      </w:r>
    </w:p>
    <w:p w14:paraId="5AF5D1CF" w14:textId="77777777" w:rsidR="00C066B7" w:rsidRPr="00C066B7" w:rsidRDefault="00C066B7" w:rsidP="00C066B7">
      <w:pPr>
        <w:pStyle w:val="Bibliography"/>
        <w:rPr>
          <w:rFonts w:eastAsiaTheme="minorHAnsi"/>
        </w:rPr>
      </w:pPr>
      <w:r w:rsidRPr="00C066B7">
        <w:rPr>
          <w:rFonts w:eastAsiaTheme="minorHAnsi"/>
        </w:rPr>
        <w:t xml:space="preserve">24. </w:t>
      </w:r>
      <w:r w:rsidRPr="00C066B7">
        <w:rPr>
          <w:rFonts w:eastAsiaTheme="minorHAnsi"/>
        </w:rPr>
        <w:tab/>
        <w:t xml:space="preserve">J. Heinke, L. </w:t>
      </w:r>
      <w:proofErr w:type="spellStart"/>
      <w:r w:rsidRPr="00C066B7">
        <w:rPr>
          <w:rFonts w:eastAsiaTheme="minorHAnsi"/>
        </w:rPr>
        <w:t>Wehofsits</w:t>
      </w:r>
      <w:proofErr w:type="spellEnd"/>
      <w:r w:rsidRPr="00C066B7">
        <w:rPr>
          <w:rFonts w:eastAsiaTheme="minorHAnsi"/>
        </w:rPr>
        <w:t xml:space="preserve">, Q. Zhou, C. Zoeller, K.-M. Baar, T. Helbing, A. Laib, H. Augustin, C. Bode, C. Patterson, M. Moser, BMPER Is an Endothelial Cell Regulator and Controls Bone Morphogenetic Protein-4–Dependent Angiogenesis. </w:t>
      </w:r>
      <w:r w:rsidRPr="00C066B7">
        <w:rPr>
          <w:rFonts w:eastAsiaTheme="minorHAnsi"/>
          <w:i/>
          <w:iCs/>
        </w:rPr>
        <w:t>Circulation Research</w:t>
      </w:r>
      <w:r w:rsidRPr="00C066B7">
        <w:rPr>
          <w:rFonts w:eastAsiaTheme="minorHAnsi"/>
        </w:rPr>
        <w:t xml:space="preserve"> </w:t>
      </w:r>
      <w:r w:rsidRPr="00C066B7">
        <w:rPr>
          <w:rFonts w:eastAsiaTheme="minorHAnsi"/>
          <w:b/>
          <w:bCs/>
        </w:rPr>
        <w:t>103</w:t>
      </w:r>
      <w:r w:rsidRPr="00C066B7">
        <w:rPr>
          <w:rFonts w:eastAsiaTheme="minorHAnsi"/>
        </w:rPr>
        <w:t>, 804–812 (2008).</w:t>
      </w:r>
    </w:p>
    <w:p w14:paraId="237EC9A5" w14:textId="77777777" w:rsidR="00C066B7" w:rsidRPr="00C066B7" w:rsidRDefault="00C066B7" w:rsidP="00C066B7">
      <w:pPr>
        <w:pStyle w:val="Bibliography"/>
        <w:rPr>
          <w:rFonts w:eastAsiaTheme="minorHAnsi"/>
        </w:rPr>
      </w:pPr>
      <w:r w:rsidRPr="00C066B7">
        <w:rPr>
          <w:rFonts w:eastAsiaTheme="minorHAnsi"/>
        </w:rPr>
        <w:lastRenderedPageBreak/>
        <w:t xml:space="preserve">25. </w:t>
      </w:r>
      <w:r w:rsidRPr="00C066B7">
        <w:rPr>
          <w:rFonts w:eastAsiaTheme="minorHAnsi"/>
        </w:rPr>
        <w:tab/>
        <w:t xml:space="preserve">P. Lockyer, H. Mao, Q. Fan, L. Li, L.-Y. Yu-Lee, N. T. Eissa, C. Patterson, L. Xie, X. Pi, LRP1-Dependent BMPER Signaling Regulates Lipopolysaccharide-Induced Vascular Inflammation. </w:t>
      </w:r>
      <w:r w:rsidRPr="00C066B7">
        <w:rPr>
          <w:rFonts w:eastAsiaTheme="minorHAnsi"/>
          <w:i/>
          <w:iCs/>
        </w:rPr>
        <w:t>Arteriosclerosis, Thrombosis, and Vascular Biology</w:t>
      </w:r>
      <w:r w:rsidRPr="00C066B7">
        <w:rPr>
          <w:rFonts w:eastAsiaTheme="minorHAnsi"/>
        </w:rPr>
        <w:t xml:space="preserve"> </w:t>
      </w:r>
      <w:r w:rsidRPr="00C066B7">
        <w:rPr>
          <w:rFonts w:eastAsiaTheme="minorHAnsi"/>
          <w:b/>
          <w:bCs/>
        </w:rPr>
        <w:t>37</w:t>
      </w:r>
      <w:r w:rsidRPr="00C066B7">
        <w:rPr>
          <w:rFonts w:eastAsiaTheme="minorHAnsi"/>
        </w:rPr>
        <w:t>, 1524–1535 (2017).</w:t>
      </w:r>
    </w:p>
    <w:p w14:paraId="520A7171" w14:textId="77777777" w:rsidR="00C066B7" w:rsidRPr="00C066B7" w:rsidRDefault="00C066B7" w:rsidP="00C066B7">
      <w:pPr>
        <w:pStyle w:val="Bibliography"/>
        <w:rPr>
          <w:rFonts w:eastAsiaTheme="minorHAnsi"/>
        </w:rPr>
      </w:pPr>
      <w:r w:rsidRPr="00C066B7">
        <w:rPr>
          <w:rFonts w:eastAsiaTheme="minorHAnsi"/>
        </w:rPr>
        <w:t xml:space="preserve">26. </w:t>
      </w:r>
      <w:r w:rsidRPr="00C066B7">
        <w:rPr>
          <w:rFonts w:eastAsiaTheme="minorHAnsi"/>
        </w:rPr>
        <w:tab/>
        <w:t xml:space="preserve">R. P. Tucker, D. </w:t>
      </w:r>
      <w:proofErr w:type="spellStart"/>
      <w:r w:rsidRPr="00C066B7">
        <w:rPr>
          <w:rFonts w:eastAsiaTheme="minorHAnsi"/>
        </w:rPr>
        <w:t>Kenzelmann</w:t>
      </w:r>
      <w:proofErr w:type="spellEnd"/>
      <w:r w:rsidRPr="00C066B7">
        <w:rPr>
          <w:rFonts w:eastAsiaTheme="minorHAnsi"/>
        </w:rPr>
        <w:t xml:space="preserve">, A. Trzebiatowska, R. </w:t>
      </w:r>
      <w:proofErr w:type="spellStart"/>
      <w:r w:rsidRPr="00C066B7">
        <w:rPr>
          <w:rFonts w:eastAsiaTheme="minorHAnsi"/>
        </w:rPr>
        <w:t>Chiquet</w:t>
      </w:r>
      <w:proofErr w:type="spellEnd"/>
      <w:r w:rsidRPr="00C066B7">
        <w:rPr>
          <w:rFonts w:eastAsiaTheme="minorHAnsi"/>
        </w:rPr>
        <w:t xml:space="preserve">-Ehrismann, </w:t>
      </w:r>
      <w:proofErr w:type="spellStart"/>
      <w:r w:rsidRPr="00C066B7">
        <w:rPr>
          <w:rFonts w:eastAsiaTheme="minorHAnsi"/>
        </w:rPr>
        <w:t>Teneurins</w:t>
      </w:r>
      <w:proofErr w:type="spellEnd"/>
      <w:r w:rsidRPr="00C066B7">
        <w:rPr>
          <w:rFonts w:eastAsiaTheme="minorHAnsi"/>
        </w:rPr>
        <w:t xml:space="preserve">: Transmembrane proteins with fundamental roles in development. </w:t>
      </w:r>
      <w:r w:rsidRPr="00C066B7">
        <w:rPr>
          <w:rFonts w:eastAsiaTheme="minorHAnsi"/>
          <w:i/>
          <w:iCs/>
        </w:rPr>
        <w:t>The International Journal of Biochemistry &amp; Cell Biology</w:t>
      </w:r>
      <w:r w:rsidRPr="00C066B7">
        <w:rPr>
          <w:rFonts w:eastAsiaTheme="minorHAnsi"/>
        </w:rPr>
        <w:t xml:space="preserve"> </w:t>
      </w:r>
      <w:r w:rsidRPr="00C066B7">
        <w:rPr>
          <w:rFonts w:eastAsiaTheme="minorHAnsi"/>
          <w:b/>
          <w:bCs/>
        </w:rPr>
        <w:t>39</w:t>
      </w:r>
      <w:r w:rsidRPr="00C066B7">
        <w:rPr>
          <w:rFonts w:eastAsiaTheme="minorHAnsi"/>
        </w:rPr>
        <w:t>, 292–297 (2007).</w:t>
      </w:r>
    </w:p>
    <w:p w14:paraId="75AEE639" w14:textId="77777777" w:rsidR="00C066B7" w:rsidRPr="00C066B7" w:rsidRDefault="00C066B7" w:rsidP="00C066B7">
      <w:pPr>
        <w:pStyle w:val="Bibliography"/>
        <w:rPr>
          <w:rFonts w:eastAsiaTheme="minorHAnsi"/>
        </w:rPr>
      </w:pPr>
      <w:r w:rsidRPr="00C066B7">
        <w:rPr>
          <w:rFonts w:eastAsiaTheme="minorHAnsi"/>
        </w:rPr>
        <w:t xml:space="preserve">27. </w:t>
      </w:r>
      <w:r w:rsidRPr="00C066B7">
        <w:rPr>
          <w:rFonts w:eastAsiaTheme="minorHAnsi"/>
        </w:rPr>
        <w:tab/>
        <w:t xml:space="preserve">T. Ben-Zur, E. Feige, B. </w:t>
      </w:r>
      <w:proofErr w:type="spellStart"/>
      <w:r w:rsidRPr="00C066B7">
        <w:rPr>
          <w:rFonts w:eastAsiaTheme="minorHAnsi"/>
        </w:rPr>
        <w:t>Motro</w:t>
      </w:r>
      <w:proofErr w:type="spellEnd"/>
      <w:r w:rsidRPr="00C066B7">
        <w:rPr>
          <w:rFonts w:eastAsiaTheme="minorHAnsi"/>
        </w:rPr>
        <w:t xml:space="preserve">, R. Wides, The Mammalian </w:t>
      </w:r>
      <w:proofErr w:type="spellStart"/>
      <w:r w:rsidRPr="00C066B7">
        <w:rPr>
          <w:rFonts w:eastAsiaTheme="minorHAnsi"/>
        </w:rPr>
        <w:t>Odz</w:t>
      </w:r>
      <w:proofErr w:type="spellEnd"/>
      <w:r w:rsidRPr="00C066B7">
        <w:rPr>
          <w:rFonts w:eastAsiaTheme="minorHAnsi"/>
        </w:rPr>
        <w:t xml:space="preserve"> Gene Family: Homologs of a </w:t>
      </w:r>
      <w:r w:rsidRPr="00C066B7">
        <w:rPr>
          <w:rFonts w:eastAsiaTheme="minorHAnsi"/>
          <w:i/>
          <w:iCs/>
        </w:rPr>
        <w:t>Drosophila</w:t>
      </w:r>
      <w:r w:rsidRPr="00C066B7">
        <w:rPr>
          <w:rFonts w:eastAsiaTheme="minorHAnsi"/>
        </w:rPr>
        <w:t xml:space="preserve"> Pair-Rule Gene with Expression Implying Distinct yet Overlapping Developmental Roles. </w:t>
      </w:r>
      <w:r w:rsidRPr="00C066B7">
        <w:rPr>
          <w:rFonts w:eastAsiaTheme="minorHAnsi"/>
          <w:i/>
          <w:iCs/>
        </w:rPr>
        <w:t>Developmental Biology</w:t>
      </w:r>
      <w:r w:rsidRPr="00C066B7">
        <w:rPr>
          <w:rFonts w:eastAsiaTheme="minorHAnsi"/>
        </w:rPr>
        <w:t xml:space="preserve"> </w:t>
      </w:r>
      <w:r w:rsidRPr="00C066B7">
        <w:rPr>
          <w:rFonts w:eastAsiaTheme="minorHAnsi"/>
          <w:b/>
          <w:bCs/>
        </w:rPr>
        <w:t>217</w:t>
      </w:r>
      <w:r w:rsidRPr="00C066B7">
        <w:rPr>
          <w:rFonts w:eastAsiaTheme="minorHAnsi"/>
        </w:rPr>
        <w:t>, 107–120 (2000).</w:t>
      </w:r>
    </w:p>
    <w:p w14:paraId="51C3014E" w14:textId="77777777" w:rsidR="00C066B7" w:rsidRPr="00C066B7" w:rsidRDefault="00C066B7" w:rsidP="00C066B7">
      <w:pPr>
        <w:pStyle w:val="Bibliography"/>
        <w:rPr>
          <w:rFonts w:eastAsiaTheme="minorHAnsi"/>
        </w:rPr>
      </w:pPr>
      <w:r w:rsidRPr="00C066B7">
        <w:rPr>
          <w:rFonts w:eastAsiaTheme="minorHAnsi"/>
        </w:rPr>
        <w:t xml:space="preserve">28. </w:t>
      </w:r>
      <w:r w:rsidRPr="00C066B7">
        <w:rPr>
          <w:rFonts w:eastAsiaTheme="minorHAnsi"/>
        </w:rPr>
        <w:tab/>
        <w:t xml:space="preserve">J. Gong, J. Yang, Y. He, X. Chen, G. Yang, R. Sun, Construction of m7G subtype classification on heterogeneity of sepsis. </w:t>
      </w:r>
      <w:r w:rsidRPr="00C066B7">
        <w:rPr>
          <w:rFonts w:eastAsiaTheme="minorHAnsi"/>
          <w:i/>
          <w:iCs/>
        </w:rPr>
        <w:t>Front. Genet.</w:t>
      </w:r>
      <w:r w:rsidRPr="00C066B7">
        <w:rPr>
          <w:rFonts w:eastAsiaTheme="minorHAnsi"/>
        </w:rPr>
        <w:t xml:space="preserve"> </w:t>
      </w:r>
      <w:r w:rsidRPr="00C066B7">
        <w:rPr>
          <w:rFonts w:eastAsiaTheme="minorHAnsi"/>
          <w:b/>
          <w:bCs/>
        </w:rPr>
        <w:t>13</w:t>
      </w:r>
      <w:r w:rsidRPr="00C066B7">
        <w:rPr>
          <w:rFonts w:eastAsiaTheme="minorHAnsi"/>
        </w:rPr>
        <w:t xml:space="preserve"> (2022).</w:t>
      </w:r>
    </w:p>
    <w:p w14:paraId="4115FD0E" w14:textId="77777777" w:rsidR="00C066B7" w:rsidRPr="00C066B7" w:rsidRDefault="00C066B7" w:rsidP="00C066B7">
      <w:pPr>
        <w:pStyle w:val="Bibliography"/>
        <w:rPr>
          <w:rFonts w:eastAsiaTheme="minorHAnsi"/>
        </w:rPr>
      </w:pPr>
      <w:r w:rsidRPr="00C066B7">
        <w:rPr>
          <w:rFonts w:eastAsiaTheme="minorHAnsi"/>
        </w:rPr>
        <w:t xml:space="preserve">29. </w:t>
      </w:r>
      <w:r w:rsidRPr="00C066B7">
        <w:rPr>
          <w:rFonts w:eastAsiaTheme="minorHAnsi"/>
        </w:rPr>
        <w:tab/>
        <w:t xml:space="preserve">D. Wang, R. Huo, L. Ye, Identification of lethality-related m7G methylation modification patterns and the regulatory features of immune microenvironment in sepsis. </w:t>
      </w:r>
      <w:proofErr w:type="spellStart"/>
      <w:r w:rsidRPr="00C066B7">
        <w:rPr>
          <w:rFonts w:eastAsiaTheme="minorHAnsi"/>
          <w:i/>
          <w:iCs/>
        </w:rPr>
        <w:t>Heliyon</w:t>
      </w:r>
      <w:proofErr w:type="spellEnd"/>
      <w:r w:rsidRPr="00C066B7">
        <w:rPr>
          <w:rFonts w:eastAsiaTheme="minorHAnsi"/>
        </w:rPr>
        <w:t xml:space="preserve"> </w:t>
      </w:r>
      <w:r w:rsidRPr="00C066B7">
        <w:rPr>
          <w:rFonts w:eastAsiaTheme="minorHAnsi"/>
          <w:b/>
          <w:bCs/>
        </w:rPr>
        <w:t>11</w:t>
      </w:r>
      <w:r w:rsidRPr="00C066B7">
        <w:rPr>
          <w:rFonts w:eastAsiaTheme="minorHAnsi"/>
        </w:rPr>
        <w:t xml:space="preserve"> (2025).</w:t>
      </w:r>
    </w:p>
    <w:p w14:paraId="0399D543" w14:textId="77777777" w:rsidR="00C066B7" w:rsidRPr="00C066B7" w:rsidRDefault="00C066B7" w:rsidP="00C066B7">
      <w:pPr>
        <w:pStyle w:val="Bibliography"/>
        <w:rPr>
          <w:rFonts w:eastAsiaTheme="minorHAnsi"/>
        </w:rPr>
      </w:pPr>
      <w:r w:rsidRPr="00C066B7">
        <w:rPr>
          <w:rFonts w:eastAsiaTheme="minorHAnsi"/>
        </w:rPr>
        <w:t xml:space="preserve">30. </w:t>
      </w:r>
      <w:r w:rsidRPr="00C066B7">
        <w:rPr>
          <w:rFonts w:eastAsiaTheme="minorHAnsi"/>
        </w:rPr>
        <w:tab/>
        <w:t xml:space="preserve">A. F. Cunha, A. F. </w:t>
      </w:r>
      <w:proofErr w:type="spellStart"/>
      <w:r w:rsidRPr="00C066B7">
        <w:rPr>
          <w:rFonts w:eastAsiaTheme="minorHAnsi"/>
        </w:rPr>
        <w:t>Brugnerotto</w:t>
      </w:r>
      <w:proofErr w:type="spellEnd"/>
      <w:r w:rsidRPr="00C066B7">
        <w:rPr>
          <w:rFonts w:eastAsiaTheme="minorHAnsi"/>
        </w:rPr>
        <w:t xml:space="preserve">, A. S. S. Duarte, G. G. L. Costa, S. T. O. Saad, F. F. Costa, Global Gene Expression Revealed a Set of Genes Involved in the Modification of Cells during Erythropoiesis. </w:t>
      </w:r>
      <w:r w:rsidRPr="00C066B7">
        <w:rPr>
          <w:rFonts w:eastAsiaTheme="minorHAnsi"/>
          <w:i/>
          <w:iCs/>
        </w:rPr>
        <w:t>Blood</w:t>
      </w:r>
      <w:r w:rsidRPr="00C066B7">
        <w:rPr>
          <w:rFonts w:eastAsiaTheme="minorHAnsi"/>
        </w:rPr>
        <w:t xml:space="preserve"> </w:t>
      </w:r>
      <w:r w:rsidRPr="00C066B7">
        <w:rPr>
          <w:rFonts w:eastAsiaTheme="minorHAnsi"/>
          <w:b/>
          <w:bCs/>
        </w:rPr>
        <w:t>110</w:t>
      </w:r>
      <w:r w:rsidRPr="00C066B7">
        <w:rPr>
          <w:rFonts w:eastAsiaTheme="minorHAnsi"/>
        </w:rPr>
        <w:t>, 4074 (2007).</w:t>
      </w:r>
    </w:p>
    <w:p w14:paraId="4F6F1B01" w14:textId="3F971048" w:rsidR="001A610C" w:rsidRPr="00665B9B" w:rsidRDefault="000E4458" w:rsidP="00C066B7">
      <w:pPr>
        <w:pStyle w:val="Bibliography"/>
        <w:rPr>
          <w:b/>
          <w:bCs/>
          <w:u w:val="single"/>
        </w:rPr>
      </w:pPr>
      <w:r>
        <w:rPr>
          <w:b/>
          <w:bCs/>
          <w:u w:val="single"/>
        </w:rPr>
        <w:fldChar w:fldCharType="end"/>
      </w:r>
    </w:p>
    <w:sectPr w:rsidR="001A610C" w:rsidRPr="00665B9B" w:rsidSect="006715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9371B"/>
    <w:multiLevelType w:val="hybridMultilevel"/>
    <w:tmpl w:val="A7969A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306909"/>
    <w:multiLevelType w:val="hybridMultilevel"/>
    <w:tmpl w:val="B4FA6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C0B7D8C"/>
    <w:multiLevelType w:val="hybridMultilevel"/>
    <w:tmpl w:val="34B8F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4050608">
    <w:abstractNumId w:val="1"/>
  </w:num>
  <w:num w:numId="2" w16cid:durableId="205259851">
    <w:abstractNumId w:val="0"/>
  </w:num>
  <w:num w:numId="3" w16cid:durableId="888180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7B2"/>
    <w:rsid w:val="00010C3D"/>
    <w:rsid w:val="000129E9"/>
    <w:rsid w:val="000622C4"/>
    <w:rsid w:val="00094D03"/>
    <w:rsid w:val="000B32DA"/>
    <w:rsid w:val="000C0855"/>
    <w:rsid w:val="000D2DCD"/>
    <w:rsid w:val="000D6928"/>
    <w:rsid w:val="000E04D2"/>
    <w:rsid w:val="000E4458"/>
    <w:rsid w:val="000F2651"/>
    <w:rsid w:val="001235DD"/>
    <w:rsid w:val="00141FA8"/>
    <w:rsid w:val="00144025"/>
    <w:rsid w:val="001543E9"/>
    <w:rsid w:val="0016418C"/>
    <w:rsid w:val="0019381C"/>
    <w:rsid w:val="001A5370"/>
    <w:rsid w:val="001A610C"/>
    <w:rsid w:val="001E0683"/>
    <w:rsid w:val="001F2342"/>
    <w:rsid w:val="00234C82"/>
    <w:rsid w:val="002542DA"/>
    <w:rsid w:val="00266BBD"/>
    <w:rsid w:val="002710A8"/>
    <w:rsid w:val="002C1EA0"/>
    <w:rsid w:val="002E2F72"/>
    <w:rsid w:val="00304CCA"/>
    <w:rsid w:val="0032229F"/>
    <w:rsid w:val="00322DCF"/>
    <w:rsid w:val="00346793"/>
    <w:rsid w:val="003769D2"/>
    <w:rsid w:val="003848BA"/>
    <w:rsid w:val="003A0C09"/>
    <w:rsid w:val="003A5C9F"/>
    <w:rsid w:val="003C2804"/>
    <w:rsid w:val="003D16D4"/>
    <w:rsid w:val="004137C7"/>
    <w:rsid w:val="00452382"/>
    <w:rsid w:val="00466163"/>
    <w:rsid w:val="004671DD"/>
    <w:rsid w:val="00485DE8"/>
    <w:rsid w:val="00485FDA"/>
    <w:rsid w:val="0049199C"/>
    <w:rsid w:val="004C307C"/>
    <w:rsid w:val="004E248C"/>
    <w:rsid w:val="005151D6"/>
    <w:rsid w:val="00515705"/>
    <w:rsid w:val="005177CA"/>
    <w:rsid w:val="00525CED"/>
    <w:rsid w:val="0052602D"/>
    <w:rsid w:val="00555E5B"/>
    <w:rsid w:val="00566377"/>
    <w:rsid w:val="005A67A7"/>
    <w:rsid w:val="005D0C93"/>
    <w:rsid w:val="005D7919"/>
    <w:rsid w:val="005E31FC"/>
    <w:rsid w:val="005F7E62"/>
    <w:rsid w:val="00631E79"/>
    <w:rsid w:val="00665B9B"/>
    <w:rsid w:val="00671504"/>
    <w:rsid w:val="006727B2"/>
    <w:rsid w:val="0067688F"/>
    <w:rsid w:val="006A4102"/>
    <w:rsid w:val="006A53FD"/>
    <w:rsid w:val="006B075E"/>
    <w:rsid w:val="006B534F"/>
    <w:rsid w:val="006C5FF8"/>
    <w:rsid w:val="006D17DF"/>
    <w:rsid w:val="006D3A8A"/>
    <w:rsid w:val="006D48F3"/>
    <w:rsid w:val="006F4936"/>
    <w:rsid w:val="0071755E"/>
    <w:rsid w:val="00726EC4"/>
    <w:rsid w:val="00736E5B"/>
    <w:rsid w:val="007B14EB"/>
    <w:rsid w:val="007C3173"/>
    <w:rsid w:val="007C4864"/>
    <w:rsid w:val="007E6400"/>
    <w:rsid w:val="007F16B1"/>
    <w:rsid w:val="008052ED"/>
    <w:rsid w:val="0081768C"/>
    <w:rsid w:val="00857BB0"/>
    <w:rsid w:val="00862030"/>
    <w:rsid w:val="008845B0"/>
    <w:rsid w:val="008D4415"/>
    <w:rsid w:val="00903CDB"/>
    <w:rsid w:val="00924F1D"/>
    <w:rsid w:val="00941E9E"/>
    <w:rsid w:val="00945590"/>
    <w:rsid w:val="00964A35"/>
    <w:rsid w:val="009810B7"/>
    <w:rsid w:val="009811B3"/>
    <w:rsid w:val="00993CAA"/>
    <w:rsid w:val="009B64EF"/>
    <w:rsid w:val="009C76F7"/>
    <w:rsid w:val="009D38DD"/>
    <w:rsid w:val="00A1170B"/>
    <w:rsid w:val="00A554DB"/>
    <w:rsid w:val="00A56565"/>
    <w:rsid w:val="00A81224"/>
    <w:rsid w:val="00A93664"/>
    <w:rsid w:val="00A9406C"/>
    <w:rsid w:val="00AA718D"/>
    <w:rsid w:val="00AD44D6"/>
    <w:rsid w:val="00AE2530"/>
    <w:rsid w:val="00B305A8"/>
    <w:rsid w:val="00B33898"/>
    <w:rsid w:val="00B5166A"/>
    <w:rsid w:val="00BC56C5"/>
    <w:rsid w:val="00BD5A5D"/>
    <w:rsid w:val="00BD65ED"/>
    <w:rsid w:val="00BE0412"/>
    <w:rsid w:val="00BE5998"/>
    <w:rsid w:val="00BF0E11"/>
    <w:rsid w:val="00C066B7"/>
    <w:rsid w:val="00C310DC"/>
    <w:rsid w:val="00C33A58"/>
    <w:rsid w:val="00C576FB"/>
    <w:rsid w:val="00C77E4F"/>
    <w:rsid w:val="00C905AB"/>
    <w:rsid w:val="00C942A9"/>
    <w:rsid w:val="00CA3A20"/>
    <w:rsid w:val="00CB5036"/>
    <w:rsid w:val="00CD2994"/>
    <w:rsid w:val="00CD29FE"/>
    <w:rsid w:val="00CF0EAC"/>
    <w:rsid w:val="00CF1894"/>
    <w:rsid w:val="00CF18E7"/>
    <w:rsid w:val="00CF7392"/>
    <w:rsid w:val="00D0727D"/>
    <w:rsid w:val="00D33411"/>
    <w:rsid w:val="00D5222C"/>
    <w:rsid w:val="00D551E9"/>
    <w:rsid w:val="00DA41A9"/>
    <w:rsid w:val="00DC1007"/>
    <w:rsid w:val="00DC5737"/>
    <w:rsid w:val="00DE234E"/>
    <w:rsid w:val="00DE2551"/>
    <w:rsid w:val="00E00BF9"/>
    <w:rsid w:val="00E15DC6"/>
    <w:rsid w:val="00E43296"/>
    <w:rsid w:val="00E47263"/>
    <w:rsid w:val="00EC0CC4"/>
    <w:rsid w:val="00EC3101"/>
    <w:rsid w:val="00ED2F3B"/>
    <w:rsid w:val="00EF0546"/>
    <w:rsid w:val="00EF1EC0"/>
    <w:rsid w:val="00EF5727"/>
    <w:rsid w:val="00F1423B"/>
    <w:rsid w:val="00F419F2"/>
    <w:rsid w:val="00F61AAE"/>
    <w:rsid w:val="00F6293B"/>
    <w:rsid w:val="00F678AC"/>
    <w:rsid w:val="00FD2025"/>
    <w:rsid w:val="00FD3D96"/>
    <w:rsid w:val="00FF2F3E"/>
    <w:rsid w:val="00FF7A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C36A1"/>
  <w14:defaultImageDpi w14:val="32767"/>
  <w15:chartTrackingRefBased/>
  <w15:docId w15:val="{EC082BDE-986D-A748-B6A9-D94E8AAD7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55E5B"/>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6727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727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727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27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27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27B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27B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27B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27B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7B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727B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27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27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27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27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27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27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27B2"/>
    <w:rPr>
      <w:rFonts w:eastAsiaTheme="majorEastAsia" w:cstheme="majorBidi"/>
      <w:color w:val="272727" w:themeColor="text1" w:themeTint="D8"/>
    </w:rPr>
  </w:style>
  <w:style w:type="paragraph" w:styleId="Title">
    <w:name w:val="Title"/>
    <w:basedOn w:val="Normal"/>
    <w:next w:val="Normal"/>
    <w:link w:val="TitleChar"/>
    <w:uiPriority w:val="10"/>
    <w:qFormat/>
    <w:rsid w:val="006727B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27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27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27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27B2"/>
    <w:pPr>
      <w:spacing w:before="160"/>
      <w:jc w:val="center"/>
    </w:pPr>
    <w:rPr>
      <w:i/>
      <w:iCs/>
      <w:color w:val="404040" w:themeColor="text1" w:themeTint="BF"/>
    </w:rPr>
  </w:style>
  <w:style w:type="character" w:customStyle="1" w:styleId="QuoteChar">
    <w:name w:val="Quote Char"/>
    <w:basedOn w:val="DefaultParagraphFont"/>
    <w:link w:val="Quote"/>
    <w:uiPriority w:val="29"/>
    <w:rsid w:val="006727B2"/>
    <w:rPr>
      <w:i/>
      <w:iCs/>
      <w:color w:val="404040" w:themeColor="text1" w:themeTint="BF"/>
    </w:rPr>
  </w:style>
  <w:style w:type="paragraph" w:styleId="ListParagraph">
    <w:name w:val="List Paragraph"/>
    <w:basedOn w:val="Normal"/>
    <w:uiPriority w:val="34"/>
    <w:qFormat/>
    <w:rsid w:val="006727B2"/>
    <w:pPr>
      <w:ind w:left="720"/>
      <w:contextualSpacing/>
    </w:pPr>
  </w:style>
  <w:style w:type="character" w:styleId="IntenseEmphasis">
    <w:name w:val="Intense Emphasis"/>
    <w:basedOn w:val="DefaultParagraphFont"/>
    <w:uiPriority w:val="21"/>
    <w:qFormat/>
    <w:rsid w:val="006727B2"/>
    <w:rPr>
      <w:i/>
      <w:iCs/>
      <w:color w:val="0F4761" w:themeColor="accent1" w:themeShade="BF"/>
    </w:rPr>
  </w:style>
  <w:style w:type="paragraph" w:styleId="IntenseQuote">
    <w:name w:val="Intense Quote"/>
    <w:basedOn w:val="Normal"/>
    <w:next w:val="Normal"/>
    <w:link w:val="IntenseQuoteChar"/>
    <w:uiPriority w:val="30"/>
    <w:qFormat/>
    <w:rsid w:val="006727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27B2"/>
    <w:rPr>
      <w:i/>
      <w:iCs/>
      <w:color w:val="0F4761" w:themeColor="accent1" w:themeShade="BF"/>
    </w:rPr>
  </w:style>
  <w:style w:type="character" w:styleId="IntenseReference">
    <w:name w:val="Intense Reference"/>
    <w:basedOn w:val="DefaultParagraphFont"/>
    <w:uiPriority w:val="32"/>
    <w:qFormat/>
    <w:rsid w:val="006727B2"/>
    <w:rPr>
      <w:b/>
      <w:bCs/>
      <w:smallCaps/>
      <w:color w:val="0F4761" w:themeColor="accent1" w:themeShade="BF"/>
      <w:spacing w:val="5"/>
    </w:rPr>
  </w:style>
  <w:style w:type="table" w:styleId="TableGrid">
    <w:name w:val="Table Grid"/>
    <w:basedOn w:val="TableNormal"/>
    <w:uiPriority w:val="39"/>
    <w:rsid w:val="00CA3A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C5737"/>
    <w:rPr>
      <w:color w:val="467886" w:themeColor="hyperlink"/>
      <w:u w:val="single"/>
    </w:rPr>
  </w:style>
  <w:style w:type="character" w:styleId="UnresolvedMention">
    <w:name w:val="Unresolved Mention"/>
    <w:basedOn w:val="DefaultParagraphFont"/>
    <w:uiPriority w:val="99"/>
    <w:rsid w:val="00DC5737"/>
    <w:rPr>
      <w:color w:val="605E5C"/>
      <w:shd w:val="clear" w:color="auto" w:fill="E1DFDD"/>
    </w:rPr>
  </w:style>
  <w:style w:type="paragraph" w:styleId="Bibliography">
    <w:name w:val="Bibliography"/>
    <w:basedOn w:val="Normal"/>
    <w:next w:val="Normal"/>
    <w:uiPriority w:val="37"/>
    <w:unhideWhenUsed/>
    <w:rsid w:val="000E4458"/>
    <w:pPr>
      <w:tabs>
        <w:tab w:val="left" w:pos="500"/>
      </w:tabs>
      <w:spacing w:after="240"/>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092798">
      <w:bodyDiv w:val="1"/>
      <w:marLeft w:val="0"/>
      <w:marRight w:val="0"/>
      <w:marTop w:val="0"/>
      <w:marBottom w:val="0"/>
      <w:divBdr>
        <w:top w:val="none" w:sz="0" w:space="0" w:color="auto"/>
        <w:left w:val="none" w:sz="0" w:space="0" w:color="auto"/>
        <w:bottom w:val="none" w:sz="0" w:space="0" w:color="auto"/>
        <w:right w:val="none" w:sz="0" w:space="0" w:color="auto"/>
      </w:divBdr>
    </w:div>
    <w:div w:id="94061738">
      <w:bodyDiv w:val="1"/>
      <w:marLeft w:val="0"/>
      <w:marRight w:val="0"/>
      <w:marTop w:val="0"/>
      <w:marBottom w:val="0"/>
      <w:divBdr>
        <w:top w:val="none" w:sz="0" w:space="0" w:color="auto"/>
        <w:left w:val="none" w:sz="0" w:space="0" w:color="auto"/>
        <w:bottom w:val="none" w:sz="0" w:space="0" w:color="auto"/>
        <w:right w:val="none" w:sz="0" w:space="0" w:color="auto"/>
      </w:divBdr>
    </w:div>
    <w:div w:id="116416307">
      <w:bodyDiv w:val="1"/>
      <w:marLeft w:val="0"/>
      <w:marRight w:val="0"/>
      <w:marTop w:val="0"/>
      <w:marBottom w:val="0"/>
      <w:divBdr>
        <w:top w:val="none" w:sz="0" w:space="0" w:color="auto"/>
        <w:left w:val="none" w:sz="0" w:space="0" w:color="auto"/>
        <w:bottom w:val="none" w:sz="0" w:space="0" w:color="auto"/>
        <w:right w:val="none" w:sz="0" w:space="0" w:color="auto"/>
      </w:divBdr>
    </w:div>
    <w:div w:id="128985565">
      <w:bodyDiv w:val="1"/>
      <w:marLeft w:val="0"/>
      <w:marRight w:val="0"/>
      <w:marTop w:val="0"/>
      <w:marBottom w:val="0"/>
      <w:divBdr>
        <w:top w:val="none" w:sz="0" w:space="0" w:color="auto"/>
        <w:left w:val="none" w:sz="0" w:space="0" w:color="auto"/>
        <w:bottom w:val="none" w:sz="0" w:space="0" w:color="auto"/>
        <w:right w:val="none" w:sz="0" w:space="0" w:color="auto"/>
      </w:divBdr>
      <w:divsChild>
        <w:div w:id="380062272">
          <w:marLeft w:val="360"/>
          <w:marRight w:val="0"/>
          <w:marTop w:val="200"/>
          <w:marBottom w:val="0"/>
          <w:divBdr>
            <w:top w:val="none" w:sz="0" w:space="0" w:color="auto"/>
            <w:left w:val="none" w:sz="0" w:space="0" w:color="auto"/>
            <w:bottom w:val="none" w:sz="0" w:space="0" w:color="auto"/>
            <w:right w:val="none" w:sz="0" w:space="0" w:color="auto"/>
          </w:divBdr>
        </w:div>
        <w:div w:id="833254034">
          <w:marLeft w:val="1080"/>
          <w:marRight w:val="0"/>
          <w:marTop w:val="100"/>
          <w:marBottom w:val="0"/>
          <w:divBdr>
            <w:top w:val="none" w:sz="0" w:space="0" w:color="auto"/>
            <w:left w:val="none" w:sz="0" w:space="0" w:color="auto"/>
            <w:bottom w:val="none" w:sz="0" w:space="0" w:color="auto"/>
            <w:right w:val="none" w:sz="0" w:space="0" w:color="auto"/>
          </w:divBdr>
        </w:div>
        <w:div w:id="1792288779">
          <w:marLeft w:val="360"/>
          <w:marRight w:val="0"/>
          <w:marTop w:val="200"/>
          <w:marBottom w:val="0"/>
          <w:divBdr>
            <w:top w:val="none" w:sz="0" w:space="0" w:color="auto"/>
            <w:left w:val="none" w:sz="0" w:space="0" w:color="auto"/>
            <w:bottom w:val="none" w:sz="0" w:space="0" w:color="auto"/>
            <w:right w:val="none" w:sz="0" w:space="0" w:color="auto"/>
          </w:divBdr>
        </w:div>
        <w:div w:id="314261420">
          <w:marLeft w:val="1080"/>
          <w:marRight w:val="0"/>
          <w:marTop w:val="100"/>
          <w:marBottom w:val="0"/>
          <w:divBdr>
            <w:top w:val="none" w:sz="0" w:space="0" w:color="auto"/>
            <w:left w:val="none" w:sz="0" w:space="0" w:color="auto"/>
            <w:bottom w:val="none" w:sz="0" w:space="0" w:color="auto"/>
            <w:right w:val="none" w:sz="0" w:space="0" w:color="auto"/>
          </w:divBdr>
        </w:div>
        <w:div w:id="1379162118">
          <w:marLeft w:val="360"/>
          <w:marRight w:val="0"/>
          <w:marTop w:val="200"/>
          <w:marBottom w:val="0"/>
          <w:divBdr>
            <w:top w:val="none" w:sz="0" w:space="0" w:color="auto"/>
            <w:left w:val="none" w:sz="0" w:space="0" w:color="auto"/>
            <w:bottom w:val="none" w:sz="0" w:space="0" w:color="auto"/>
            <w:right w:val="none" w:sz="0" w:space="0" w:color="auto"/>
          </w:divBdr>
        </w:div>
        <w:div w:id="1991981544">
          <w:marLeft w:val="1080"/>
          <w:marRight w:val="0"/>
          <w:marTop w:val="100"/>
          <w:marBottom w:val="0"/>
          <w:divBdr>
            <w:top w:val="none" w:sz="0" w:space="0" w:color="auto"/>
            <w:left w:val="none" w:sz="0" w:space="0" w:color="auto"/>
            <w:bottom w:val="none" w:sz="0" w:space="0" w:color="auto"/>
            <w:right w:val="none" w:sz="0" w:space="0" w:color="auto"/>
          </w:divBdr>
        </w:div>
        <w:div w:id="475033107">
          <w:marLeft w:val="360"/>
          <w:marRight w:val="0"/>
          <w:marTop w:val="200"/>
          <w:marBottom w:val="0"/>
          <w:divBdr>
            <w:top w:val="none" w:sz="0" w:space="0" w:color="auto"/>
            <w:left w:val="none" w:sz="0" w:space="0" w:color="auto"/>
            <w:bottom w:val="none" w:sz="0" w:space="0" w:color="auto"/>
            <w:right w:val="none" w:sz="0" w:space="0" w:color="auto"/>
          </w:divBdr>
        </w:div>
        <w:div w:id="589852917">
          <w:marLeft w:val="1080"/>
          <w:marRight w:val="0"/>
          <w:marTop w:val="100"/>
          <w:marBottom w:val="0"/>
          <w:divBdr>
            <w:top w:val="none" w:sz="0" w:space="0" w:color="auto"/>
            <w:left w:val="none" w:sz="0" w:space="0" w:color="auto"/>
            <w:bottom w:val="none" w:sz="0" w:space="0" w:color="auto"/>
            <w:right w:val="none" w:sz="0" w:space="0" w:color="auto"/>
          </w:divBdr>
        </w:div>
      </w:divsChild>
    </w:div>
    <w:div w:id="160435125">
      <w:bodyDiv w:val="1"/>
      <w:marLeft w:val="0"/>
      <w:marRight w:val="0"/>
      <w:marTop w:val="0"/>
      <w:marBottom w:val="0"/>
      <w:divBdr>
        <w:top w:val="none" w:sz="0" w:space="0" w:color="auto"/>
        <w:left w:val="none" w:sz="0" w:space="0" w:color="auto"/>
        <w:bottom w:val="none" w:sz="0" w:space="0" w:color="auto"/>
        <w:right w:val="none" w:sz="0" w:space="0" w:color="auto"/>
      </w:divBdr>
    </w:div>
    <w:div w:id="207036979">
      <w:bodyDiv w:val="1"/>
      <w:marLeft w:val="0"/>
      <w:marRight w:val="0"/>
      <w:marTop w:val="0"/>
      <w:marBottom w:val="0"/>
      <w:divBdr>
        <w:top w:val="none" w:sz="0" w:space="0" w:color="auto"/>
        <w:left w:val="none" w:sz="0" w:space="0" w:color="auto"/>
        <w:bottom w:val="none" w:sz="0" w:space="0" w:color="auto"/>
        <w:right w:val="none" w:sz="0" w:space="0" w:color="auto"/>
      </w:divBdr>
    </w:div>
    <w:div w:id="209997822">
      <w:bodyDiv w:val="1"/>
      <w:marLeft w:val="0"/>
      <w:marRight w:val="0"/>
      <w:marTop w:val="0"/>
      <w:marBottom w:val="0"/>
      <w:divBdr>
        <w:top w:val="none" w:sz="0" w:space="0" w:color="auto"/>
        <w:left w:val="none" w:sz="0" w:space="0" w:color="auto"/>
        <w:bottom w:val="none" w:sz="0" w:space="0" w:color="auto"/>
        <w:right w:val="none" w:sz="0" w:space="0" w:color="auto"/>
      </w:divBdr>
    </w:div>
    <w:div w:id="250436806">
      <w:bodyDiv w:val="1"/>
      <w:marLeft w:val="0"/>
      <w:marRight w:val="0"/>
      <w:marTop w:val="0"/>
      <w:marBottom w:val="0"/>
      <w:divBdr>
        <w:top w:val="none" w:sz="0" w:space="0" w:color="auto"/>
        <w:left w:val="none" w:sz="0" w:space="0" w:color="auto"/>
        <w:bottom w:val="none" w:sz="0" w:space="0" w:color="auto"/>
        <w:right w:val="none" w:sz="0" w:space="0" w:color="auto"/>
      </w:divBdr>
      <w:divsChild>
        <w:div w:id="1958178404">
          <w:marLeft w:val="0"/>
          <w:marRight w:val="0"/>
          <w:marTop w:val="0"/>
          <w:marBottom w:val="0"/>
          <w:divBdr>
            <w:top w:val="none" w:sz="0" w:space="0" w:color="auto"/>
            <w:left w:val="none" w:sz="0" w:space="0" w:color="auto"/>
            <w:bottom w:val="none" w:sz="0" w:space="0" w:color="auto"/>
            <w:right w:val="none" w:sz="0" w:space="0" w:color="auto"/>
          </w:divBdr>
          <w:divsChild>
            <w:div w:id="211355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376050">
      <w:bodyDiv w:val="1"/>
      <w:marLeft w:val="0"/>
      <w:marRight w:val="0"/>
      <w:marTop w:val="0"/>
      <w:marBottom w:val="0"/>
      <w:divBdr>
        <w:top w:val="none" w:sz="0" w:space="0" w:color="auto"/>
        <w:left w:val="none" w:sz="0" w:space="0" w:color="auto"/>
        <w:bottom w:val="none" w:sz="0" w:space="0" w:color="auto"/>
        <w:right w:val="none" w:sz="0" w:space="0" w:color="auto"/>
      </w:divBdr>
    </w:div>
    <w:div w:id="279530780">
      <w:bodyDiv w:val="1"/>
      <w:marLeft w:val="0"/>
      <w:marRight w:val="0"/>
      <w:marTop w:val="0"/>
      <w:marBottom w:val="0"/>
      <w:divBdr>
        <w:top w:val="none" w:sz="0" w:space="0" w:color="auto"/>
        <w:left w:val="none" w:sz="0" w:space="0" w:color="auto"/>
        <w:bottom w:val="none" w:sz="0" w:space="0" w:color="auto"/>
        <w:right w:val="none" w:sz="0" w:space="0" w:color="auto"/>
      </w:divBdr>
      <w:divsChild>
        <w:div w:id="2072340504">
          <w:marLeft w:val="0"/>
          <w:marRight w:val="0"/>
          <w:marTop w:val="0"/>
          <w:marBottom w:val="0"/>
          <w:divBdr>
            <w:top w:val="none" w:sz="0" w:space="0" w:color="auto"/>
            <w:left w:val="none" w:sz="0" w:space="0" w:color="auto"/>
            <w:bottom w:val="none" w:sz="0" w:space="0" w:color="auto"/>
            <w:right w:val="none" w:sz="0" w:space="0" w:color="auto"/>
          </w:divBdr>
          <w:divsChild>
            <w:div w:id="196168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1878">
      <w:bodyDiv w:val="1"/>
      <w:marLeft w:val="0"/>
      <w:marRight w:val="0"/>
      <w:marTop w:val="0"/>
      <w:marBottom w:val="0"/>
      <w:divBdr>
        <w:top w:val="none" w:sz="0" w:space="0" w:color="auto"/>
        <w:left w:val="none" w:sz="0" w:space="0" w:color="auto"/>
        <w:bottom w:val="none" w:sz="0" w:space="0" w:color="auto"/>
        <w:right w:val="none" w:sz="0" w:space="0" w:color="auto"/>
      </w:divBdr>
      <w:divsChild>
        <w:div w:id="700860381">
          <w:marLeft w:val="0"/>
          <w:marRight w:val="0"/>
          <w:marTop w:val="0"/>
          <w:marBottom w:val="0"/>
          <w:divBdr>
            <w:top w:val="none" w:sz="0" w:space="0" w:color="auto"/>
            <w:left w:val="none" w:sz="0" w:space="0" w:color="auto"/>
            <w:bottom w:val="none" w:sz="0" w:space="0" w:color="auto"/>
            <w:right w:val="none" w:sz="0" w:space="0" w:color="auto"/>
          </w:divBdr>
          <w:divsChild>
            <w:div w:id="57929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10272">
      <w:bodyDiv w:val="1"/>
      <w:marLeft w:val="0"/>
      <w:marRight w:val="0"/>
      <w:marTop w:val="0"/>
      <w:marBottom w:val="0"/>
      <w:divBdr>
        <w:top w:val="none" w:sz="0" w:space="0" w:color="auto"/>
        <w:left w:val="none" w:sz="0" w:space="0" w:color="auto"/>
        <w:bottom w:val="none" w:sz="0" w:space="0" w:color="auto"/>
        <w:right w:val="none" w:sz="0" w:space="0" w:color="auto"/>
      </w:divBdr>
    </w:div>
    <w:div w:id="351692637">
      <w:bodyDiv w:val="1"/>
      <w:marLeft w:val="0"/>
      <w:marRight w:val="0"/>
      <w:marTop w:val="0"/>
      <w:marBottom w:val="0"/>
      <w:divBdr>
        <w:top w:val="none" w:sz="0" w:space="0" w:color="auto"/>
        <w:left w:val="none" w:sz="0" w:space="0" w:color="auto"/>
        <w:bottom w:val="none" w:sz="0" w:space="0" w:color="auto"/>
        <w:right w:val="none" w:sz="0" w:space="0" w:color="auto"/>
      </w:divBdr>
    </w:div>
    <w:div w:id="449015827">
      <w:bodyDiv w:val="1"/>
      <w:marLeft w:val="0"/>
      <w:marRight w:val="0"/>
      <w:marTop w:val="0"/>
      <w:marBottom w:val="0"/>
      <w:divBdr>
        <w:top w:val="none" w:sz="0" w:space="0" w:color="auto"/>
        <w:left w:val="none" w:sz="0" w:space="0" w:color="auto"/>
        <w:bottom w:val="none" w:sz="0" w:space="0" w:color="auto"/>
        <w:right w:val="none" w:sz="0" w:space="0" w:color="auto"/>
      </w:divBdr>
      <w:divsChild>
        <w:div w:id="1164055968">
          <w:marLeft w:val="0"/>
          <w:marRight w:val="0"/>
          <w:marTop w:val="0"/>
          <w:marBottom w:val="0"/>
          <w:divBdr>
            <w:top w:val="none" w:sz="0" w:space="0" w:color="auto"/>
            <w:left w:val="none" w:sz="0" w:space="0" w:color="auto"/>
            <w:bottom w:val="none" w:sz="0" w:space="0" w:color="auto"/>
            <w:right w:val="none" w:sz="0" w:space="0" w:color="auto"/>
          </w:divBdr>
          <w:divsChild>
            <w:div w:id="1940792815">
              <w:marLeft w:val="0"/>
              <w:marRight w:val="0"/>
              <w:marTop w:val="0"/>
              <w:marBottom w:val="0"/>
              <w:divBdr>
                <w:top w:val="none" w:sz="0" w:space="0" w:color="auto"/>
                <w:left w:val="none" w:sz="0" w:space="0" w:color="auto"/>
                <w:bottom w:val="none" w:sz="0" w:space="0" w:color="auto"/>
                <w:right w:val="none" w:sz="0" w:space="0" w:color="auto"/>
              </w:divBdr>
            </w:div>
            <w:div w:id="1501851924">
              <w:marLeft w:val="0"/>
              <w:marRight w:val="0"/>
              <w:marTop w:val="0"/>
              <w:marBottom w:val="0"/>
              <w:divBdr>
                <w:top w:val="none" w:sz="0" w:space="0" w:color="auto"/>
                <w:left w:val="none" w:sz="0" w:space="0" w:color="auto"/>
                <w:bottom w:val="none" w:sz="0" w:space="0" w:color="auto"/>
                <w:right w:val="none" w:sz="0" w:space="0" w:color="auto"/>
              </w:divBdr>
            </w:div>
            <w:div w:id="595939167">
              <w:marLeft w:val="0"/>
              <w:marRight w:val="0"/>
              <w:marTop w:val="0"/>
              <w:marBottom w:val="0"/>
              <w:divBdr>
                <w:top w:val="none" w:sz="0" w:space="0" w:color="auto"/>
                <w:left w:val="none" w:sz="0" w:space="0" w:color="auto"/>
                <w:bottom w:val="none" w:sz="0" w:space="0" w:color="auto"/>
                <w:right w:val="none" w:sz="0" w:space="0" w:color="auto"/>
              </w:divBdr>
            </w:div>
            <w:div w:id="84300976">
              <w:marLeft w:val="0"/>
              <w:marRight w:val="0"/>
              <w:marTop w:val="0"/>
              <w:marBottom w:val="0"/>
              <w:divBdr>
                <w:top w:val="none" w:sz="0" w:space="0" w:color="auto"/>
                <w:left w:val="none" w:sz="0" w:space="0" w:color="auto"/>
                <w:bottom w:val="none" w:sz="0" w:space="0" w:color="auto"/>
                <w:right w:val="none" w:sz="0" w:space="0" w:color="auto"/>
              </w:divBdr>
            </w:div>
            <w:div w:id="200946311">
              <w:marLeft w:val="0"/>
              <w:marRight w:val="0"/>
              <w:marTop w:val="0"/>
              <w:marBottom w:val="0"/>
              <w:divBdr>
                <w:top w:val="none" w:sz="0" w:space="0" w:color="auto"/>
                <w:left w:val="none" w:sz="0" w:space="0" w:color="auto"/>
                <w:bottom w:val="none" w:sz="0" w:space="0" w:color="auto"/>
                <w:right w:val="none" w:sz="0" w:space="0" w:color="auto"/>
              </w:divBdr>
            </w:div>
            <w:div w:id="187716276">
              <w:marLeft w:val="0"/>
              <w:marRight w:val="0"/>
              <w:marTop w:val="0"/>
              <w:marBottom w:val="0"/>
              <w:divBdr>
                <w:top w:val="none" w:sz="0" w:space="0" w:color="auto"/>
                <w:left w:val="none" w:sz="0" w:space="0" w:color="auto"/>
                <w:bottom w:val="none" w:sz="0" w:space="0" w:color="auto"/>
                <w:right w:val="none" w:sz="0" w:space="0" w:color="auto"/>
              </w:divBdr>
            </w:div>
            <w:div w:id="180102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84029">
      <w:bodyDiv w:val="1"/>
      <w:marLeft w:val="0"/>
      <w:marRight w:val="0"/>
      <w:marTop w:val="0"/>
      <w:marBottom w:val="0"/>
      <w:divBdr>
        <w:top w:val="none" w:sz="0" w:space="0" w:color="auto"/>
        <w:left w:val="none" w:sz="0" w:space="0" w:color="auto"/>
        <w:bottom w:val="none" w:sz="0" w:space="0" w:color="auto"/>
        <w:right w:val="none" w:sz="0" w:space="0" w:color="auto"/>
      </w:divBdr>
    </w:div>
    <w:div w:id="520896777">
      <w:bodyDiv w:val="1"/>
      <w:marLeft w:val="0"/>
      <w:marRight w:val="0"/>
      <w:marTop w:val="0"/>
      <w:marBottom w:val="0"/>
      <w:divBdr>
        <w:top w:val="none" w:sz="0" w:space="0" w:color="auto"/>
        <w:left w:val="none" w:sz="0" w:space="0" w:color="auto"/>
        <w:bottom w:val="none" w:sz="0" w:space="0" w:color="auto"/>
        <w:right w:val="none" w:sz="0" w:space="0" w:color="auto"/>
      </w:divBdr>
      <w:divsChild>
        <w:div w:id="58749660">
          <w:marLeft w:val="0"/>
          <w:marRight w:val="0"/>
          <w:marTop w:val="0"/>
          <w:marBottom w:val="0"/>
          <w:divBdr>
            <w:top w:val="none" w:sz="0" w:space="0" w:color="auto"/>
            <w:left w:val="none" w:sz="0" w:space="0" w:color="auto"/>
            <w:bottom w:val="none" w:sz="0" w:space="0" w:color="auto"/>
            <w:right w:val="none" w:sz="0" w:space="0" w:color="auto"/>
          </w:divBdr>
          <w:divsChild>
            <w:div w:id="1969820224">
              <w:marLeft w:val="0"/>
              <w:marRight w:val="0"/>
              <w:marTop w:val="0"/>
              <w:marBottom w:val="0"/>
              <w:divBdr>
                <w:top w:val="none" w:sz="0" w:space="0" w:color="auto"/>
                <w:left w:val="none" w:sz="0" w:space="0" w:color="auto"/>
                <w:bottom w:val="none" w:sz="0" w:space="0" w:color="auto"/>
                <w:right w:val="none" w:sz="0" w:space="0" w:color="auto"/>
              </w:divBdr>
            </w:div>
            <w:div w:id="559051637">
              <w:marLeft w:val="0"/>
              <w:marRight w:val="0"/>
              <w:marTop w:val="0"/>
              <w:marBottom w:val="0"/>
              <w:divBdr>
                <w:top w:val="none" w:sz="0" w:space="0" w:color="auto"/>
                <w:left w:val="none" w:sz="0" w:space="0" w:color="auto"/>
                <w:bottom w:val="none" w:sz="0" w:space="0" w:color="auto"/>
                <w:right w:val="none" w:sz="0" w:space="0" w:color="auto"/>
              </w:divBdr>
            </w:div>
            <w:div w:id="135681428">
              <w:marLeft w:val="0"/>
              <w:marRight w:val="0"/>
              <w:marTop w:val="0"/>
              <w:marBottom w:val="0"/>
              <w:divBdr>
                <w:top w:val="none" w:sz="0" w:space="0" w:color="auto"/>
                <w:left w:val="none" w:sz="0" w:space="0" w:color="auto"/>
                <w:bottom w:val="none" w:sz="0" w:space="0" w:color="auto"/>
                <w:right w:val="none" w:sz="0" w:space="0" w:color="auto"/>
              </w:divBdr>
            </w:div>
            <w:div w:id="73022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92853">
      <w:bodyDiv w:val="1"/>
      <w:marLeft w:val="0"/>
      <w:marRight w:val="0"/>
      <w:marTop w:val="0"/>
      <w:marBottom w:val="0"/>
      <w:divBdr>
        <w:top w:val="none" w:sz="0" w:space="0" w:color="auto"/>
        <w:left w:val="none" w:sz="0" w:space="0" w:color="auto"/>
        <w:bottom w:val="none" w:sz="0" w:space="0" w:color="auto"/>
        <w:right w:val="none" w:sz="0" w:space="0" w:color="auto"/>
      </w:divBdr>
    </w:div>
    <w:div w:id="601449787">
      <w:bodyDiv w:val="1"/>
      <w:marLeft w:val="0"/>
      <w:marRight w:val="0"/>
      <w:marTop w:val="0"/>
      <w:marBottom w:val="0"/>
      <w:divBdr>
        <w:top w:val="none" w:sz="0" w:space="0" w:color="auto"/>
        <w:left w:val="none" w:sz="0" w:space="0" w:color="auto"/>
        <w:bottom w:val="none" w:sz="0" w:space="0" w:color="auto"/>
        <w:right w:val="none" w:sz="0" w:space="0" w:color="auto"/>
      </w:divBdr>
    </w:div>
    <w:div w:id="623850523">
      <w:bodyDiv w:val="1"/>
      <w:marLeft w:val="0"/>
      <w:marRight w:val="0"/>
      <w:marTop w:val="0"/>
      <w:marBottom w:val="0"/>
      <w:divBdr>
        <w:top w:val="none" w:sz="0" w:space="0" w:color="auto"/>
        <w:left w:val="none" w:sz="0" w:space="0" w:color="auto"/>
        <w:bottom w:val="none" w:sz="0" w:space="0" w:color="auto"/>
        <w:right w:val="none" w:sz="0" w:space="0" w:color="auto"/>
      </w:divBdr>
      <w:divsChild>
        <w:div w:id="1239947190">
          <w:marLeft w:val="0"/>
          <w:marRight w:val="0"/>
          <w:marTop w:val="0"/>
          <w:marBottom w:val="0"/>
          <w:divBdr>
            <w:top w:val="none" w:sz="0" w:space="0" w:color="auto"/>
            <w:left w:val="none" w:sz="0" w:space="0" w:color="auto"/>
            <w:bottom w:val="none" w:sz="0" w:space="0" w:color="auto"/>
            <w:right w:val="none" w:sz="0" w:space="0" w:color="auto"/>
          </w:divBdr>
          <w:divsChild>
            <w:div w:id="77510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661221">
      <w:bodyDiv w:val="1"/>
      <w:marLeft w:val="0"/>
      <w:marRight w:val="0"/>
      <w:marTop w:val="0"/>
      <w:marBottom w:val="0"/>
      <w:divBdr>
        <w:top w:val="none" w:sz="0" w:space="0" w:color="auto"/>
        <w:left w:val="none" w:sz="0" w:space="0" w:color="auto"/>
        <w:bottom w:val="none" w:sz="0" w:space="0" w:color="auto"/>
        <w:right w:val="none" w:sz="0" w:space="0" w:color="auto"/>
      </w:divBdr>
    </w:div>
    <w:div w:id="632096558">
      <w:bodyDiv w:val="1"/>
      <w:marLeft w:val="0"/>
      <w:marRight w:val="0"/>
      <w:marTop w:val="0"/>
      <w:marBottom w:val="0"/>
      <w:divBdr>
        <w:top w:val="none" w:sz="0" w:space="0" w:color="auto"/>
        <w:left w:val="none" w:sz="0" w:space="0" w:color="auto"/>
        <w:bottom w:val="none" w:sz="0" w:space="0" w:color="auto"/>
        <w:right w:val="none" w:sz="0" w:space="0" w:color="auto"/>
      </w:divBdr>
    </w:div>
    <w:div w:id="652225531">
      <w:bodyDiv w:val="1"/>
      <w:marLeft w:val="0"/>
      <w:marRight w:val="0"/>
      <w:marTop w:val="0"/>
      <w:marBottom w:val="0"/>
      <w:divBdr>
        <w:top w:val="none" w:sz="0" w:space="0" w:color="auto"/>
        <w:left w:val="none" w:sz="0" w:space="0" w:color="auto"/>
        <w:bottom w:val="none" w:sz="0" w:space="0" w:color="auto"/>
        <w:right w:val="none" w:sz="0" w:space="0" w:color="auto"/>
      </w:divBdr>
    </w:div>
    <w:div w:id="706830940">
      <w:bodyDiv w:val="1"/>
      <w:marLeft w:val="0"/>
      <w:marRight w:val="0"/>
      <w:marTop w:val="0"/>
      <w:marBottom w:val="0"/>
      <w:divBdr>
        <w:top w:val="none" w:sz="0" w:space="0" w:color="auto"/>
        <w:left w:val="none" w:sz="0" w:space="0" w:color="auto"/>
        <w:bottom w:val="none" w:sz="0" w:space="0" w:color="auto"/>
        <w:right w:val="none" w:sz="0" w:space="0" w:color="auto"/>
      </w:divBdr>
      <w:divsChild>
        <w:div w:id="876893978">
          <w:marLeft w:val="0"/>
          <w:marRight w:val="0"/>
          <w:marTop w:val="0"/>
          <w:marBottom w:val="0"/>
          <w:divBdr>
            <w:top w:val="none" w:sz="0" w:space="0" w:color="auto"/>
            <w:left w:val="none" w:sz="0" w:space="0" w:color="auto"/>
            <w:bottom w:val="none" w:sz="0" w:space="0" w:color="auto"/>
            <w:right w:val="none" w:sz="0" w:space="0" w:color="auto"/>
          </w:divBdr>
          <w:divsChild>
            <w:div w:id="168732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89594">
      <w:bodyDiv w:val="1"/>
      <w:marLeft w:val="0"/>
      <w:marRight w:val="0"/>
      <w:marTop w:val="0"/>
      <w:marBottom w:val="0"/>
      <w:divBdr>
        <w:top w:val="none" w:sz="0" w:space="0" w:color="auto"/>
        <w:left w:val="none" w:sz="0" w:space="0" w:color="auto"/>
        <w:bottom w:val="none" w:sz="0" w:space="0" w:color="auto"/>
        <w:right w:val="none" w:sz="0" w:space="0" w:color="auto"/>
      </w:divBdr>
    </w:div>
    <w:div w:id="932395724">
      <w:bodyDiv w:val="1"/>
      <w:marLeft w:val="0"/>
      <w:marRight w:val="0"/>
      <w:marTop w:val="0"/>
      <w:marBottom w:val="0"/>
      <w:divBdr>
        <w:top w:val="none" w:sz="0" w:space="0" w:color="auto"/>
        <w:left w:val="none" w:sz="0" w:space="0" w:color="auto"/>
        <w:bottom w:val="none" w:sz="0" w:space="0" w:color="auto"/>
        <w:right w:val="none" w:sz="0" w:space="0" w:color="auto"/>
      </w:divBdr>
    </w:div>
    <w:div w:id="957568458">
      <w:bodyDiv w:val="1"/>
      <w:marLeft w:val="0"/>
      <w:marRight w:val="0"/>
      <w:marTop w:val="0"/>
      <w:marBottom w:val="0"/>
      <w:divBdr>
        <w:top w:val="none" w:sz="0" w:space="0" w:color="auto"/>
        <w:left w:val="none" w:sz="0" w:space="0" w:color="auto"/>
        <w:bottom w:val="none" w:sz="0" w:space="0" w:color="auto"/>
        <w:right w:val="none" w:sz="0" w:space="0" w:color="auto"/>
      </w:divBdr>
    </w:div>
    <w:div w:id="1021273879">
      <w:bodyDiv w:val="1"/>
      <w:marLeft w:val="0"/>
      <w:marRight w:val="0"/>
      <w:marTop w:val="0"/>
      <w:marBottom w:val="0"/>
      <w:divBdr>
        <w:top w:val="none" w:sz="0" w:space="0" w:color="auto"/>
        <w:left w:val="none" w:sz="0" w:space="0" w:color="auto"/>
        <w:bottom w:val="none" w:sz="0" w:space="0" w:color="auto"/>
        <w:right w:val="none" w:sz="0" w:space="0" w:color="auto"/>
      </w:divBdr>
    </w:div>
    <w:div w:id="1056777266">
      <w:bodyDiv w:val="1"/>
      <w:marLeft w:val="0"/>
      <w:marRight w:val="0"/>
      <w:marTop w:val="0"/>
      <w:marBottom w:val="0"/>
      <w:divBdr>
        <w:top w:val="none" w:sz="0" w:space="0" w:color="auto"/>
        <w:left w:val="none" w:sz="0" w:space="0" w:color="auto"/>
        <w:bottom w:val="none" w:sz="0" w:space="0" w:color="auto"/>
        <w:right w:val="none" w:sz="0" w:space="0" w:color="auto"/>
      </w:divBdr>
    </w:div>
    <w:div w:id="1146438647">
      <w:bodyDiv w:val="1"/>
      <w:marLeft w:val="0"/>
      <w:marRight w:val="0"/>
      <w:marTop w:val="0"/>
      <w:marBottom w:val="0"/>
      <w:divBdr>
        <w:top w:val="none" w:sz="0" w:space="0" w:color="auto"/>
        <w:left w:val="none" w:sz="0" w:space="0" w:color="auto"/>
        <w:bottom w:val="none" w:sz="0" w:space="0" w:color="auto"/>
        <w:right w:val="none" w:sz="0" w:space="0" w:color="auto"/>
      </w:divBdr>
    </w:div>
    <w:div w:id="1151141896">
      <w:bodyDiv w:val="1"/>
      <w:marLeft w:val="0"/>
      <w:marRight w:val="0"/>
      <w:marTop w:val="0"/>
      <w:marBottom w:val="0"/>
      <w:divBdr>
        <w:top w:val="none" w:sz="0" w:space="0" w:color="auto"/>
        <w:left w:val="none" w:sz="0" w:space="0" w:color="auto"/>
        <w:bottom w:val="none" w:sz="0" w:space="0" w:color="auto"/>
        <w:right w:val="none" w:sz="0" w:space="0" w:color="auto"/>
      </w:divBdr>
    </w:div>
    <w:div w:id="1209534605">
      <w:bodyDiv w:val="1"/>
      <w:marLeft w:val="0"/>
      <w:marRight w:val="0"/>
      <w:marTop w:val="0"/>
      <w:marBottom w:val="0"/>
      <w:divBdr>
        <w:top w:val="none" w:sz="0" w:space="0" w:color="auto"/>
        <w:left w:val="none" w:sz="0" w:space="0" w:color="auto"/>
        <w:bottom w:val="none" w:sz="0" w:space="0" w:color="auto"/>
        <w:right w:val="none" w:sz="0" w:space="0" w:color="auto"/>
      </w:divBdr>
      <w:divsChild>
        <w:div w:id="1161311598">
          <w:marLeft w:val="0"/>
          <w:marRight w:val="0"/>
          <w:marTop w:val="0"/>
          <w:marBottom w:val="0"/>
          <w:divBdr>
            <w:top w:val="none" w:sz="0" w:space="0" w:color="auto"/>
            <w:left w:val="none" w:sz="0" w:space="0" w:color="auto"/>
            <w:bottom w:val="none" w:sz="0" w:space="0" w:color="auto"/>
            <w:right w:val="none" w:sz="0" w:space="0" w:color="auto"/>
          </w:divBdr>
          <w:divsChild>
            <w:div w:id="21029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77674">
      <w:bodyDiv w:val="1"/>
      <w:marLeft w:val="0"/>
      <w:marRight w:val="0"/>
      <w:marTop w:val="0"/>
      <w:marBottom w:val="0"/>
      <w:divBdr>
        <w:top w:val="none" w:sz="0" w:space="0" w:color="auto"/>
        <w:left w:val="none" w:sz="0" w:space="0" w:color="auto"/>
        <w:bottom w:val="none" w:sz="0" w:space="0" w:color="auto"/>
        <w:right w:val="none" w:sz="0" w:space="0" w:color="auto"/>
      </w:divBdr>
      <w:divsChild>
        <w:div w:id="1173033970">
          <w:marLeft w:val="0"/>
          <w:marRight w:val="0"/>
          <w:marTop w:val="0"/>
          <w:marBottom w:val="0"/>
          <w:divBdr>
            <w:top w:val="none" w:sz="0" w:space="0" w:color="auto"/>
            <w:left w:val="none" w:sz="0" w:space="0" w:color="auto"/>
            <w:bottom w:val="none" w:sz="0" w:space="0" w:color="auto"/>
            <w:right w:val="none" w:sz="0" w:space="0" w:color="auto"/>
          </w:divBdr>
          <w:divsChild>
            <w:div w:id="14381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156408">
      <w:bodyDiv w:val="1"/>
      <w:marLeft w:val="0"/>
      <w:marRight w:val="0"/>
      <w:marTop w:val="0"/>
      <w:marBottom w:val="0"/>
      <w:divBdr>
        <w:top w:val="none" w:sz="0" w:space="0" w:color="auto"/>
        <w:left w:val="none" w:sz="0" w:space="0" w:color="auto"/>
        <w:bottom w:val="none" w:sz="0" w:space="0" w:color="auto"/>
        <w:right w:val="none" w:sz="0" w:space="0" w:color="auto"/>
      </w:divBdr>
    </w:div>
    <w:div w:id="1459374781">
      <w:bodyDiv w:val="1"/>
      <w:marLeft w:val="0"/>
      <w:marRight w:val="0"/>
      <w:marTop w:val="0"/>
      <w:marBottom w:val="0"/>
      <w:divBdr>
        <w:top w:val="none" w:sz="0" w:space="0" w:color="auto"/>
        <w:left w:val="none" w:sz="0" w:space="0" w:color="auto"/>
        <w:bottom w:val="none" w:sz="0" w:space="0" w:color="auto"/>
        <w:right w:val="none" w:sz="0" w:space="0" w:color="auto"/>
      </w:divBdr>
    </w:div>
    <w:div w:id="1483112265">
      <w:bodyDiv w:val="1"/>
      <w:marLeft w:val="0"/>
      <w:marRight w:val="0"/>
      <w:marTop w:val="0"/>
      <w:marBottom w:val="0"/>
      <w:divBdr>
        <w:top w:val="none" w:sz="0" w:space="0" w:color="auto"/>
        <w:left w:val="none" w:sz="0" w:space="0" w:color="auto"/>
        <w:bottom w:val="none" w:sz="0" w:space="0" w:color="auto"/>
        <w:right w:val="none" w:sz="0" w:space="0" w:color="auto"/>
      </w:divBdr>
      <w:divsChild>
        <w:div w:id="96945496">
          <w:marLeft w:val="0"/>
          <w:marRight w:val="0"/>
          <w:marTop w:val="0"/>
          <w:marBottom w:val="0"/>
          <w:divBdr>
            <w:top w:val="none" w:sz="0" w:space="0" w:color="auto"/>
            <w:left w:val="none" w:sz="0" w:space="0" w:color="auto"/>
            <w:bottom w:val="none" w:sz="0" w:space="0" w:color="auto"/>
            <w:right w:val="none" w:sz="0" w:space="0" w:color="auto"/>
          </w:divBdr>
          <w:divsChild>
            <w:div w:id="70170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663414">
      <w:bodyDiv w:val="1"/>
      <w:marLeft w:val="0"/>
      <w:marRight w:val="0"/>
      <w:marTop w:val="0"/>
      <w:marBottom w:val="0"/>
      <w:divBdr>
        <w:top w:val="none" w:sz="0" w:space="0" w:color="auto"/>
        <w:left w:val="none" w:sz="0" w:space="0" w:color="auto"/>
        <w:bottom w:val="none" w:sz="0" w:space="0" w:color="auto"/>
        <w:right w:val="none" w:sz="0" w:space="0" w:color="auto"/>
      </w:divBdr>
      <w:divsChild>
        <w:div w:id="551692733">
          <w:marLeft w:val="0"/>
          <w:marRight w:val="0"/>
          <w:marTop w:val="0"/>
          <w:marBottom w:val="0"/>
          <w:divBdr>
            <w:top w:val="none" w:sz="0" w:space="0" w:color="auto"/>
            <w:left w:val="none" w:sz="0" w:space="0" w:color="auto"/>
            <w:bottom w:val="none" w:sz="0" w:space="0" w:color="auto"/>
            <w:right w:val="none" w:sz="0" w:space="0" w:color="auto"/>
          </w:divBdr>
          <w:divsChild>
            <w:div w:id="6379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925626">
      <w:bodyDiv w:val="1"/>
      <w:marLeft w:val="0"/>
      <w:marRight w:val="0"/>
      <w:marTop w:val="0"/>
      <w:marBottom w:val="0"/>
      <w:divBdr>
        <w:top w:val="none" w:sz="0" w:space="0" w:color="auto"/>
        <w:left w:val="none" w:sz="0" w:space="0" w:color="auto"/>
        <w:bottom w:val="none" w:sz="0" w:space="0" w:color="auto"/>
        <w:right w:val="none" w:sz="0" w:space="0" w:color="auto"/>
      </w:divBdr>
    </w:div>
    <w:div w:id="1589146008">
      <w:bodyDiv w:val="1"/>
      <w:marLeft w:val="0"/>
      <w:marRight w:val="0"/>
      <w:marTop w:val="0"/>
      <w:marBottom w:val="0"/>
      <w:divBdr>
        <w:top w:val="none" w:sz="0" w:space="0" w:color="auto"/>
        <w:left w:val="none" w:sz="0" w:space="0" w:color="auto"/>
        <w:bottom w:val="none" w:sz="0" w:space="0" w:color="auto"/>
        <w:right w:val="none" w:sz="0" w:space="0" w:color="auto"/>
      </w:divBdr>
      <w:divsChild>
        <w:div w:id="284965821">
          <w:marLeft w:val="0"/>
          <w:marRight w:val="0"/>
          <w:marTop w:val="0"/>
          <w:marBottom w:val="0"/>
          <w:divBdr>
            <w:top w:val="none" w:sz="0" w:space="0" w:color="auto"/>
            <w:left w:val="none" w:sz="0" w:space="0" w:color="auto"/>
            <w:bottom w:val="none" w:sz="0" w:space="0" w:color="auto"/>
            <w:right w:val="none" w:sz="0" w:space="0" w:color="auto"/>
          </w:divBdr>
          <w:divsChild>
            <w:div w:id="94230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646437">
      <w:bodyDiv w:val="1"/>
      <w:marLeft w:val="0"/>
      <w:marRight w:val="0"/>
      <w:marTop w:val="0"/>
      <w:marBottom w:val="0"/>
      <w:divBdr>
        <w:top w:val="none" w:sz="0" w:space="0" w:color="auto"/>
        <w:left w:val="none" w:sz="0" w:space="0" w:color="auto"/>
        <w:bottom w:val="none" w:sz="0" w:space="0" w:color="auto"/>
        <w:right w:val="none" w:sz="0" w:space="0" w:color="auto"/>
      </w:divBdr>
    </w:div>
    <w:div w:id="1626276513">
      <w:bodyDiv w:val="1"/>
      <w:marLeft w:val="0"/>
      <w:marRight w:val="0"/>
      <w:marTop w:val="0"/>
      <w:marBottom w:val="0"/>
      <w:divBdr>
        <w:top w:val="none" w:sz="0" w:space="0" w:color="auto"/>
        <w:left w:val="none" w:sz="0" w:space="0" w:color="auto"/>
        <w:bottom w:val="none" w:sz="0" w:space="0" w:color="auto"/>
        <w:right w:val="none" w:sz="0" w:space="0" w:color="auto"/>
      </w:divBdr>
      <w:divsChild>
        <w:div w:id="1672678206">
          <w:marLeft w:val="0"/>
          <w:marRight w:val="0"/>
          <w:marTop w:val="0"/>
          <w:marBottom w:val="0"/>
          <w:divBdr>
            <w:top w:val="none" w:sz="0" w:space="0" w:color="auto"/>
            <w:left w:val="none" w:sz="0" w:space="0" w:color="auto"/>
            <w:bottom w:val="none" w:sz="0" w:space="0" w:color="auto"/>
            <w:right w:val="none" w:sz="0" w:space="0" w:color="auto"/>
          </w:divBdr>
          <w:divsChild>
            <w:div w:id="110561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99199">
      <w:bodyDiv w:val="1"/>
      <w:marLeft w:val="0"/>
      <w:marRight w:val="0"/>
      <w:marTop w:val="0"/>
      <w:marBottom w:val="0"/>
      <w:divBdr>
        <w:top w:val="none" w:sz="0" w:space="0" w:color="auto"/>
        <w:left w:val="none" w:sz="0" w:space="0" w:color="auto"/>
        <w:bottom w:val="none" w:sz="0" w:space="0" w:color="auto"/>
        <w:right w:val="none" w:sz="0" w:space="0" w:color="auto"/>
      </w:divBdr>
      <w:divsChild>
        <w:div w:id="1195734060">
          <w:marLeft w:val="0"/>
          <w:marRight w:val="0"/>
          <w:marTop w:val="0"/>
          <w:marBottom w:val="0"/>
          <w:divBdr>
            <w:top w:val="none" w:sz="0" w:space="0" w:color="auto"/>
            <w:left w:val="none" w:sz="0" w:space="0" w:color="auto"/>
            <w:bottom w:val="none" w:sz="0" w:space="0" w:color="auto"/>
            <w:right w:val="none" w:sz="0" w:space="0" w:color="auto"/>
          </w:divBdr>
          <w:divsChild>
            <w:div w:id="677268158">
              <w:marLeft w:val="0"/>
              <w:marRight w:val="0"/>
              <w:marTop w:val="0"/>
              <w:marBottom w:val="0"/>
              <w:divBdr>
                <w:top w:val="none" w:sz="0" w:space="0" w:color="auto"/>
                <w:left w:val="none" w:sz="0" w:space="0" w:color="auto"/>
                <w:bottom w:val="none" w:sz="0" w:space="0" w:color="auto"/>
                <w:right w:val="none" w:sz="0" w:space="0" w:color="auto"/>
              </w:divBdr>
            </w:div>
            <w:div w:id="1784111849">
              <w:marLeft w:val="0"/>
              <w:marRight w:val="0"/>
              <w:marTop w:val="0"/>
              <w:marBottom w:val="0"/>
              <w:divBdr>
                <w:top w:val="none" w:sz="0" w:space="0" w:color="auto"/>
                <w:left w:val="none" w:sz="0" w:space="0" w:color="auto"/>
                <w:bottom w:val="none" w:sz="0" w:space="0" w:color="auto"/>
                <w:right w:val="none" w:sz="0" w:space="0" w:color="auto"/>
              </w:divBdr>
            </w:div>
            <w:div w:id="397829914">
              <w:marLeft w:val="0"/>
              <w:marRight w:val="0"/>
              <w:marTop w:val="0"/>
              <w:marBottom w:val="0"/>
              <w:divBdr>
                <w:top w:val="none" w:sz="0" w:space="0" w:color="auto"/>
                <w:left w:val="none" w:sz="0" w:space="0" w:color="auto"/>
                <w:bottom w:val="none" w:sz="0" w:space="0" w:color="auto"/>
                <w:right w:val="none" w:sz="0" w:space="0" w:color="auto"/>
              </w:divBdr>
            </w:div>
            <w:div w:id="2038702724">
              <w:marLeft w:val="0"/>
              <w:marRight w:val="0"/>
              <w:marTop w:val="0"/>
              <w:marBottom w:val="0"/>
              <w:divBdr>
                <w:top w:val="none" w:sz="0" w:space="0" w:color="auto"/>
                <w:left w:val="none" w:sz="0" w:space="0" w:color="auto"/>
                <w:bottom w:val="none" w:sz="0" w:space="0" w:color="auto"/>
                <w:right w:val="none" w:sz="0" w:space="0" w:color="auto"/>
              </w:divBdr>
            </w:div>
            <w:div w:id="112854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957909">
      <w:bodyDiv w:val="1"/>
      <w:marLeft w:val="0"/>
      <w:marRight w:val="0"/>
      <w:marTop w:val="0"/>
      <w:marBottom w:val="0"/>
      <w:divBdr>
        <w:top w:val="none" w:sz="0" w:space="0" w:color="auto"/>
        <w:left w:val="none" w:sz="0" w:space="0" w:color="auto"/>
        <w:bottom w:val="none" w:sz="0" w:space="0" w:color="auto"/>
        <w:right w:val="none" w:sz="0" w:space="0" w:color="auto"/>
      </w:divBdr>
      <w:divsChild>
        <w:div w:id="410657670">
          <w:marLeft w:val="0"/>
          <w:marRight w:val="0"/>
          <w:marTop w:val="0"/>
          <w:marBottom w:val="0"/>
          <w:divBdr>
            <w:top w:val="none" w:sz="0" w:space="0" w:color="auto"/>
            <w:left w:val="none" w:sz="0" w:space="0" w:color="auto"/>
            <w:bottom w:val="none" w:sz="0" w:space="0" w:color="auto"/>
            <w:right w:val="none" w:sz="0" w:space="0" w:color="auto"/>
          </w:divBdr>
          <w:divsChild>
            <w:div w:id="128176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88591">
      <w:bodyDiv w:val="1"/>
      <w:marLeft w:val="0"/>
      <w:marRight w:val="0"/>
      <w:marTop w:val="0"/>
      <w:marBottom w:val="0"/>
      <w:divBdr>
        <w:top w:val="none" w:sz="0" w:space="0" w:color="auto"/>
        <w:left w:val="none" w:sz="0" w:space="0" w:color="auto"/>
        <w:bottom w:val="none" w:sz="0" w:space="0" w:color="auto"/>
        <w:right w:val="none" w:sz="0" w:space="0" w:color="auto"/>
      </w:divBdr>
    </w:div>
    <w:div w:id="1717777055">
      <w:bodyDiv w:val="1"/>
      <w:marLeft w:val="0"/>
      <w:marRight w:val="0"/>
      <w:marTop w:val="0"/>
      <w:marBottom w:val="0"/>
      <w:divBdr>
        <w:top w:val="none" w:sz="0" w:space="0" w:color="auto"/>
        <w:left w:val="none" w:sz="0" w:space="0" w:color="auto"/>
        <w:bottom w:val="none" w:sz="0" w:space="0" w:color="auto"/>
        <w:right w:val="none" w:sz="0" w:space="0" w:color="auto"/>
      </w:divBdr>
    </w:div>
    <w:div w:id="1798183126">
      <w:bodyDiv w:val="1"/>
      <w:marLeft w:val="0"/>
      <w:marRight w:val="0"/>
      <w:marTop w:val="0"/>
      <w:marBottom w:val="0"/>
      <w:divBdr>
        <w:top w:val="none" w:sz="0" w:space="0" w:color="auto"/>
        <w:left w:val="none" w:sz="0" w:space="0" w:color="auto"/>
        <w:bottom w:val="none" w:sz="0" w:space="0" w:color="auto"/>
        <w:right w:val="none" w:sz="0" w:space="0" w:color="auto"/>
      </w:divBdr>
    </w:div>
    <w:div w:id="1815682801">
      <w:bodyDiv w:val="1"/>
      <w:marLeft w:val="0"/>
      <w:marRight w:val="0"/>
      <w:marTop w:val="0"/>
      <w:marBottom w:val="0"/>
      <w:divBdr>
        <w:top w:val="none" w:sz="0" w:space="0" w:color="auto"/>
        <w:left w:val="none" w:sz="0" w:space="0" w:color="auto"/>
        <w:bottom w:val="none" w:sz="0" w:space="0" w:color="auto"/>
        <w:right w:val="none" w:sz="0" w:space="0" w:color="auto"/>
      </w:divBdr>
      <w:divsChild>
        <w:div w:id="1855269377">
          <w:marLeft w:val="0"/>
          <w:marRight w:val="0"/>
          <w:marTop w:val="0"/>
          <w:marBottom w:val="0"/>
          <w:divBdr>
            <w:top w:val="none" w:sz="0" w:space="0" w:color="auto"/>
            <w:left w:val="none" w:sz="0" w:space="0" w:color="auto"/>
            <w:bottom w:val="none" w:sz="0" w:space="0" w:color="auto"/>
            <w:right w:val="none" w:sz="0" w:space="0" w:color="auto"/>
          </w:divBdr>
          <w:divsChild>
            <w:div w:id="662122720">
              <w:marLeft w:val="0"/>
              <w:marRight w:val="0"/>
              <w:marTop w:val="0"/>
              <w:marBottom w:val="0"/>
              <w:divBdr>
                <w:top w:val="none" w:sz="0" w:space="0" w:color="auto"/>
                <w:left w:val="none" w:sz="0" w:space="0" w:color="auto"/>
                <w:bottom w:val="none" w:sz="0" w:space="0" w:color="auto"/>
                <w:right w:val="none" w:sz="0" w:space="0" w:color="auto"/>
              </w:divBdr>
            </w:div>
            <w:div w:id="714936591">
              <w:marLeft w:val="0"/>
              <w:marRight w:val="0"/>
              <w:marTop w:val="0"/>
              <w:marBottom w:val="0"/>
              <w:divBdr>
                <w:top w:val="none" w:sz="0" w:space="0" w:color="auto"/>
                <w:left w:val="none" w:sz="0" w:space="0" w:color="auto"/>
                <w:bottom w:val="none" w:sz="0" w:space="0" w:color="auto"/>
                <w:right w:val="none" w:sz="0" w:space="0" w:color="auto"/>
              </w:divBdr>
            </w:div>
            <w:div w:id="61146371">
              <w:marLeft w:val="0"/>
              <w:marRight w:val="0"/>
              <w:marTop w:val="0"/>
              <w:marBottom w:val="0"/>
              <w:divBdr>
                <w:top w:val="none" w:sz="0" w:space="0" w:color="auto"/>
                <w:left w:val="none" w:sz="0" w:space="0" w:color="auto"/>
                <w:bottom w:val="none" w:sz="0" w:space="0" w:color="auto"/>
                <w:right w:val="none" w:sz="0" w:space="0" w:color="auto"/>
              </w:divBdr>
            </w:div>
            <w:div w:id="1544436985">
              <w:marLeft w:val="0"/>
              <w:marRight w:val="0"/>
              <w:marTop w:val="0"/>
              <w:marBottom w:val="0"/>
              <w:divBdr>
                <w:top w:val="none" w:sz="0" w:space="0" w:color="auto"/>
                <w:left w:val="none" w:sz="0" w:space="0" w:color="auto"/>
                <w:bottom w:val="none" w:sz="0" w:space="0" w:color="auto"/>
                <w:right w:val="none" w:sz="0" w:space="0" w:color="auto"/>
              </w:divBdr>
            </w:div>
            <w:div w:id="59455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262236">
      <w:bodyDiv w:val="1"/>
      <w:marLeft w:val="0"/>
      <w:marRight w:val="0"/>
      <w:marTop w:val="0"/>
      <w:marBottom w:val="0"/>
      <w:divBdr>
        <w:top w:val="none" w:sz="0" w:space="0" w:color="auto"/>
        <w:left w:val="none" w:sz="0" w:space="0" w:color="auto"/>
        <w:bottom w:val="none" w:sz="0" w:space="0" w:color="auto"/>
        <w:right w:val="none" w:sz="0" w:space="0" w:color="auto"/>
      </w:divBdr>
    </w:div>
    <w:div w:id="2001426112">
      <w:bodyDiv w:val="1"/>
      <w:marLeft w:val="0"/>
      <w:marRight w:val="0"/>
      <w:marTop w:val="0"/>
      <w:marBottom w:val="0"/>
      <w:divBdr>
        <w:top w:val="none" w:sz="0" w:space="0" w:color="auto"/>
        <w:left w:val="none" w:sz="0" w:space="0" w:color="auto"/>
        <w:bottom w:val="none" w:sz="0" w:space="0" w:color="auto"/>
        <w:right w:val="none" w:sz="0" w:space="0" w:color="auto"/>
      </w:divBdr>
    </w:div>
    <w:div w:id="202258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www-science-org.ezproxy1.library.arizona.edu/content/page/science-information-authors"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1093</TotalTime>
  <Pages>14</Pages>
  <Words>15003</Words>
  <Characters>85521</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Jackson (Student)</dc:creator>
  <cp:keywords/>
  <dc:description/>
  <cp:lastModifiedBy>Danny Jackson (Student)</cp:lastModifiedBy>
  <cp:revision>21</cp:revision>
  <dcterms:created xsi:type="dcterms:W3CDTF">2025-04-22T16:01:00Z</dcterms:created>
  <dcterms:modified xsi:type="dcterms:W3CDTF">2025-06-12T20:51:00Z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id="KzkvHY6W"/&gt;&lt;style id="http://www.zotero.org/styles/science" hasBibliography="1" bibliographyStyleHasBeenSet="1"/&gt;&lt;prefs&gt;&lt;pref name="fieldType" value="Field"/&gt;&lt;/prefs&gt;&lt;/data&gt;</vt:lpwstr>
  </property>
</Properties>
</file>