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Accident Report Form</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First notification  ·  Completed at file opening  ·  Everything the claim will need, on day one</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8" w:lineRule="atLeast"/>
            </w:pPr>
            <w:r>
              <w:rPr>
                <w:rFonts w:ascii="Calibri" w:cs="Calibri" w:eastAsia="Calibri" w:hAnsi="Calibri"/>
                <w:b/>
                <w:bCs/>
                <w:i w:val="false"/>
                <w:iCs w:val="false"/>
                <w:caps w:val="false"/>
                <w:color w:val="0D1C50"/>
                <w:sz w:val="20"/>
                <w:szCs w:val="20"/>
              </w:rPr>
              <w:t xml:space="preserve">The clock starts today.  </w:t>
            </w:r>
            <w:r>
              <w:rPr>
                <w:rFonts w:ascii="Calibri" w:cs="Calibri" w:eastAsia="Calibri" w:hAnsi="Calibri"/>
                <w:b w:val="false"/>
                <w:bCs w:val="false"/>
                <w:i w:val="false"/>
                <w:iCs w:val="false"/>
                <w:caps w:val="false"/>
                <w:color w:val="3F4552"/>
                <w:sz w:val="20"/>
                <w:szCs w:val="20"/>
              </w:rPr>
              <w:t xml:space="preserve">CCTV is commonly overwritten in about 30 days, so preservation requests go out the same day this form is completed. Section 8 lists every camera that might have seen it. Nothing on this form is left blank — where something is unknown, write "unknown" and note how it will be found out.</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Full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birth</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Address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Telephone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Email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Driving licence number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Licence held since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Occupation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PCO / private hire driver?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badge no: __________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Signed client authority held?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dated 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Photo ID verified?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vehicle</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Make &amp; model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Colour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Year / mileage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Transmission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Automatic   ☐ Manual</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Registered keeper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Owner if different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Finance or lease on the vehicle?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provider: 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Outstanding balance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Policy number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Cover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Comprehensive   ☐ TPFT   ☐ TPO</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Policy excess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claim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Reported to own insurer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The accident</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Time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Road / junction</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Town &amp; postcode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Direction of travel</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Weather</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Light</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daylight   ☐ dark   ☐ dusk / dawn</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Road surface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dry   ☐ wet   ☐ ice / snow</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Speed limit</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mph</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Number of lanes</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Client’s lane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Bus lane present?</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hours of operation: ______________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Lane markings, merges or lane endings</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Client’s approximate speed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mph</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Other vehicle’s speed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mph</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Anyone in the client’s vehicle?</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w:t>
            </w:r>
          </w:p>
        </w:tc>
      </w:tr>
    </w:tbl>
    <w:p>
      <w:pPr>
        <w:keepNext w:val="false"/>
        <w:spacing w:after="0" w:before="0" w:line="14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4600"/>
        <w:gridCol w:w="5038"/>
      </w:tblGrid>
      <w:tr>
        <w:trPr>
          <w:cantSplit/>
          <w:trHeight w:val="900" w:hRule="atLeast"/>
        </w:trPr>
        <w:tc>
          <w:tcPr>
            <w:tcW w:type="dxa" w:w="4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Passengers — names and where they were sitting</w:t>
            </w:r>
          </w:p>
        </w:tc>
        <w:tc>
          <w:tcPr>
            <w:tcW w:type="dxa" w:w="50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What happened — in the client’s own words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Take this with open questions only. Do not lead, do not summarise, and do not tell the client what the other driver says. Write what the client says.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9638"/>
      </w:tblGrid>
      <w:tr>
        <w:trPr>
          <w:cantSplit/>
        </w:trPr>
        <w:tc>
          <w:tcPr>
            <w:tcW w:type="dxa" w:w="9638"/>
            <w:tcMar>
              <w:top w:type="dxa" w:w="2400"/>
              <w:left w:type="dxa" w:w="110"/>
              <w:bottom w:type="dxa" w:w="2400"/>
              <w:right w:type="dxa" w:w="110"/>
            </w:tcMar>
            <w:vAlign w:val="center"/>
          </w:tcPr>
          <w:p>
            <w:pPr>
              <w:spacing w:after="0" w:before="0" w:line="280"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13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Account taken by</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&amp; time taken</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Did anyone apologise or say anything at the scene?</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Record any apology word for word, and who said it. An apology is not, in itself, an admission of liability — Compensation Act 2006, section 2. A breach of the Highway Code can be relied on as evidence of negligence in civil proceedings — Road Traffic Act 1988, section 38(7).</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Damage to the client’s vehicle</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400"/>
        <w:gridCol w:w="1419"/>
        <w:gridCol w:w="3400"/>
        <w:gridCol w:w="1419"/>
      </w:tblGrid>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Panels damaged</w:t>
            </w:r>
          </w:p>
        </w:tc>
        <w:tc>
          <w:tcPr>
            <w:tcW w:type="dxa" w:w="62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Point of first impact</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Direction of force</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driveable?</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Airbags deployed?</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 pre-existing damage?</w:t>
            </w:r>
          </w:p>
        </w:tc>
        <w:tc>
          <w:tcPr>
            <w:tcW w:type="dxa" w:w="62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describe and photograph separately</w:t>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Current location of vehicle</w:t>
            </w:r>
          </w:p>
        </w:tc>
        <w:tc>
          <w:tcPr>
            <w:tcW w:type="dxa" w:w="62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Recovered on</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Recovered by</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Photographs taken?</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number: ________</w:t>
            </w:r>
          </w:p>
        </w:tc>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Stored at</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p>
      <w:pPr>
        <w:keepNext w:val="false"/>
        <w:spacing w:after="0" w:before="0" w:line="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Other vehicle &amp; driver</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Make, model &amp; colour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Driver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Driver address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Driver telephone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Details obtained how?</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at scene   ☐ police   ☐ insurer   ☐ askMID</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Policy number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askMID checked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askMID result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claim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Insurer contacted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Damage to other vehicle</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Passengers in other vehicle</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Once the third party’s insurer is involved, all contact goes through the insurer. Neither we nor the client contacts the other driver directly. Before proceedings, the insurer has no duty to disclose its insured’s personal details; the routes to them are the insurer, the police, a DVLA keeper request — and the keeper is not necessarily the driver.</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Police, witnesses &amp; injury</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Police attended?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Police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Force &amp; station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Reported within 24 hours?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   ☐ N/A</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Breath test carried out?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result: 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Anyone reported for an offence?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w:t>
            </w:r>
          </w:p>
        </w:tc>
      </w:tr>
    </w:tbl>
    <w:p>
      <w:pPr>
        <w:keepNext w:val="false"/>
        <w:spacing w:after="0" w:before="0" w:line="140" w:lineRule="exact"/>
      </w:pPr>
    </w:p>
    <w:p>
      <w:pPr>
        <w:keepNext/>
        <w:spacing w:after="90" w:before="130" w:line="230" w:lineRule="atLeast"/>
      </w:pPr>
      <w:r>
        <w:rPr>
          <w:rFonts w:ascii="Calibri" w:cs="Calibri" w:eastAsia="Calibri" w:hAnsi="Calibri"/>
          <w:b/>
          <w:bCs/>
          <w:i w:val="false"/>
          <w:iCs w:val="false"/>
          <w:caps/>
          <w:color w:val="04347F"/>
          <w:spacing w:val="22"/>
          <w:sz w:val="18"/>
          <w:szCs w:val="18"/>
        </w:rPr>
        <w:t xml:space="preserve">Witnesses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600"/>
        <w:gridCol w:w="2600"/>
        <w:gridCol w:w="2538"/>
        <w:gridCol w:w="1900"/>
      </w:tblGrid>
      <w:tr>
        <w:trPr>
          <w:cantSplit/>
          <w:tblHeader/>
          <w:trHeight w:val="320" w:hRule="atLeast"/>
        </w:trPr>
        <w:tc>
          <w:tcPr>
            <w:tcW w:type="dxa" w:w="26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Name</w:t>
            </w:r>
          </w:p>
        </w:tc>
        <w:tc>
          <w:tcPr>
            <w:tcW w:type="dxa" w:w="26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Contact</w:t>
            </w:r>
          </w:p>
        </w:tc>
        <w:tc>
          <w:tcPr>
            <w:tcW w:type="dxa" w:w="25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Where they were</w:t>
            </w:r>
          </w:p>
        </w:tc>
        <w:tc>
          <w:tcPr>
            <w:tcW w:type="dxa" w:w="1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Independent?</w:t>
            </w:r>
          </w:p>
        </w:tc>
      </w:tr>
      <w:tr>
        <w:trPr>
          <w:cantSplit/>
          <w:trHeight w:val="360" w:hRule="atLeast"/>
        </w:trPr>
        <w:tc>
          <w:tcPr>
            <w:tcW w:type="dxa" w:w="26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60" w:hRule="atLeast"/>
        </w:trPr>
        <w:tc>
          <w:tcPr>
            <w:tcW w:type="dxa" w:w="26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60" w:hRule="atLeast"/>
        </w:trPr>
        <w:tc>
          <w:tcPr>
            <w:tcW w:type="dxa" w:w="26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60" w:hRule="atLeast"/>
        </w:trPr>
        <w:tc>
          <w:tcPr>
            <w:tcW w:type="dxa" w:w="26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A partner, relative or passenger is not an independent witness and is never described as one.</w:t>
      </w:r>
    </w:p>
    <w:p>
      <w:pPr>
        <w:keepNext w:val="false"/>
        <w:spacing w:after="0" w:before="0" w:line="140" w:lineRule="exact"/>
      </w:pPr>
    </w:p>
    <w:p>
      <w:pPr>
        <w:keepNext/>
        <w:spacing w:after="90" w:before="130" w:line="230" w:lineRule="atLeast"/>
      </w:pPr>
      <w:r>
        <w:rPr>
          <w:rFonts w:ascii="Calibri" w:cs="Calibri" w:eastAsia="Calibri" w:hAnsi="Calibri"/>
          <w:b/>
          <w:bCs/>
          <w:i w:val="false"/>
          <w:iCs w:val="false"/>
          <w:caps/>
          <w:color w:val="04347F"/>
          <w:spacing w:val="22"/>
          <w:sz w:val="18"/>
          <w:szCs w:val="18"/>
        </w:rPr>
        <w:t xml:space="preserve">Injury</w:t>
      </w:r>
    </w:p>
    <w:tbl>
      <w:tblPr>
        <w:tblW w:type="dxa" w:w="9638"/>
        <w:tblBorders>
          <w:top w:val="single" w:color="8A2B12" w:sz="6"/>
          <w:left w:val="single" w:color="8A2B12" w:sz="6"/>
          <w:bottom w:val="single" w:color="8A2B12" w:sz="6"/>
          <w:right w:val="single" w:color="8A2B12" w:sz="6"/>
          <w:insideH w:val="none" w:color="FFFFFF" w:sz="0"/>
          <w:insideV w:val="none" w:color="FFFFFF" w:sz="0"/>
        </w:tblBorders>
        <w:tblLayout w:type="fixed"/>
      </w:tblPr>
      <w:tblGrid>
        <w:gridCol w:w="9638"/>
      </w:tblGrid>
      <w:tr>
        <w:trPr>
          <w:cantSplit/>
        </w:trPr>
        <w:tc>
          <w:tcPr>
            <w:tcW w:type="dxa" w:w="9638"/>
            <w:shd w:fill="FBF2EF" w:color="auto" w:val="clear"/>
            <w:tcMar>
              <w:top w:type="dxa" w:w="130"/>
              <w:left w:type="dxa" w:w="170"/>
              <w:bottom w:type="dxa" w:w="130"/>
              <w:right w:type="dxa" w:w="170"/>
            </w:tcMar>
            <w:vAlign w:val="top"/>
          </w:tcPr>
          <w:p>
            <w:pPr>
              <w:spacing w:after="90" w:before="0" w:line="250" w:lineRule="atLeast"/>
            </w:pPr>
            <w:r>
              <w:rPr>
                <w:rFonts w:ascii="Calibri" w:cs="Calibri" w:eastAsia="Calibri" w:hAnsi="Calibri"/>
                <w:b/>
                <w:bCs/>
                <w:i w:val="false"/>
                <w:iCs w:val="false"/>
                <w:caps w:val="false"/>
                <w:color w:val="0D1C50"/>
                <w:sz w:val="20"/>
                <w:szCs w:val="20"/>
              </w:rPr>
              <w:t xml:space="preserve">Was anyone injured?   </w:t>
            </w:r>
            <w:r>
              <w:rPr>
                <w:rFonts w:ascii="Calibri" w:cs="Calibri" w:eastAsia="Calibri" w:hAnsi="Calibri"/>
                <w:b/>
                <w:bCs/>
                <w:i w:val="false"/>
                <w:iCs w:val="false"/>
                <w:caps w:val="false"/>
                <w:color w:val="3F4552"/>
                <w:sz w:val="20"/>
                <w:szCs w:val="20"/>
              </w:rPr>
              <w:t xml:space="preserve">☐ NO        ☐ YES</w:t>
            </w:r>
          </w:p>
          <w:p>
            <w:pPr>
              <w:spacing w:after="90" w:before="0" w:line="248" w:lineRule="atLeast"/>
            </w:pPr>
            <w:r>
              <w:rPr>
                <w:rFonts w:ascii="Calibri" w:cs="Calibri" w:eastAsia="Calibri" w:hAnsi="Calibri"/>
                <w:b w:val="false"/>
                <w:bCs w:val="false"/>
                <w:i w:val="false"/>
                <w:iCs w:val="false"/>
                <w:caps w:val="false"/>
                <w:color w:val="3F4552"/>
                <w:sz w:val="18"/>
                <w:szCs w:val="18"/>
              </w:rPr>
              <w:t xml:space="preserve">If yes, the injury claim is kept entirely separate from this file. The client uses the Official Injury Claim portal themselves, or instructs an authorised firm. We handle the vehicle losses only and do not advise on, value or present an injury claim. Record here only that an injury exists and that the client has been told how to deal with it.</w:t>
            </w:r>
          </w:p>
          <w:p>
            <w:pPr>
              <w:spacing w:after="0" w:before="0" w:line="248" w:lineRule="atLeast"/>
            </w:pPr>
            <w:r>
              <w:rPr>
                <w:rFonts w:ascii="Calibri" w:cs="Calibri" w:eastAsia="Calibri" w:hAnsi="Calibri"/>
                <w:b w:val="false"/>
                <w:bCs w:val="false"/>
                <w:i w:val="false"/>
                <w:iCs w:val="false"/>
                <w:caps w:val="false"/>
                <w:color w:val="3F4552"/>
                <w:sz w:val="18"/>
                <w:szCs w:val="18"/>
              </w:rPr>
              <w:t xml:space="preserve">Client told on ____ / ____ / ______   ·   by ☐ telephone ☐ email ☐ in person   ·   confirmed in writing ☐ YES ☐ NO</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CCTV, dashcam &amp; footage — act today</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List every camera that may have captured the collision and send a preservation request to each one today. Send the client’s subject access request at the same time where the footage is of the client; the response period is one month under Article 15 of the UK GDPR.</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400"/>
        <w:gridCol w:w="3138"/>
        <w:gridCol w:w="1550"/>
        <w:gridCol w:w="1550"/>
      </w:tblGrid>
      <w:tr>
        <w:trPr>
          <w:cantSplit/>
          <w:tblHeader/>
          <w:trHeight w:val="320" w:hRule="atLeast"/>
        </w:trPr>
        <w:tc>
          <w:tcPr>
            <w:tcW w:type="dxa" w:w="34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Source</w:t>
            </w:r>
          </w:p>
        </w:tc>
        <w:tc>
          <w:tcPr>
            <w:tcW w:type="dxa" w:w="31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Contact / address</w:t>
            </w:r>
          </w:p>
        </w:tc>
        <w:tc>
          <w:tcPr>
            <w:tcW w:type="dxa" w:w="155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Request sent</w:t>
            </w:r>
          </w:p>
        </w:tc>
        <w:tc>
          <w:tcPr>
            <w:tcW w:type="dxa" w:w="155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Overwrite date</w:t>
            </w:r>
          </w:p>
        </w:tc>
      </w:tr>
      <w:tr>
        <w:trPr>
          <w:cantSplit/>
          <w:trHeight w:val="340" w:hRule="atLeast"/>
        </w:trPr>
        <w:tc>
          <w:tcPr>
            <w:tcW w:type="dxa" w:w="34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Client dashcam</w:t>
            </w:r>
          </w:p>
        </w:tc>
        <w:tc>
          <w:tcPr>
            <w:tcW w:type="dxa" w:w="31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Third-party dashcam</w:t>
            </w:r>
          </w:p>
        </w:tc>
        <w:tc>
          <w:tcPr>
            <w:tcW w:type="dxa" w:w="31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Council / traffic cameras</w:t>
            </w:r>
          </w:p>
        </w:tc>
        <w:tc>
          <w:tcPr>
            <w:tcW w:type="dxa" w:w="31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Bus or coach operator</w:t>
            </w:r>
          </w:p>
        </w:tc>
        <w:tc>
          <w:tcPr>
            <w:tcW w:type="dxa" w:w="31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Shops and businesses at the scene</w:t>
            </w:r>
          </w:p>
        </w:tc>
        <w:tc>
          <w:tcPr>
            <w:tcW w:type="dxa" w:w="31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Petrol station</w:t>
            </w:r>
          </w:p>
        </w:tc>
        <w:tc>
          <w:tcPr>
            <w:tcW w:type="dxa" w:w="31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Residential doorbell cameras</w:t>
            </w:r>
          </w:p>
        </w:tc>
        <w:tc>
          <w:tcPr>
            <w:tcW w:type="dxa" w:w="31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34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Other</w:t>
            </w:r>
          </w:p>
        </w:tc>
        <w:tc>
          <w:tcPr>
            <w:tcW w:type="dxa" w:w="31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5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Services required &amp; diary dates</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5200"/>
        <w:gridCol w:w="4438"/>
      </w:tblGrid>
      <w:tr>
        <w:trPr>
          <w:cantSplit/>
          <w:trHeight w:val="420" w:hRule="atLeast"/>
        </w:trPr>
        <w:tc>
          <w:tcPr>
            <w:tcW w:type="dxa" w:w="5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Recovery required?</w:t>
            </w:r>
          </w:p>
        </w:tc>
        <w:tc>
          <w:tcPr>
            <w:tcW w:type="dxa" w:w="44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Part 2 signed on ____ / ____ / ______</w:t>
            </w:r>
          </w:p>
        </w:tc>
      </w:tr>
      <w:tr>
        <w:trPr>
          <w:cantSplit/>
          <w:trHeight w:val="420" w:hRule="atLeast"/>
        </w:trPr>
        <w:tc>
          <w:tcPr>
            <w:tcW w:type="dxa" w:w="5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Storage required?</w:t>
            </w:r>
          </w:p>
        </w:tc>
        <w:tc>
          <w:tcPr>
            <w:tcW w:type="dxa" w:w="44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Part 3 signed on ____ / ____ / ______</w:t>
            </w:r>
          </w:p>
        </w:tc>
      </w:tr>
      <w:tr>
        <w:trPr>
          <w:cantSplit/>
          <w:trHeight w:val="420" w:hRule="atLeast"/>
        </w:trPr>
        <w:tc>
          <w:tcPr>
            <w:tcW w:type="dxa" w:w="5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Engineering assessment?</w:t>
            </w:r>
          </w:p>
        </w:tc>
        <w:tc>
          <w:tcPr>
            <w:tcW w:type="dxa" w:w="44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Part 4 signed on ____ / ____ / ______</w:t>
            </w:r>
          </w:p>
        </w:tc>
      </w:tr>
      <w:tr>
        <w:trPr>
          <w:cantSplit/>
          <w:trHeight w:val="420" w:hRule="atLeast"/>
        </w:trPr>
        <w:tc>
          <w:tcPr>
            <w:tcW w:type="dxa" w:w="5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Replacement vehicle on credit hire?</w:t>
            </w:r>
          </w:p>
        </w:tc>
        <w:tc>
          <w:tcPr>
            <w:tcW w:type="dxa" w:w="44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agreement signed on ____ / ____ / ______</w:t>
            </w:r>
          </w:p>
        </w:tc>
      </w:tr>
      <w:tr>
        <w:trPr>
          <w:cantSplit/>
          <w:trHeight w:val="420" w:hRule="atLeast"/>
        </w:trPr>
        <w:tc>
          <w:tcPr>
            <w:tcW w:type="dxa" w:w="5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Impecuniosity to be relied on?</w:t>
            </w:r>
          </w:p>
        </w:tc>
        <w:tc>
          <w:tcPr>
            <w:tcW w:type="dxa" w:w="44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Statement of Means completed on ____ / ____ / ______</w:t>
            </w:r>
          </w:p>
        </w:tc>
      </w:tr>
    </w:tbl>
    <w:p>
      <w:pPr>
        <w:keepNext w:val="false"/>
        <w:spacing w:after="0" w:before="0" w:line="16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CCTV preservation requests sent — day 1</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Follow-up — around day 25</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insurer first chaser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Second chaser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Three-month point for a reasoned reply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Limitation date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Insurers must handle claims promptly and fairly, and for motor claims give a reasoned offer or a reasoned reply within three months of the claim being presented (ICOBS 8). An internal "timeframe" does not override that — ask them to put it in writing. Calculate the limitation date from the date of the accident and diary it on day one.</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10</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File opened by</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Form completed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Reviewed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CCGUK reference allocated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CCG-____________-________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Ledger opened?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bl>
    <w:sectPr>
      <w:headerReference w:type="default" r:id="rId7"/>
      <w:headerReference w:type="first" r:id="rId8"/>
      <w:footerReference w:type="default" r:id="rId9"/>
      <w:footerReference w:type="first" r:id="rId10"/>
      <w:pgSz w:w="11906" w:h="16838" w:orient="portrait"/>
      <w:pgMar w:top="2400" w:right="1134" w:bottom="175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10" w:before="0"/>
      <w:jc w:val="center"/>
    </w:pPr>
    <w:r>
      <w:drawing>
        <wp:inline distT="0" distB="0" distL="0" distR="0">
          <wp:extent cx="60483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48375" cy="228600"/>
                  </a:xfrm>
                  <a:prstGeom prst="rect">
                    <a:avLst/>
                  </a:prstGeom>
                </pic:spPr>
              </pic:pic>
            </a:graphicData>
          </a:graphic>
        </wp:inline>
      </w:drawing>
    </w:r>
  </w:p>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ACCIDENT REPORT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d2896104cca7ffe832467b3857e84c70b92426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Accident Report Form</dc:title>
  <dc:creator>Courtesy Cars Group UK Ltd</dc:creator>
  <dc:description>Template. Company No. 17430389.</dc:description>
  <cp:lastModifiedBy>Un-named</cp:lastModifiedBy>
  <cp:revision>1</cp:revision>
  <dcterms:created xsi:type="dcterms:W3CDTF">2026-09-30T17:28:01.071Z</dcterms:created>
  <dcterms:modified xsi:type="dcterms:W3CDTF">2026-09-30T17:28:01.071Z</dcterms:modified>
</cp:coreProperties>
</file>

<file path=docProps/custom.xml><?xml version="1.0" encoding="utf-8"?>
<Properties xmlns="http://schemas.openxmlformats.org/officeDocument/2006/custom-properties" xmlns:vt="http://schemas.openxmlformats.org/officeDocument/2006/docPropsVTypes"/>
</file>