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center"/>
        <w:rPr/>
      </w:pPr>
      <w:bookmarkStart w:colFirst="0" w:colLast="0" w:name="_czzpq798zqst" w:id="0"/>
      <w:bookmarkEnd w:id="0"/>
      <w:r w:rsidDel="00000000" w:rsidR="00000000" w:rsidRPr="00000000">
        <w:rPr>
          <w:rFonts w:ascii="Palatino Linotype" w:cs="Palatino Linotype" w:eastAsia="Palatino Linotype" w:hAnsi="Palatino Linotype"/>
          <w:color w:val="000000"/>
          <w:rtl w:val="0"/>
        </w:rPr>
        <w:t xml:space="preserve">Stroboscopic Light Stimulation in Adults Reporting Depressive Symptoms: Safety, Tolerability, Feasibility, and Active-Comparator Development in a Staged Early-Phase Study</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jc0rl6krt28u" w:id="1"/>
      <w:bookmarkEnd w:id="1"/>
      <w:r w:rsidDel="00000000" w:rsidR="00000000" w:rsidRPr="00000000">
        <w:rPr>
          <w:rtl w:val="0"/>
        </w:rPr>
        <w:br w:type="textWrapping"/>
      </w:r>
      <w:r w:rsidDel="00000000" w:rsidR="00000000" w:rsidRPr="00000000">
        <w:rPr>
          <w:rtl w:val="0"/>
        </w:rPr>
        <w:t xml:space="preserve">SUPPLEMENTARY MATERIAL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9hrx5p3ox8ow" w:id="2"/>
      <w:bookmarkEnd w:id="2"/>
      <w:r w:rsidDel="00000000" w:rsidR="00000000" w:rsidRPr="00000000">
        <w:rPr>
          <w:rtl w:val="0"/>
        </w:rPr>
        <w:t xml:space="preserve">S1. Screening, Eligibility, and Safety Protocol </w:t>
      </w:r>
    </w:p>
    <w:p w:rsidR="00000000" w:rsidDel="00000000" w:rsidP="00000000" w:rsidRDefault="00000000" w:rsidRPr="00000000" w14:paraId="00000005">
      <w:pPr>
        <w:pStyle w:val="Heading3"/>
        <w:rPr/>
      </w:pPr>
      <w:bookmarkStart w:colFirst="0" w:colLast="0" w:name="_5b5x6lmdqcfa" w:id="3"/>
      <w:bookmarkEnd w:id="3"/>
      <w:r w:rsidDel="00000000" w:rsidR="00000000" w:rsidRPr="00000000">
        <w:rPr>
          <w:b w:val="1"/>
          <w:bCs w:val="1"/>
          <w:rtl w:val="0"/>
        </w:rPr>
        <w:t xml:space="preserve">Exclusion Criteria</w:t>
      </w:r>
      <w:r w:rsidDel="00000000" w:rsidR="00000000" w:rsidRPr="00000000">
        <w:rPr>
          <w:rtl w:val="0"/>
        </w:rPr>
        <w:t xml:space="preserve"> </w:t>
      </w:r>
    </w:p>
    <w:p w:rsidR="00000000" w:rsidDel="00000000" w:rsidP="00000000" w:rsidRDefault="00000000" w:rsidRPr="00000000" w14:paraId="00000006">
      <w:pPr>
        <w:rPr>
          <w:rFonts w:ascii="Palatino Linotype" w:cs="Palatino Linotype" w:eastAsia="Palatino Linotype" w:hAnsi="Palatino Linotype"/>
          <w:u w:val="single"/>
        </w:rPr>
      </w:pPr>
      <w:r w:rsidDel="00000000" w:rsidR="00000000" w:rsidRPr="00000000">
        <w:rPr>
          <w:u w:val="single"/>
          <w:rtl w:val="0"/>
        </w:rPr>
        <w:t xml:space="preserve">Study 1</w:t>
      </w:r>
      <w:r w:rsidDel="00000000" w:rsidR="00000000" w:rsidRPr="00000000">
        <w:rPr>
          <w:rtl w:val="0"/>
        </w:rPr>
      </w:r>
    </w:p>
    <w:p w:rsidR="00000000" w:rsidDel="00000000" w:rsidP="00000000" w:rsidRDefault="00000000" w:rsidRPr="00000000" w14:paraId="0000000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Age below 18. Positive response to any question on the 4SQ (Schwartzman et al., 2025). PHQ-9 score below the threshold for at least mild depressive symptoms (&lt;5). Depressive symptomatology displaying a seasonal pattern. No current depressive symptoms, such as low mood or sadness, or no extended periods of low mood. Current treatment with antipsychotic drugs. Current use of supplements, herbs, or medications for an insufficient period to establish familiarity. History of or current substance or drug misuse. History of or current diagnosis of psychosis, bipolar disorder, Parkinson's disease, dementia, or Alzheimer's disease. History of traumatic brain injury (TBI). Presence of eye disorders including retinal blindness, cataracts, retinal disease or glaucoma. Regular use of light therapy.</w:t>
      </w:r>
    </w:p>
    <w:p w:rsidR="00000000" w:rsidDel="00000000" w:rsidP="00000000" w:rsidRDefault="00000000" w:rsidRPr="00000000" w14:paraId="0000000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74041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S1. Sussex Strobe Safety Screening Questionnaire (4SQ). </w:t>
      </w:r>
      <w:r w:rsidDel="00000000" w:rsidR="00000000" w:rsidRPr="00000000">
        <w:rPr>
          <w:rFonts w:ascii="Palatino Linotype" w:cs="Palatino Linotype" w:eastAsia="Palatino Linotype" w:hAnsi="Palatino Linotype"/>
          <w:sz w:val="22"/>
          <w:szCs w:val="22"/>
          <w:rtl w:val="0"/>
        </w:rPr>
        <w:t xml:space="preserve">The 4SQ was used as the structured safety screen before any in-person stroboscopic light stimulation (SLS) exposure in </w:t>
      </w:r>
      <w:r w:rsidDel="00000000" w:rsidR="00000000" w:rsidRPr="00000000">
        <w:rPr>
          <w:sz w:val="22"/>
          <w:szCs w:val="22"/>
          <w:rtl w:val="0"/>
        </w:rPr>
        <w:t xml:space="preserve">Study 1</w:t>
      </w:r>
      <w:r w:rsidDel="00000000" w:rsidR="00000000" w:rsidRPr="00000000">
        <w:rPr>
          <w:rFonts w:ascii="Palatino Linotype" w:cs="Palatino Linotype" w:eastAsia="Palatino Linotype" w:hAnsi="Palatino Linotype"/>
          <w:sz w:val="22"/>
          <w:szCs w:val="22"/>
          <w:rtl w:val="0"/>
        </w:rPr>
        <w:t xml:space="preserve">, the interim bridge study, and </w:t>
      </w:r>
      <w:r w:rsidDel="00000000" w:rsidR="00000000" w:rsidRPr="00000000">
        <w:rPr>
          <w:sz w:val="22"/>
          <w:szCs w:val="22"/>
          <w:rtl w:val="0"/>
        </w:rPr>
        <w:t xml:space="preserve">Study 3</w:t>
      </w:r>
      <w:r w:rsidDel="00000000" w:rsidR="00000000" w:rsidRPr="00000000">
        <w:rPr>
          <w:rFonts w:ascii="Palatino Linotype" w:cs="Palatino Linotype" w:eastAsia="Palatino Linotype" w:hAnsi="Palatino Linotype"/>
          <w:sz w:val="22"/>
          <w:szCs w:val="22"/>
          <w:rtl w:val="0"/>
        </w:rPr>
        <w:t xml:space="preserve">. The questionnaire identifies potential contraindications or risk factors relevant to closed-eye flickering-light exposure, including age under 18, epilepsy or seizure history, recent head injury, severe psychiatric history, relevant medication use, medical conditions, pregnancy, sensory sensitivity to bright or flickering light, recent substance effects, and acute sleep deprivation. In this study, participants completed the 4SQ during pre-screening. A YES response, or uncertainty requiring a YES response, triggered exclusion from SLS exposure or further eligibility review according to the stage-specific screening workflow. Its purpose was to reduce avoidable risk before supervised SLS sessions and to ensure that all participants entering </w:t>
      </w:r>
      <w:r w:rsidDel="00000000" w:rsidR="00000000" w:rsidRPr="00000000">
        <w:rPr>
          <w:sz w:val="22"/>
          <w:szCs w:val="22"/>
          <w:rtl w:val="0"/>
        </w:rPr>
        <w:t xml:space="preserve">Study 1</w:t>
      </w:r>
      <w:r w:rsidDel="00000000" w:rsidR="00000000" w:rsidRPr="00000000">
        <w:rPr>
          <w:rFonts w:ascii="Palatino Linotype" w:cs="Palatino Linotype" w:eastAsia="Palatino Linotype" w:hAnsi="Palatino Linotype"/>
          <w:sz w:val="22"/>
          <w:szCs w:val="22"/>
          <w:rtl w:val="0"/>
        </w:rPr>
        <w:t xml:space="preserve">, the interim bridge study, and </w:t>
      </w:r>
      <w:r w:rsidDel="00000000" w:rsidR="00000000" w:rsidRPr="00000000">
        <w:rPr>
          <w:sz w:val="22"/>
          <w:szCs w:val="22"/>
          <w:rtl w:val="0"/>
        </w:rPr>
        <w:t xml:space="preserve">Study 3</w:t>
      </w:r>
      <w:r w:rsidDel="00000000" w:rsidR="00000000" w:rsidRPr="00000000">
        <w:rPr>
          <w:rFonts w:ascii="Palatino Linotype" w:cs="Palatino Linotype" w:eastAsia="Palatino Linotype" w:hAnsi="Palatino Linotype"/>
          <w:sz w:val="22"/>
          <w:szCs w:val="22"/>
          <w:rtl w:val="0"/>
        </w:rPr>
        <w:t xml:space="preserve"> had passed the same core stroboscopic-safety screen. For further detail on the rationale, safety domains, and practical use of the 4SQ, see Schwartzman et al. (2025).</w:t>
      </w:r>
    </w:p>
    <w:p w:rsidR="00000000" w:rsidDel="00000000" w:rsidP="00000000" w:rsidRDefault="00000000" w:rsidRPr="00000000" w14:paraId="0000000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u w:val="single"/>
          <w:rtl w:val="0"/>
        </w:rPr>
        <w:t xml:space="preserve">Interim Study</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0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Age below 18. Positive response to any question on the 4SQ (Schwartzman et al., 2025). STAI-Trait score above the implemented severe-anxiety exclusion threshold (&gt;60). Current treatment with antipsychotic drugs. Current use of supplements, herbs, or medications for an insufficient period to establish familiarity. History of or current substance or drug misuse. History of or current diagnosis of psychosis, bipolar disorder, Parkinson's disease, dementia, or Alzheimer's disease. History of traumatic brain injury (TBI). Presence of eye disorders including retinal blindness, cataracts, retinal disease, or glaucoma.</w:t>
      </w:r>
    </w:p>
    <w:p w:rsidR="00000000" w:rsidDel="00000000" w:rsidP="00000000" w:rsidRDefault="00000000" w:rsidRPr="00000000" w14:paraId="0000000C">
      <w:pPr>
        <w:rPr>
          <w:rFonts w:ascii="Palatino Linotype" w:cs="Palatino Linotype" w:eastAsia="Palatino Linotype" w:hAnsi="Palatino Linotype"/>
        </w:rPr>
      </w:pPr>
      <w:r w:rsidDel="00000000" w:rsidR="00000000" w:rsidRPr="00000000">
        <w:rPr>
          <w:u w:val="single"/>
          <w:rtl w:val="0"/>
        </w:rPr>
        <w:t xml:space="preserve">Study 3</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0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Age below 18. Positive response to any question on the 4SQ (Schwartzman et al., 2025). PHQ-9 score below the threshold for at least mild depressive symptoms (&lt;5). Depressive symptomatology displaying a seasonal pattern. No current depressive symptoms, such as low mood or sadness, or no extended periods of low mood. Current treatment with antipsychotic drugs. Current use of supplements, herbs, or medications for an insufficient period to establish familiarity. History of or current substance or drug misuse. History of or current diagnosis of psychosis, bipolar disorder, Parkinson's disease, dementia, or Alzheimer's disease. History of traumatic brain injury (TBI). Presence of eye disorders including retinal blindness, cataracts, retinal disease, or glaucoma. Regular use of light therapy. Participation in the interim study. Plans to change or start treatment for depressive symptoms within the next four weeks.</w:t>
      </w:r>
    </w:p>
    <w:p w:rsidR="00000000" w:rsidDel="00000000" w:rsidP="00000000" w:rsidRDefault="00000000" w:rsidRPr="00000000" w14:paraId="0000000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F">
      <w:pPr>
        <w:pStyle w:val="Heading3"/>
        <w:rPr/>
      </w:pPr>
      <w:bookmarkStart w:colFirst="0" w:colLast="0" w:name="_fuzitg8wdf5" w:id="4"/>
      <w:bookmarkEnd w:id="4"/>
      <w:r w:rsidDel="00000000" w:rsidR="00000000" w:rsidRPr="00000000">
        <w:rPr>
          <w:b w:val="1"/>
          <w:bCs w:val="1"/>
          <w:rtl w:val="0"/>
        </w:rPr>
        <w:t xml:space="preserve">Structured Screening Workflow</w:t>
      </w:r>
      <w:r w:rsidDel="00000000" w:rsidR="00000000" w:rsidRPr="00000000">
        <w:rPr>
          <w:rtl w:val="0"/>
        </w:rPr>
        <w:t xml:space="preserve"> </w:t>
      </w:r>
    </w:p>
    <w:p w:rsidR="00000000" w:rsidDel="00000000" w:rsidP="00000000" w:rsidRDefault="00000000" w:rsidRPr="00000000" w14:paraId="0000001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Participants completed a staged screening workflow before attending any in-person SLS session. First, prospective participants reviewed the study information sheet and provided consent via the online screening system. They then completed demographic and eligibility questions, followed by a stroboscopic safety screen designed to identify contraindications to flickering light exposure, including seizure-related risk factors, traumatic brain injury, neurological disorders, and relevant ophthalmological conditions. Participants who endorsed any safety-screening exclusion item were not invited to continue.</w:t>
      </w:r>
    </w:p>
    <w:p w:rsidR="00000000" w:rsidDel="00000000" w:rsidP="00000000" w:rsidRDefault="00000000" w:rsidRPr="00000000" w14:paraId="0000001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and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depressive symptom eligibility was assessed using the PHQ-9, with inclusion requiring at least mild depressive symptoms (PHQ-9 &gt;=5). In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eligibility initially excluded severe depressive symptoms (PHQ-9 &gt;19) and M3VAS Suicidality scores &gt;50; this was later amended to permit the full depressive-symptom and suicidality range under the live proactive wellbeing-monitoring procedure. This amendment widened inclusivity while retaining supervised stopping and escalation safeguards.</w:t>
      </w:r>
    </w:p>
    <w:p w:rsidR="00000000" w:rsidDel="00000000" w:rsidP="00000000" w:rsidRDefault="00000000" w:rsidRPr="00000000" w14:paraId="0000001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interim study used the same stroboscopic-safety logic but recruited a normative sample rather than a depressive-symptom sample. Participants were excluded for safety-screening concerns, relevant demographic or clinical confounds, medication unfamiliarity, substance-use history, diagnostic confounds, and high trait anxiety using the implemented exclusion threshold of STAI-Trait &gt;60.</w:t>
      </w:r>
      <w:r w:rsidDel="00000000" w:rsidR="00000000" w:rsidRPr="00000000">
        <w:rPr>
          <w:rtl w:val="0"/>
        </w:rPr>
      </w:r>
    </w:p>
    <w:p w:rsidR="00000000" w:rsidDel="00000000" w:rsidP="00000000" w:rsidRDefault="00000000" w:rsidRPr="00000000" w14:paraId="00000013">
      <w:pPr>
        <w:pStyle w:val="Heading3"/>
        <w:rPr>
          <w:b w:val="1"/>
          <w:bCs w:val="1"/>
        </w:rPr>
      </w:pPr>
      <w:bookmarkStart w:colFirst="0" w:colLast="0" w:name="_lxlhmz9cr83b" w:id="5"/>
      <w:bookmarkEnd w:id="5"/>
      <w:r w:rsidDel="00000000" w:rsidR="00000000" w:rsidRPr="00000000">
        <w:rPr>
          <w:rtl w:val="0"/>
        </w:rPr>
      </w:r>
    </w:p>
    <w:p w:rsidR="00000000" w:rsidDel="00000000" w:rsidP="00000000" w:rsidRDefault="00000000" w:rsidRPr="00000000" w14:paraId="00000014">
      <w:pPr>
        <w:pStyle w:val="Heading3"/>
        <w:rPr>
          <w:rFonts w:ascii="Palatino Linotype" w:cs="Palatino Linotype" w:eastAsia="Palatino Linotype" w:hAnsi="Palatino Linotype"/>
        </w:rPr>
      </w:pPr>
      <w:bookmarkStart w:colFirst="0" w:colLast="0" w:name="_nb57canwbux8" w:id="6"/>
      <w:bookmarkEnd w:id="6"/>
      <w:r w:rsidDel="00000000" w:rsidR="00000000" w:rsidRPr="00000000">
        <w:rPr>
          <w:b w:val="1"/>
          <w:bCs w:val="1"/>
          <w:rtl w:val="0"/>
        </w:rPr>
        <w:t xml:space="preserve">Consent/Stopping Rules</w:t>
      </w:r>
      <w:r w:rsidDel="00000000" w:rsidR="00000000" w:rsidRPr="00000000">
        <w:rPr>
          <w:rtl w:val="0"/>
        </w:rPr>
      </w:r>
    </w:p>
    <w:p w:rsidR="00000000" w:rsidDel="00000000" w:rsidP="00000000" w:rsidRDefault="00000000" w:rsidRPr="00000000" w14:paraId="0000001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Participants were informed that participation was voluntary, that they could withdraw at any point without penalty, and that their data would be treated confidentially and handled according to local data-protection procedures. In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and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participants were explicitly told that the study was not a clinical treatment or diagnostic assessment. During stimulation, side effects were actively monitored following each session. If side effects were reported, participants completed symptom-frequency items and a tolerability/discomfort rating. A tolerability rating above the prespecified severe-discomfort threshold (&gt;=7 out of 10) was treated as a stopping criterion for that parameter set or session. </w:t>
      </w:r>
    </w:p>
    <w:p w:rsidR="00000000" w:rsidDel="00000000" w:rsidP="00000000" w:rsidRDefault="00000000" w:rsidRPr="00000000" w14:paraId="0000001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the tolerability scale ranged from 0, indicating no symptom discomfort, to 10, indicating the worst possible symptom discomfort. Scores of around 3 were interpreted as mild discomfort, 4 as moderate discomfort, and values above 7 as severe discomfort. If a participant rated any symptom above 7, testing of that parameter was discontinued. If no symptoms were reported, the tolerability score was recorded as 0.</w:t>
      </w:r>
    </w:p>
    <w:p w:rsidR="00000000" w:rsidDel="00000000" w:rsidP="00000000" w:rsidRDefault="00000000" w:rsidRPr="00000000" w14:paraId="0000001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8">
      <w:pPr>
        <w:pStyle w:val="Heading3"/>
        <w:rPr/>
      </w:pPr>
      <w:bookmarkStart w:colFirst="0" w:colLast="0" w:name="_8k53qgg0ja7o" w:id="7"/>
      <w:bookmarkEnd w:id="7"/>
      <w:r w:rsidDel="00000000" w:rsidR="00000000" w:rsidRPr="00000000">
        <w:rPr>
          <w:b w:val="1"/>
          <w:bCs w:val="1"/>
          <w:rtl w:val="0"/>
        </w:rPr>
        <w:t xml:space="preserve">Mood/Suicidality Escalation Procedure</w:t>
      </w:r>
      <w:r w:rsidDel="00000000" w:rsidR="00000000" w:rsidRPr="00000000">
        <w:rPr>
          <w:rtl w:val="0"/>
        </w:rPr>
        <w:t xml:space="preserve"> </w:t>
      </w:r>
    </w:p>
    <w:p w:rsidR="00000000" w:rsidDel="00000000" w:rsidP="00000000" w:rsidRDefault="00000000" w:rsidRPr="00000000" w14:paraId="0000001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Mood and wellbeing were monitored both during scheduled study visits and, in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between visits using SMS-based follow-up measures.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monitoring notebook used longitudinal wellbeing monitoring with measure-specific plots and tables to flag participants whose scores worsened relative to earlier observations. The monitoring output was intended to identify cases where a clinical or study lead should review a participant’s trajectory and, where necessary, link the anonymised participant ID back to contact details through the appropriate researcher-held mapping. </w:t>
      </w:r>
    </w:p>
    <w:p w:rsidR="00000000" w:rsidDel="00000000" w:rsidP="00000000" w:rsidRDefault="00000000" w:rsidRPr="00000000" w14:paraId="0000001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safety monitoring, within-person worsening in self-reported depressive symptoms was defined pragmatically using scale-specific thresholds. PHQ-9 worsening of 5 or more points from the participant’s first available observation was treated as clinically meaningful. For SPANE-P and SPANE-N, a 2-point deterioration threshold was used as a pragmatic affective-change signal. For M3VAS Mood, Pleasure, and Suicidality items, transformed to a 0–100 scale, a 12-point change was used as a conservative visual-analogue safety threshold. These thresholds were used for monitoring and escalation rather than confirmatory efficacy testing.</w:t>
      </w:r>
    </w:p>
    <w:p w:rsidR="00000000" w:rsidDel="00000000" w:rsidP="00000000" w:rsidRDefault="00000000" w:rsidRPr="00000000" w14:paraId="0000001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C">
      <w:pPr>
        <w:pStyle w:val="Heading3"/>
        <w:rPr>
          <w:rFonts w:ascii="Palatino Linotype" w:cs="Palatino Linotype" w:eastAsia="Palatino Linotype" w:hAnsi="Palatino Linotype"/>
        </w:rPr>
      </w:pPr>
      <w:bookmarkStart w:colFirst="0" w:colLast="0" w:name="_au619ndodro" w:id="8"/>
      <w:bookmarkEnd w:id="8"/>
      <w:r w:rsidDel="00000000" w:rsidR="00000000" w:rsidRPr="00000000">
        <w:rPr>
          <w:b w:val="1"/>
          <w:bCs w:val="1"/>
          <w:rtl w:val="0"/>
        </w:rPr>
        <w:t xml:space="preserve">Exclusions by Stage</w:t>
      </w:r>
      <w:r w:rsidDel="00000000" w:rsidR="00000000" w:rsidRPr="00000000">
        <w:rPr>
          <w:rtl w:val="0"/>
        </w:rPr>
      </w:r>
    </w:p>
    <w:p w:rsidR="00000000" w:rsidDel="00000000" w:rsidP="00000000" w:rsidRDefault="00000000" w:rsidRPr="00000000" w14:paraId="0000001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Exclusion counts were derived separately for each programme stage because the screening objectives differed across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the interim bridge study, and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Headline denominators were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197 screened, 36 tested, and 31 analysed; interim bridge study: 109 prescreening records for the broad screened denominator used in Figure 1 and demographic summaries, 98 completed/evaluable prescreening surveys, 61 completed/evaluable prescreens that passed screening, 40 booked, 33 attended, and 32 analysed; and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312 screened, 84 randomised, and 70 with endpoint data.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and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focused on individuals with depressive symptoms and therefore included depressive-symptom thresholds, seasonal-pattern exclusions, and treatment-stability criteria. The interim bridge study was designed as a normative control-calibration study and therefore did not require depressive-symptom inclusion, but included an anxiety threshold to reduce risk of adverse experiences during perceptual testing.</w:t>
      </w:r>
    </w:p>
    <w:p w:rsidR="00000000" w:rsidDel="00000000" w:rsidP="00000000" w:rsidRDefault="00000000" w:rsidRPr="00000000" w14:paraId="0000001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stages, participants were excluded before testing if they failed the stroboscopic-safety protocol, did not meet symptom/demographic eligibility requirements, reported relevant diagnostic or neurological contraindications, or reported medication/supplement/treatment patterns judged incompatible with the study aims. Full stage-specific exclusion categories are reported in Supplementary Table S2.</w:t>
      </w:r>
      <w:r w:rsidDel="00000000" w:rsidR="00000000" w:rsidRPr="00000000">
        <w:rPr>
          <w:rtl w:val="0"/>
        </w:rPr>
      </w:r>
    </w:p>
    <w:p w:rsidR="00000000" w:rsidDel="00000000" w:rsidP="00000000" w:rsidRDefault="00000000" w:rsidRPr="00000000" w14:paraId="0000001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0">
      <w:pPr>
        <w:pStyle w:val="Heading2"/>
        <w:rPr/>
      </w:pPr>
      <w:bookmarkStart w:colFirst="0" w:colLast="0" w:name="_jbamy8je4s7r" w:id="9"/>
      <w:bookmarkEnd w:id="9"/>
      <w:r w:rsidDel="00000000" w:rsidR="00000000" w:rsidRPr="00000000">
        <w:rPr>
          <w:rtl w:val="0"/>
        </w:rPr>
        <w:t xml:space="preserve">S2. Participant Flow and Demographics </w:t>
      </w:r>
    </w:p>
    <w:p w:rsidR="00000000" w:rsidDel="00000000" w:rsidP="00000000" w:rsidRDefault="00000000" w:rsidRPr="00000000" w14:paraId="00000021">
      <w:pPr>
        <w:rPr>
          <w:rFonts w:ascii="Palatino Linotype" w:cs="Palatino Linotype" w:eastAsia="Palatino Linotype" w:hAnsi="Palatino Linotype"/>
          <w:u w:val="single"/>
        </w:rPr>
      </w:pPr>
      <w:r w:rsidDel="00000000" w:rsidR="00000000" w:rsidRPr="00000000">
        <w:rPr>
          <w:u w:val="single"/>
          <w:rtl w:val="0"/>
        </w:rPr>
        <w:t xml:space="preserve">Study 1</w:t>
      </w:r>
      <w:r w:rsidDel="00000000" w:rsidR="00000000" w:rsidRPr="00000000">
        <w:rPr>
          <w:rtl w:val="0"/>
        </w:rPr>
      </w:r>
    </w:p>
    <w:p w:rsidR="00000000" w:rsidDel="00000000" w:rsidP="00000000" w:rsidRDefault="00000000" w:rsidRPr="00000000" w14:paraId="0000002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Participants were recruited through University of Sussex channels, including SONA, posters, and flyers. After online screening, eligible participants attended a one-hour in-person testing session.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flow was defined using three linked data sources: the sign-up/prescreening file, the testing-start file, and the session-feedback file. The screened denominator was the number of unique participant IDs in the sign-up file. The tested denominator was the number of unique participants appearing in the testing-start file. The analysed denominator was defined as the number of participants with valid session-feedback data for the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stimulation protocol. Demographic summaries were calculated using the analysed sample wherever possible, with prescreened or tested denominators reported separately when variables were unavailable in the analysed-only file.</w:t>
      </w:r>
    </w:p>
    <w:p w:rsidR="00000000" w:rsidDel="00000000" w:rsidP="00000000" w:rsidRDefault="00000000" w:rsidRPr="00000000" w14:paraId="0000002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197 individuals were screened, 148 passed screening, 36 were tested, and 31 were included in the analysed sample. Across stages, participants were young adults, with mean age approximately 21 years among those with available data, and the sample was predominantly female. Around one-third reported current medication use. Baseline PHQ-9 and BDI-II scores were broadly similar across tested and analysed participants, indicating a moderate baseline symptom burden. Full stage-specific denominators, missingness, and variable-level summaries are provided in the accompanying Excel supplementary table, tab “</w:t>
      </w:r>
      <w:r w:rsidDel="00000000" w:rsidR="00000000" w:rsidRPr="00000000">
        <w:rPr>
          <w:b w:val="1"/>
          <w:bCs w:val="1"/>
          <w:rtl w:val="0"/>
        </w:rPr>
        <w:t xml:space="preserve">Study 1 Demographics</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2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5">
      <w:pPr>
        <w:rPr>
          <w:rFonts w:ascii="Palatino Linotype" w:cs="Palatino Linotype" w:eastAsia="Palatino Linotype" w:hAnsi="Palatino Linotype"/>
          <w:u w:val="single"/>
        </w:rPr>
      </w:pPr>
      <w:r w:rsidDel="00000000" w:rsidR="00000000" w:rsidRPr="00000000">
        <w:rPr>
          <w:u w:val="single"/>
          <w:rtl w:val="0"/>
        </w:rPr>
        <w:t xml:space="preserve">Study 2</w:t>
      </w:r>
      <w:r w:rsidDel="00000000" w:rsidR="00000000" w:rsidRPr="00000000">
        <w:rPr>
          <w:rtl w:val="0"/>
        </w:rPr>
      </w:r>
    </w:p>
    <w:p w:rsidR="00000000" w:rsidDel="00000000" w:rsidP="00000000" w:rsidRDefault="00000000" w:rsidRPr="00000000" w14:paraId="00000026">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interim bridge-study prescreening survey was opened 132 times between April 6, 2025 and April 17, 2025. The prescreening dataset contained 109 unique screened records, which was used as the broad screened denominator for Figure 1 and for stage-level demographic missingness summaries. Of these, 98 represented completed/evaluable prescreening surveys in the operational recruitment funnel, 61 completed/evaluable prescreens passed screening, 40 booked a testing slot, 33 attended testing, and 32 were retained in the final analysed questionnaire dataset. The broader prescreening dataset contained 69 records flagged as having passed screening; this broader flag was retained for demographic availability summaries, whereas the completed/evaluable funnel denominator was used for operational recruitment reporting. Stage-specific demographic availability varied because some screened records did not contain complete demographic or baseline trait-anxiety data. Among screened records, age, sex, gender, medication status, and baseline trait anxiety were available for 80/109 participants; among the broader passed-screening records, these variables were available for 68/69 participants. The tested and analysed interim demographic table used the final analysed denominator of 32 participants.</w:t>
      </w:r>
      <w:r w:rsidDel="00000000" w:rsidR="00000000" w:rsidRPr="00000000">
        <w:rPr>
          <w:rtl w:val="0"/>
        </w:rPr>
      </w:r>
    </w:p>
    <w:p w:rsidR="00000000" w:rsidDel="00000000" w:rsidP="00000000" w:rsidRDefault="00000000" w:rsidRPr="00000000" w14:paraId="0000002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Among the 32 tested/analysed interim participants, sex assigned at birth was recorded as 20/32 female (62.5%) and 12/32 male (37.5%). Gender was recorded as 19/32 female (59.4%), 12/32 male (37.5%), and 1/32 other/nonbinary (3.1%). Mean age was 24.47 years (SD = 7.36; range 18–52). Medication status was available for all tested/analysed participants: 5/32 (15.6%) reported current medication use and 27/32 (84.4%) did not. Mean baseline trait anxiety was 37.53 (SD = 9.07; range 22–58). Full stage-specific denominators, missingness, and variable-level summaries are provided in the accompanying Excel supplementary table, tab “</w:t>
      </w:r>
      <w:r w:rsidDel="00000000" w:rsidR="00000000" w:rsidRPr="00000000">
        <w:rPr>
          <w:b w:val="1"/>
          <w:bCs w:val="1"/>
          <w:rtl w:val="0"/>
        </w:rPr>
        <w:t xml:space="preserve">Interim Demographics</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28">
      <w:pPr>
        <w:rPr>
          <w:rFonts w:ascii="Palatino Linotype" w:cs="Palatino Linotype" w:eastAsia="Palatino Linotype" w:hAnsi="Palatino Linotype"/>
          <w:u w:val="single"/>
        </w:rPr>
      </w:pPr>
      <w:r w:rsidDel="00000000" w:rsidR="00000000" w:rsidRPr="00000000">
        <w:rPr>
          <w:rtl w:val="0"/>
        </w:rPr>
      </w:r>
    </w:p>
    <w:p w:rsidR="00000000" w:rsidDel="00000000" w:rsidP="00000000" w:rsidRDefault="00000000" w:rsidRPr="00000000" w14:paraId="00000029">
      <w:pPr>
        <w:rPr>
          <w:rFonts w:ascii="Palatino Linotype" w:cs="Palatino Linotype" w:eastAsia="Palatino Linotype" w:hAnsi="Palatino Linotype"/>
        </w:rPr>
      </w:pPr>
      <w:r w:rsidDel="00000000" w:rsidR="00000000" w:rsidRPr="00000000">
        <w:rPr>
          <w:u w:val="single"/>
          <w:rtl w:val="0"/>
        </w:rPr>
        <w:t xml:space="preserve">Study 3</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2A">
      <w:pPr>
        <w:rPr>
          <w:rFonts w:ascii="Palatino Linotype" w:cs="Palatino Linotype" w:eastAsia="Palatino Linotype" w:hAnsi="Palatino Linotype"/>
        </w:rPr>
      </w:pP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participant flow was reconstructed from the prescreening file, the randomisation/assignment file, pre-session questions, post-session questionnaires, dropout records, and session-attendance records.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monitoring notebook explicitly distinguishes participants who passed prescreening, participants who booked Session 1, participants who attended Session 1, participants who never attended despite booking, participants who dropped out after at least one session, and one participant who was randomised but dropped out after the taster session was not counted as a post-Session-1 dropout. </w:t>
      </w:r>
    </w:p>
    <w:p w:rsidR="00000000" w:rsidDel="00000000" w:rsidP="00000000" w:rsidRDefault="00000000" w:rsidRPr="00000000" w14:paraId="0000002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312 individuals were screened, 84 were randomised</w:t>
      </w:r>
      <w:r w:rsidDel="00000000" w:rsidR="00000000" w:rsidRPr="00000000">
        <w:rPr>
          <w:rtl w:val="0"/>
        </w:rPr>
        <w:t xml:space="preserve"> and </w:t>
      </w:r>
      <w:r w:rsidDel="00000000" w:rsidR="00000000" w:rsidRPr="00000000">
        <w:rPr>
          <w:rFonts w:ascii="Palatino Linotype" w:cs="Palatino Linotype" w:eastAsia="Palatino Linotype" w:hAnsi="Palatino Linotype"/>
          <w:rtl w:val="0"/>
        </w:rPr>
        <w:t xml:space="preserve">started, and 70 contributed valid post-session 4 analysed data. Participants were mostly young adults, with a mean age of approximately 26-27 years across randomised and analysed groups, and the sample was predominantly female. Baseline symptom severity was generally moderate to moderately severe, with PHQ-9, BDI-II, MADRS-S, and BAI scores broadly comparable across the </w:t>
      </w:r>
      <w:r w:rsidDel="00000000" w:rsidR="00000000" w:rsidRPr="00000000">
        <w:rPr>
          <w:rtl w:val="0"/>
        </w:rPr>
        <w:t xml:space="preserve">strobe-emphasis and wash-emphasis SLS configurations</w:t>
      </w:r>
      <w:r w:rsidDel="00000000" w:rsidR="00000000" w:rsidRPr="00000000">
        <w:rPr>
          <w:rFonts w:ascii="Palatino Linotype" w:cs="Palatino Linotype" w:eastAsia="Palatino Linotype" w:hAnsi="Palatino Linotype"/>
          <w:rtl w:val="0"/>
        </w:rPr>
        <w:t xml:space="preserve">. Full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-specific denominators, missingness, and detailed baseline summaries are provided in the accompanying Excel supplementary table.</w:t>
      </w:r>
      <w:r w:rsidDel="00000000" w:rsidR="00000000" w:rsidRPr="00000000">
        <w:rPr>
          <w:rtl w:val="0"/>
        </w:rPr>
      </w:r>
    </w:p>
    <w:p w:rsidR="00000000" w:rsidDel="00000000" w:rsidP="00000000" w:rsidRDefault="00000000" w:rsidRPr="00000000" w14:paraId="0000002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pStyle w:val="Heading2"/>
        <w:rPr/>
      </w:pPr>
      <w:bookmarkStart w:colFirst="0" w:colLast="0" w:name="_bwkfn5wdfm8j" w:id="10"/>
      <w:bookmarkEnd w:id="10"/>
      <w:r w:rsidDel="00000000" w:rsidR="00000000" w:rsidRPr="00000000">
        <w:rPr>
          <w:rtl w:val="0"/>
        </w:rPr>
        <w:t xml:space="preserve">S3. Study 1 Parameter Schedule and Selection Rationale </w:t>
      </w:r>
    </w:p>
    <w:p w:rsidR="00000000" w:rsidDel="00000000" w:rsidP="00000000" w:rsidRDefault="00000000" w:rsidRPr="00000000" w14:paraId="0000002E">
      <w:pPr>
        <w:rPr>
          <w:rFonts w:ascii="Palatino Linotype" w:cs="Palatino Linotype" w:eastAsia="Palatino Linotype" w:hAnsi="Palatino Linotype"/>
        </w:rPr>
      </w:pP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was designed as a supervised parameter-probing study to identify SLS settings that could produce clear subjective visual experience while remaining safe and tolerable in adults reporting depressive symptoms. Participants completed 11 brief two-minute SLS exposures in a fixed staircase schedule. </w:t>
      </w:r>
      <w:r w:rsidDel="00000000" w:rsidR="00000000" w:rsidRPr="00000000">
        <w:rPr>
          <w:rtl w:val="0"/>
        </w:rPr>
        <w:t xml:space="preserve">The first 10 sessions isolated specific parameter families, including programmed RX1 output, frequency, frequency modulation, and duty-cycle variation, while the final session combined these elements into a short dynamic sequence. Programmed light intensity is reported as the RX1 output setting (%) because this permits reproduction on the study device. Where available, physical light measurements are additionally reported as illuminance (lux). Illuminance was measured using a SAUTER SO 200K digital light meter positioned at participant eye level 1 m from the stroboscope. Under the study calibration, 100% RX1 output corresponded to approximately 2700 lux at the measurement position.</w:t>
      </w:r>
      <w:r w:rsidDel="00000000" w:rsidR="00000000" w:rsidRPr="00000000">
        <w:rPr>
          <w:rFonts w:ascii="Palatino Linotype" w:cs="Palatino Linotype" w:eastAsia="Palatino Linotype" w:hAnsi="Palatino Linotype"/>
          <w:rtl w:val="0"/>
        </w:rPr>
        <w:t xml:space="preserve"> Across all study stages, no stimulus reached more than an illuminance value of ~2700 lux, with a ±5% maximum between-condition deviation for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SLS parameters used within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can be found in the accompanying Excel sheet in the tab “</w:t>
      </w:r>
      <w:r w:rsidDel="00000000" w:rsidR="00000000" w:rsidRPr="00000000">
        <w:rPr>
          <w:b w:val="1"/>
          <w:bCs w:val="1"/>
          <w:rtl w:val="0"/>
        </w:rPr>
        <w:t xml:space="preserve">Study 1 Parameters</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2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25781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S3.1. </w:t>
      </w:r>
      <w:r w:rsidDel="00000000" w:rsidR="00000000" w:rsidRPr="00000000">
        <w:rPr>
          <w:b w:val="1"/>
          <w:bCs w:val="1"/>
          <w:sz w:val="22"/>
          <w:szCs w:val="22"/>
          <w:rtl w:val="0"/>
        </w:rPr>
        <w:t xml:space="preserve">Study 1</w:t>
      </w:r>
      <w:r w:rsidDel="00000000" w:rsidR="00000000" w:rsidRPr="00000000">
        <w:rPr>
          <w:rFonts w:ascii="Palatino Linotype" w:cs="Palatino Linotype" w:eastAsia="Palatino Linotype" w:hAnsi="Palatino Linotype"/>
          <w:b w:val="1"/>
          <w:bCs w:val="1"/>
          <w:sz w:val="22"/>
          <w:szCs w:val="22"/>
          <w:rtl w:val="0"/>
        </w:rPr>
        <w:t xml:space="preserve"> Session 11 dynamic sequence parameters. </w:t>
      </w:r>
      <w:r w:rsidDel="00000000" w:rsidR="00000000" w:rsidRPr="00000000">
        <w:rPr>
          <w:rFonts w:ascii="Palatino Linotype" w:cs="Palatino Linotype" w:eastAsia="Palatino Linotype" w:hAnsi="Palatino Linotype"/>
          <w:sz w:val="22"/>
          <w:szCs w:val="22"/>
          <w:rtl w:val="0"/>
        </w:rPr>
        <w:t xml:space="preserve">Session 11 combined the parameter classes tested separately in Sessions 1-10 into a single 120-second dynamic SLS sequence. The plot shows the time-varying frequency profile in Hz (blue, left y-axis), alongside duty cycle and brightness values expressed as percentages of the RX1 maximum-output setting used by the study team (red and green, right y-axis). The sequence was designed to move through low-, moderate-, and higher-intensity periods while remaining within the </w:t>
      </w:r>
      <w:r w:rsidDel="00000000" w:rsidR="00000000" w:rsidRPr="00000000">
        <w:rPr>
          <w:sz w:val="22"/>
          <w:szCs w:val="22"/>
          <w:rtl w:val="0"/>
        </w:rPr>
        <w:t xml:space="preserve">Study 1</w:t>
      </w:r>
      <w:r w:rsidDel="00000000" w:rsidR="00000000" w:rsidRPr="00000000">
        <w:rPr>
          <w:rFonts w:ascii="Palatino Linotype" w:cs="Palatino Linotype" w:eastAsia="Palatino Linotype" w:hAnsi="Palatino Linotype"/>
          <w:sz w:val="22"/>
          <w:szCs w:val="22"/>
          <w:rtl w:val="0"/>
        </w:rPr>
        <w:t xml:space="preserve"> tolerability-tested parameter range. This dynamic session provided a short integrated test of whether combined frequency, duty-cycle, and </w:t>
      </w:r>
      <w:r w:rsidDel="00000000" w:rsidR="00000000" w:rsidRPr="00000000">
        <w:rPr>
          <w:sz w:val="22"/>
          <w:szCs w:val="22"/>
          <w:rtl w:val="0"/>
        </w:rPr>
        <w:t xml:space="preserve">RX1 output</w:t>
      </w:r>
      <w:r w:rsidDel="00000000" w:rsidR="00000000" w:rsidRPr="00000000">
        <w:rPr>
          <w:rFonts w:ascii="Palatino Linotype" w:cs="Palatino Linotype" w:eastAsia="Palatino Linotype" w:hAnsi="Palatino Linotype"/>
          <w:sz w:val="22"/>
          <w:szCs w:val="22"/>
          <w:rtl w:val="0"/>
        </w:rPr>
        <w:t xml:space="preserve"> variation could produce a vivid but tolerable subjective visual experience before longer sequences were developed for </w:t>
      </w:r>
      <w:r w:rsidDel="00000000" w:rsidR="00000000" w:rsidRPr="00000000">
        <w:rPr>
          <w:sz w:val="22"/>
          <w:szCs w:val="22"/>
          <w:rtl w:val="0"/>
        </w:rPr>
        <w:t xml:space="preserve">Study 3</w:t>
      </w:r>
      <w:r w:rsidDel="00000000" w:rsidR="00000000" w:rsidRPr="00000000">
        <w:rPr>
          <w:rFonts w:ascii="Palatino Linotype" w:cs="Palatino Linotype" w:eastAsia="Palatino Linotype" w:hAnsi="Palatino Linotype"/>
          <w:sz w:val="22"/>
          <w:szCs w:val="22"/>
          <w:rtl w:val="0"/>
        </w:rPr>
        <w:t xml:space="preserve">.</w:t>
      </w:r>
    </w:p>
    <w:p w:rsidR="00000000" w:rsidDel="00000000" w:rsidP="00000000" w:rsidRDefault="00000000" w:rsidRPr="00000000" w14:paraId="0000003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each 2-minute session, participants were asked whether they had experienced any side effects. If they responded “no”, no further information was collected regarding session tolerability. If they reported side effects, they were presented with a list of symptoms from the Visual Discomfort Questionnaire and asked to indicate the frequency of each symptom (Vinkers et al., 2024).</w:t>
      </w:r>
    </w:p>
    <w:p w:rsidR="00000000" w:rsidDel="00000000" w:rsidP="00000000" w:rsidRDefault="00000000" w:rsidRPr="00000000" w14:paraId="0000003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Any reported side effect was then rated on a 10-point scale, referred to as the tolerability score. The scale ranged from 0, indicating no symptom discomfort, to 10, indicating the worst possible symptom discomfort. Scores of 3 were interpreted as mild discomfort, 4 as moderate discomfort, and scores above 7 as severe discomfort. If a participant rated any symptom above 7, testing of that specific parameter was immediately discontinued. If no symptoms were reported, the tolerability score was recorded as 0.</w:t>
      </w:r>
      <w:r w:rsidDel="00000000" w:rsidR="00000000" w:rsidRPr="00000000">
        <w:rPr>
          <w:rtl w:val="0"/>
        </w:rPr>
      </w:r>
    </w:p>
    <w:p w:rsidR="00000000" w:rsidDel="00000000" w:rsidP="00000000" w:rsidRDefault="00000000" w:rsidRPr="00000000" w14:paraId="0000003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4">
      <w:pPr>
        <w:pStyle w:val="Heading3"/>
        <w:rPr>
          <w:b w:val="1"/>
          <w:bCs w:val="1"/>
        </w:rPr>
      </w:pPr>
      <w:bookmarkStart w:colFirst="0" w:colLast="0" w:name="_mpqji4j7y8c9" w:id="11"/>
      <w:bookmarkEnd w:id="11"/>
      <w:r w:rsidDel="00000000" w:rsidR="00000000" w:rsidRPr="00000000">
        <w:rPr>
          <w:b w:val="1"/>
          <w:bCs w:val="1"/>
          <w:rtl w:val="0"/>
        </w:rPr>
        <w:t xml:space="preserve">Discomfort by Session</w:t>
      </w:r>
    </w:p>
    <w:p w:rsidR="00000000" w:rsidDel="00000000" w:rsidP="00000000" w:rsidRDefault="00000000" w:rsidRPr="00000000" w14:paraId="00000035">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rtl w:val="0"/>
        </w:rPr>
        <w:t xml:space="preserve">Across all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sessions, tolerability was high. Mean discomfort scores were low across the 11 parameter-testing sessions, with session-level means ranging from 0.16 to 0.84 out of 10. Averaging across session-level means, the overall mean discomfort score was approximately 0.49/10. All session-level upper one-sided 80% confidence limits remained far below the prespecified tolerability threshold of 7/10, with the highest upper confidence limit observed in Session 1 at 1.13. Thus, all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parameter classes — luminance, frequency, frequency modulation, duty-cycle modulation, and the dynamic combined sequence — met the predefined tolerability criterion. For session-level tolerability scores, please see the attached Excel sheet, tab “</w:t>
      </w:r>
      <w:r w:rsidDel="00000000" w:rsidR="00000000" w:rsidRPr="00000000">
        <w:rPr>
          <w:b w:val="1"/>
          <w:bCs w:val="1"/>
          <w:rtl w:val="0"/>
        </w:rPr>
        <w:t xml:space="preserve">Study 1 Session Tolerability</w:t>
      </w:r>
      <w:r w:rsidDel="00000000" w:rsidR="00000000" w:rsidRPr="00000000">
        <w:rPr>
          <w:rFonts w:ascii="Palatino Linotype" w:cs="Palatino Linotype" w:eastAsia="Palatino Linotype" w:hAnsi="Palatino Linotype"/>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b w:val="1"/>
          <w:bCs w:val="1"/>
        </w:rPr>
      </w:pPr>
      <w:bookmarkStart w:colFirst="0" w:colLast="0" w:name="_46axai69ha" w:id="12"/>
      <w:bookmarkEnd w:id="12"/>
      <w:r w:rsidDel="00000000" w:rsidR="00000000" w:rsidRPr="00000000">
        <w:rPr>
          <w:b w:val="1"/>
          <w:bCs w:val="1"/>
          <w:rtl w:val="0"/>
        </w:rPr>
        <w:t xml:space="preserve">Rationale for Parameter Range </w:t>
      </w:r>
    </w:p>
    <w:p w:rsidR="00000000" w:rsidDel="00000000" w:rsidP="00000000" w:rsidRDefault="00000000" w:rsidRPr="00000000" w14:paraId="00000038">
      <w:pPr>
        <w:rPr>
          <w:rFonts w:ascii="Palatino Linotype" w:cs="Palatino Linotype" w:eastAsia="Palatino Linotype" w:hAnsi="Palatino Linotype"/>
        </w:rPr>
      </w:pP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was designed as a fixed-order parameter-probing study to identify stroboscopic settings that were sufficiently engaging to generate visual experience while remaining tolerable in individuals with depressive symptoms. The first 10 sessions each lasted 2 minutes and were divided into four 30-second sections. Each session manipulated one parameter family using a staircase-like progression: </w:t>
      </w:r>
      <w:r w:rsidDel="00000000" w:rsidR="00000000" w:rsidRPr="00000000">
        <w:rPr>
          <w:rtl w:val="0"/>
        </w:rPr>
        <w:t xml:space="preserve">RX1 output</w:t>
      </w:r>
      <w:r w:rsidDel="00000000" w:rsidR="00000000" w:rsidRPr="00000000">
        <w:rPr>
          <w:rFonts w:ascii="Palatino Linotype" w:cs="Palatino Linotype" w:eastAsia="Palatino Linotype" w:hAnsi="Palatino Linotype"/>
          <w:rtl w:val="0"/>
        </w:rPr>
        <w:t xml:space="preserve">, stimulation frequency, frequency shift, or duty cycle. The final session combined parameter families into a dynamic sequence.</w:t>
      </w:r>
    </w:p>
    <w:p w:rsidR="00000000" w:rsidDel="00000000" w:rsidP="00000000" w:rsidRDefault="00000000" w:rsidRPr="00000000" w14:paraId="0000003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probing range supported the programme's intended active stroboscopic band: it covered theta-to-alpha and immediately adjacent low-beta flicker rates likely to produce visible flicker and visual phenomenology, while remaining anchored to the safety rationale in Schwartzman et al., (2025). Seizure-provoking responses to intermittent photic stimulation cluster most consistently around ~15-25 Hz, and recommend that routine SLS protocols should generally remain at or below 15 Hz, with only minimal dwell time above this threshold where higher frequencies are used.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therefore tested the active range up to this conservative boundary, without entering the substantially faster wash-like regime used in the control sequences.</w:t>
      </w:r>
    </w:p>
    <w:p w:rsidR="00000000" w:rsidDel="00000000" w:rsidP="00000000" w:rsidRDefault="00000000" w:rsidRPr="00000000" w14:paraId="0000003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pStyle w:val="Heading2"/>
        <w:rPr/>
      </w:pPr>
      <w:bookmarkStart w:colFirst="0" w:colLast="0" w:name="_gt1425ruvq0k" w:id="13"/>
      <w:bookmarkEnd w:id="13"/>
      <w:r w:rsidDel="00000000" w:rsidR="00000000" w:rsidRPr="00000000">
        <w:rPr>
          <w:rtl w:val="0"/>
        </w:rPr>
        <w:t xml:space="preserve">S4. Study 1 Safety, VDQ, and Acute Symptom Monitoring </w:t>
      </w:r>
    </w:p>
    <w:p w:rsidR="00000000" w:rsidDel="00000000" w:rsidP="00000000" w:rsidRDefault="00000000" w:rsidRPr="00000000" w14:paraId="0000003C">
      <w:pPr>
        <w:pStyle w:val="Heading3"/>
        <w:rPr/>
      </w:pPr>
      <w:bookmarkStart w:colFirst="0" w:colLast="0" w:name="_oepsob9fopop" w:id="14"/>
      <w:bookmarkEnd w:id="14"/>
      <w:r w:rsidDel="00000000" w:rsidR="00000000" w:rsidRPr="00000000">
        <w:rPr>
          <w:b w:val="1"/>
          <w:bCs w:val="1"/>
          <w:rtl w:val="0"/>
        </w:rPr>
        <w:t xml:space="preserve">Full Side-Effect Frequency/Severity Table</w:t>
      </w:r>
      <w:r w:rsidDel="00000000" w:rsidR="00000000" w:rsidRPr="00000000">
        <w:rPr>
          <w:rtl w:val="0"/>
        </w:rPr>
        <w:t xml:space="preserve"> </w:t>
      </w:r>
    </w:p>
    <w:p w:rsidR="00000000" w:rsidDel="00000000" w:rsidP="00000000" w:rsidRDefault="00000000" w:rsidRPr="00000000" w14:paraId="0000003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Side-effect frequency was summarised at both the participant and session levels. For each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session, participants first indicated whether any side effects had occurred. If they endorsed side effects, individual symptoms from the Visual Discomfort Questionnaire were recorded, and a 0–10 tolerability/discomfort score was collected. Sessions with no reported side effects were assigned a tolerability score of 0.</w:t>
      </w:r>
    </w:p>
    <w:p w:rsidR="00000000" w:rsidDel="00000000" w:rsidP="00000000" w:rsidRDefault="00000000" w:rsidRPr="00000000" w14:paraId="0000003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F">
      <w:pPr>
        <w:pStyle w:val="Heading3"/>
        <w:rPr>
          <w:b w:val="1"/>
          <w:bCs w:val="1"/>
        </w:rPr>
      </w:pPr>
      <w:bookmarkStart w:colFirst="0" w:colLast="0" w:name="_1ae0xg8r8b9z" w:id="15"/>
      <w:bookmarkEnd w:id="15"/>
      <w:r w:rsidDel="00000000" w:rsidR="00000000" w:rsidRPr="00000000">
        <w:rPr>
          <w:b w:val="1"/>
          <w:bCs w:val="1"/>
          <w:rtl w:val="0"/>
        </w:rPr>
        <w:t xml:space="preserve">Open-Text Symptom Categories</w:t>
      </w:r>
    </w:p>
    <w:p w:rsidR="00000000" w:rsidDel="00000000" w:rsidP="00000000" w:rsidRDefault="00000000" w:rsidRPr="00000000" w14:paraId="0000004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most commonly reported structured VDQ side-effect categories were headache and pressure behind the eyes, each reported a total of 18 times, followed by urge to blink frequently and participant-defined “other” symptoms, each reported in 16 instances. Among the participant-defined open-text responses, the only recurring symptom category was “eyelid jumping”, reported in 10 sessions. Open-text reports were reviewed descriptively and grouped into recurring symptom categories where possible. Most open-text reports were idiosyncratic or occurred rarely. No open-text category met criteria for a severe adverse reaction; these reports were therefore interpreted as transient visual or ocular discomfort phenomena within the broader VDQ side-effect profile. </w:t>
      </w:r>
      <w:r w:rsidDel="00000000" w:rsidR="00000000" w:rsidRPr="00000000">
        <w:rPr>
          <w:rtl w:val="0"/>
        </w:rPr>
      </w:r>
    </w:p>
    <w:p w:rsidR="00000000" w:rsidDel="00000000" w:rsidP="00000000" w:rsidRDefault="00000000" w:rsidRPr="00000000" w14:paraId="00000041">
      <w:pPr>
        <w:pStyle w:val="Heading3"/>
        <w:rPr>
          <w:b w:val="1"/>
          <w:bCs w:val="1"/>
        </w:rPr>
      </w:pPr>
      <w:bookmarkStart w:colFirst="0" w:colLast="0" w:name="_nwwgy32hq3kc" w:id="16"/>
      <w:bookmarkEnd w:id="16"/>
      <w:r w:rsidDel="00000000" w:rsidR="00000000" w:rsidRPr="00000000">
        <w:rPr>
          <w:rtl w:val="0"/>
        </w:rPr>
      </w:r>
    </w:p>
    <w:p w:rsidR="00000000" w:rsidDel="00000000" w:rsidP="00000000" w:rsidRDefault="00000000" w:rsidRPr="00000000" w14:paraId="00000042">
      <w:pPr>
        <w:pStyle w:val="Heading3"/>
        <w:rPr>
          <w:b w:val="1"/>
          <w:bCs w:val="1"/>
        </w:rPr>
      </w:pPr>
      <w:bookmarkStart w:colFirst="0" w:colLast="0" w:name="_z9kfrjf85v9x" w:id="17"/>
      <w:bookmarkEnd w:id="17"/>
      <w:r w:rsidDel="00000000" w:rsidR="00000000" w:rsidRPr="00000000">
        <w:rPr>
          <w:rtl w:val="0"/>
        </w:rPr>
        <w:t xml:space="preserve">Study 1</w:t>
      </w:r>
      <w:r w:rsidDel="00000000" w:rsidR="00000000" w:rsidRPr="00000000">
        <w:rPr>
          <w:b w:val="1"/>
          <w:bCs w:val="1"/>
          <w:rtl w:val="0"/>
        </w:rPr>
        <w:t xml:space="preserve"> Baseline and End-of-Sequence Mood Checks</w:t>
      </w:r>
      <w:r w:rsidDel="00000000" w:rsidR="00000000" w:rsidRPr="00000000">
        <w:rPr>
          <w:rtl w:val="0"/>
        </w:rPr>
      </w:r>
    </w:p>
    <w:p w:rsidR="00000000" w:rsidDel="00000000" w:rsidP="00000000" w:rsidRDefault="00000000" w:rsidRPr="00000000" w14:paraId="0000004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Pre- and post-stimulation mood checks were summarised descriptively for PHQ-9, M3VAS mood/depression, M3VAS pleasure/anhedonia, and M3VAS suicidality. The expected denominator was defined as the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analysed sample: 31 participants with at least three valid session-level discomfort rows in the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Session Feedback file. Because the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Testing End file contained M3VAS change-rating fields rather than directly observed raw post-stimulation VAS scores, M3VAS post-stimulation values were estimated from baseline values and end-session change ratings. Baseline M3VAS items were coded from 0 = bad to 100 = good, while M3VAS_CHANGE items were coded from −50 = worse to +50 = better; estimated post-stimulation M3VAS scores were therefore computed as baseline + change rating. Positive M3VAS post-minus-pre changes therefore indicate improvement. These summaries are descriptive and should be interpreted cautiously because sample sizes differed across measures and timepoints. For more details, please see the attached Excel sheet, tab “</w:t>
      </w:r>
      <w:r w:rsidDel="00000000" w:rsidR="00000000" w:rsidRPr="00000000">
        <w:rPr>
          <w:b w:val="1"/>
          <w:bCs w:val="1"/>
          <w:rtl w:val="0"/>
        </w:rPr>
        <w:t xml:space="preserve">Study 1 Pre/Post Mood Comparisons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4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PHQ-9, baseline scores were available for 29/31 analysed participants. The mean baseline PHQ-9 score was 13.93 ± 3.00, with scores ranging from 7.00 to 19.00 and a 95% CI of [12.79, 15.07]. Among 25 participants with paired pre/post PHQ-9 data, mean PHQ-9 changed from 14.60 pre-stimulation to 13.32 post-stimulation, corresponding to a mean post-minus-pre change of −1.28 points (95% CI [−2.12, −0.44]; paired t = −3.151, p = 0.0043). Because lower PHQ-9 scores indicate fewer depressive symptoms, this pattern is consistent with a small descriptive reduction in depressive-symptom severity following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stimulation exposure.</w:t>
      </w:r>
    </w:p>
    <w:p w:rsidR="00000000" w:rsidDel="00000000" w:rsidP="00000000" w:rsidRDefault="00000000" w:rsidRPr="00000000" w14:paraId="0000004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 mood/depression, baseline scores were available for 28/31 analysed participants. The mean baseline score was 61.11 ± 15.53, with scores ranging from 19.00 to 87.00 and a 95% CI of [55.08, 67.13]. Among 22 participants with paired baseline and change-rating data, the mean estimated post-minus-pre change was +15.27 points (95% CI [8.84, 21.71]). Under the stated M3VAS coding, this positive change indicates improvement in mood/depression ratings following stimulation.</w:t>
      </w:r>
    </w:p>
    <w:p w:rsidR="00000000" w:rsidDel="00000000" w:rsidP="00000000" w:rsidRDefault="00000000" w:rsidRPr="00000000" w14:paraId="00000046">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 pleasure/anhedonia, baseline scores were available for 29/31 analysed participants. The mean baseline score was 51.38 ± 20.46, with scores ranging from 14.00 to 100.00 and a 95% CI of [43.60, 59.16]. Among 17 participants with paired baseline and change-rating data, the mean estimated post-minus-pre change was +5.00 points (95% CI [0.65, 9.35]). This indicates a smaller positive shift in pleasure/anhedonia ratings relative to the mood/depression item.</w:t>
      </w:r>
    </w:p>
    <w:p w:rsidR="00000000" w:rsidDel="00000000" w:rsidP="00000000" w:rsidRDefault="00000000" w:rsidRPr="00000000" w14:paraId="0000004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 suicidality, baseline scores were available for 29/31 analysed participants. The mean baseline score was 32.00 ± 23.80, with scores ranging from 0.00 to 68.00 and a 95% CI of [22.95, 41.05]. Among 21 participants with paired baseline and change-rating data, the mean estimated post-minus-pre change was +11.67 points (95% CI [4.33, 19.00]). Under the stated M3VAS coding, this positive change indicates improvement in the suicidality-related VAS rating, although the interpretation should remain cautious given the estimated-post scoring and variability in available paired data.</w:t>
      </w:r>
    </w:p>
    <w:p w:rsidR="00000000" w:rsidDel="00000000" w:rsidP="00000000" w:rsidRDefault="00000000" w:rsidRPr="00000000" w14:paraId="0000004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Overall, the descriptive pattern across PHQ-9 and M3VAS measures suggests acute improvement following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stimulation exposure, particularly for M3VAS mood/depression and suicidality-related ratings. However, these findings should not be interpreted as evidence of clinical efficacy.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was designed primarily to evaluate parameter-level safety and tolerability, the M3VAS post-stimulation values were estimated from change ratings rather than directly observed post-stimulation VAS scores, and complete-case denominators differed across measures.</w:t>
      </w:r>
    </w:p>
    <w:p w:rsidR="00000000" w:rsidDel="00000000" w:rsidP="00000000" w:rsidRDefault="00000000" w:rsidRPr="00000000" w14:paraId="00000049">
      <w:pPr>
        <w:pStyle w:val="Heading3"/>
        <w:rPr>
          <w:b w:val="1"/>
          <w:bCs w:val="1"/>
        </w:rPr>
      </w:pPr>
      <w:bookmarkStart w:colFirst="0" w:colLast="0" w:name="_6r8v84n0c1ut" w:id="18"/>
      <w:bookmarkEnd w:id="18"/>
      <w:r w:rsidDel="00000000" w:rsidR="00000000" w:rsidRPr="00000000">
        <w:rPr>
          <w:rtl w:val="0"/>
        </w:rPr>
      </w:r>
    </w:p>
    <w:p w:rsidR="00000000" w:rsidDel="00000000" w:rsidP="00000000" w:rsidRDefault="00000000" w:rsidRPr="00000000" w14:paraId="0000004A">
      <w:pPr>
        <w:pStyle w:val="Heading3"/>
        <w:rPr>
          <w:b w:val="1"/>
          <w:bCs w:val="1"/>
        </w:rPr>
      </w:pPr>
      <w:bookmarkStart w:colFirst="0" w:colLast="0" w:name="_h8b7ve92u5v" w:id="19"/>
      <w:bookmarkEnd w:id="19"/>
      <w:r w:rsidDel="00000000" w:rsidR="00000000" w:rsidRPr="00000000">
        <w:rPr>
          <w:b w:val="1"/>
          <w:bCs w:val="1"/>
          <w:rtl w:val="0"/>
        </w:rPr>
        <w:t xml:space="preserve">Discontinuations or Exclusions</w:t>
      </w:r>
    </w:p>
    <w:p w:rsidR="00000000" w:rsidDel="00000000" w:rsidP="00000000" w:rsidRDefault="00000000" w:rsidRPr="00000000" w14:paraId="0000004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No severe adverse reactions occurred as a direct result of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stroboscopic stimulation. Severe adverse reactions were defined as events resulting in death, being life-threatening, or requiring hospitalisation. All predefined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safety criteria were met. </w:t>
      </w:r>
      <w:r w:rsidDel="00000000" w:rsidR="00000000" w:rsidRPr="00000000">
        <w:rPr>
          <w:rtl w:val="0"/>
        </w:rPr>
      </w:r>
    </w:p>
    <w:p w:rsidR="00000000" w:rsidDel="00000000" w:rsidP="00000000" w:rsidRDefault="00000000" w:rsidRPr="00000000" w14:paraId="0000004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D">
      <w:pPr>
        <w:pStyle w:val="Heading3"/>
        <w:rPr>
          <w:b w:val="1"/>
          <w:bCs w:val="1"/>
        </w:rPr>
      </w:pPr>
      <w:bookmarkStart w:colFirst="0" w:colLast="0" w:name="_f8r005pwmqi1" w:id="20"/>
      <w:bookmarkEnd w:id="20"/>
      <w:r w:rsidDel="00000000" w:rsidR="00000000" w:rsidRPr="00000000">
        <w:rPr>
          <w:b w:val="1"/>
          <w:bCs w:val="1"/>
          <w:rtl w:val="0"/>
        </w:rPr>
        <w:t xml:space="preserve">One-Sided Upper 80% Confidence Limits</w:t>
      </w:r>
    </w:p>
    <w:p w:rsidR="00000000" w:rsidDel="00000000" w:rsidP="00000000" w:rsidRDefault="00000000" w:rsidRPr="00000000" w14:paraId="0000004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primary tolerability criterion was evaluated using one-sided upper 80% confidence limits around session-level mean discomfort scores. For each session, the upper confidence limit was calculated as mean + z × SE, where z = 0.8416 for an upper 80% one-sided normal approximation. A session met the tolerability criterion if the upper 80% confidence limit remained below 7 out of 10.</w:t>
      </w:r>
    </w:p>
    <w:p w:rsidR="00000000" w:rsidDel="00000000" w:rsidP="00000000" w:rsidRDefault="00000000" w:rsidRPr="00000000" w14:paraId="0000004F">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all 11 sessions met this predefined tolerability criterion. Across sessions, mean discomfort scores ranged from 0.16 to 0.84 out of 10, and the corresponding upper one-sided 80% confidence limits ranged from 0.25 to 1.13. The highest upper confidence limit was observed in Session 1 and remained far below the prespecified threshold. No session produced discontinuations based on discomfort scores exceeding the threshold.</w:t>
      </w:r>
    </w:p>
    <w:p w:rsidR="00000000" w:rsidDel="00000000" w:rsidP="00000000" w:rsidRDefault="00000000" w:rsidRPr="00000000" w14:paraId="00000050">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1">
      <w:pPr>
        <w:pStyle w:val="Heading2"/>
        <w:rPr>
          <w:rFonts w:ascii="Palatino Linotype" w:cs="Palatino Linotype" w:eastAsia="Palatino Linotype" w:hAnsi="Palatino Linotype"/>
          <w:b w:val="1"/>
          <w:bCs w:val="1"/>
        </w:rPr>
      </w:pPr>
      <w:bookmarkStart w:colFirst="0" w:colLast="0" w:name="_f0hcqfc2a2jh" w:id="21"/>
      <w:bookmarkEnd w:id="21"/>
      <w:r w:rsidDel="00000000" w:rsidR="00000000" w:rsidRPr="00000000">
        <w:rPr>
          <w:rtl w:val="0"/>
        </w:rPr>
        <w:t xml:space="preserve">S5. Strobe-Emphasis and Wash-Emphasis SLS Construction </w:t>
      </w:r>
      <w:r w:rsidDel="00000000" w:rsidR="00000000" w:rsidRPr="00000000">
        <w:rPr>
          <w:rtl w:val="0"/>
        </w:rPr>
      </w:r>
    </w:p>
    <w:p w:rsidR="00000000" w:rsidDel="00000000" w:rsidP="00000000" w:rsidRDefault="00000000" w:rsidRPr="00000000" w14:paraId="00000052">
      <w:pPr>
        <w:pStyle w:val="Heading3"/>
        <w:rPr/>
      </w:pPr>
      <w:bookmarkStart w:colFirst="0" w:colLast="0" w:name="_y24o32vpnwjr" w:id="22"/>
      <w:bookmarkEnd w:id="22"/>
      <w:r w:rsidDel="00000000" w:rsidR="00000000" w:rsidRPr="00000000">
        <w:rPr>
          <w:rtl w:val="0"/>
        </w:rPr>
        <w:t xml:space="preserve">Study 3</w:t>
      </w:r>
      <w:r w:rsidDel="00000000" w:rsidR="00000000" w:rsidRPr="00000000">
        <w:rPr>
          <w:rtl w:val="0"/>
        </w:rPr>
        <w:t xml:space="preserve"> SLS Parameters and Sequence Construction</w:t>
      </w:r>
    </w:p>
    <w:p w:rsidR="00000000" w:rsidDel="00000000" w:rsidP="00000000" w:rsidRDefault="00000000" w:rsidRPr="00000000" w14:paraId="0000005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Specifics surrounding the SLS parameters and sequence justification logic can be found in the accompanying Excel sheet, tabs “</w:t>
      </w:r>
      <w:r w:rsidDel="00000000" w:rsidR="00000000" w:rsidRPr="00000000">
        <w:rPr>
          <w:b w:val="1"/>
          <w:bCs w:val="1"/>
          <w:rtl w:val="0"/>
        </w:rPr>
        <w:t xml:space="preserve">Parameter Bins</w:t>
      </w:r>
      <w:r w:rsidDel="00000000" w:rsidR="00000000" w:rsidRPr="00000000">
        <w:rPr>
          <w:rFonts w:ascii="Palatino Linotype" w:cs="Palatino Linotype" w:eastAsia="Palatino Linotype" w:hAnsi="Palatino Linotype"/>
          <w:rtl w:val="0"/>
        </w:rPr>
        <w:t xml:space="preserve">”, “</w:t>
      </w:r>
      <w:r w:rsidDel="00000000" w:rsidR="00000000" w:rsidRPr="00000000">
        <w:rPr>
          <w:b w:val="1"/>
          <w:bCs w:val="1"/>
          <w:rtl w:val="0"/>
        </w:rPr>
        <w:t xml:space="preserve">Sonata Form Structure</w:t>
      </w:r>
      <w:r w:rsidDel="00000000" w:rsidR="00000000" w:rsidRPr="00000000">
        <w:rPr>
          <w:rFonts w:ascii="Palatino Linotype" w:cs="Palatino Linotype" w:eastAsia="Palatino Linotype" w:hAnsi="Palatino Linotype"/>
          <w:rtl w:val="0"/>
        </w:rPr>
        <w:t xml:space="preserve">”, “</w:t>
      </w:r>
      <w:r w:rsidDel="00000000" w:rsidR="00000000" w:rsidRPr="00000000">
        <w:rPr>
          <w:b w:val="1"/>
          <w:bCs w:val="1"/>
          <w:rtl w:val="0"/>
        </w:rPr>
        <w:t xml:space="preserve">Sequence Construction</w:t>
      </w:r>
      <w:r w:rsidDel="00000000" w:rsidR="00000000" w:rsidRPr="00000000">
        <w:rPr>
          <w:rFonts w:ascii="Palatino Linotype" w:cs="Palatino Linotype" w:eastAsia="Palatino Linotype" w:hAnsi="Palatino Linotype"/>
          <w:rtl w:val="0"/>
        </w:rPr>
        <w:t xml:space="preserve">”, and “</w:t>
      </w:r>
      <w:r w:rsidDel="00000000" w:rsidR="00000000" w:rsidRPr="00000000">
        <w:rPr>
          <w:b w:val="1"/>
          <w:bCs w:val="1"/>
          <w:rtl w:val="0"/>
        </w:rPr>
        <w:t xml:space="preserve">Study 3 Parameters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5">
      <w:pPr>
        <w:pStyle w:val="Heading3"/>
        <w:rPr/>
      </w:pPr>
      <w:bookmarkStart w:colFirst="0" w:colLast="0" w:name="_k3z6sd9uxwu1" w:id="23"/>
      <w:bookmarkEnd w:id="23"/>
      <w:r w:rsidDel="00000000" w:rsidR="00000000" w:rsidRPr="00000000">
        <w:rPr>
          <w:rtl w:val="0"/>
        </w:rPr>
        <w:t xml:space="preserve">Study 3</w:t>
      </w:r>
      <w:r w:rsidDel="00000000" w:rsidR="00000000" w:rsidRPr="00000000">
        <w:rPr>
          <w:rtl w:val="0"/>
        </w:rPr>
        <w:t xml:space="preserve"> Construction</w:t>
      </w:r>
      <w:r w:rsidDel="00000000" w:rsidR="00000000" w:rsidRPr="00000000">
        <w:rPr>
          <w:rtl w:val="0"/>
        </w:rPr>
      </w:r>
    </w:p>
    <w:p w:rsidR="00000000" w:rsidDel="00000000" w:rsidP="00000000" w:rsidRDefault="00000000" w:rsidRPr="00000000" w14:paraId="0000005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t>
      </w:r>
      <w:r w:rsidDel="00000000" w:rsidR="00000000" w:rsidRPr="00000000">
        <w:rPr>
          <w:rtl w:val="0"/>
        </w:rPr>
        <w:t xml:space="preserve">Study 3 SLS sequence</w:t>
      </w:r>
      <w:r w:rsidDel="00000000" w:rsidR="00000000" w:rsidRPr="00000000">
        <w:rPr>
          <w:rFonts w:ascii="Palatino Linotype" w:cs="Palatino Linotype" w:eastAsia="Palatino Linotype" w:hAnsi="Palatino Linotype"/>
          <w:rtl w:val="0"/>
        </w:rPr>
        <w:t xml:space="preserve"> was constructed from a set of dynamic stroboscopic sequences whose overall organisation was modelled on the structure of classical sonata form. </w:t>
      </w:r>
      <w:r w:rsidDel="00000000" w:rsidR="00000000" w:rsidRPr="00000000">
        <w:rPr>
          <w:rFonts w:ascii="Palatino Linotype" w:cs="Palatino Linotype" w:eastAsia="Palatino Linotype" w:hAnsi="Palatino Linotype"/>
          <w:rtl w:val="0"/>
        </w:rPr>
        <w:t xml:space="preserve">Five source works were used as structural templates: Mozart K.545 in C major, Schubert D.960 in B-flat major, Beethoven Op.13 Pathétique, Beethoven Op.53 Waldstein, and Beethoven Op.27 No.2 Moonlight. Each source sequence was translated into a dynamic stroboscopic time series designed to include a gradual opening, a more intense middle/developmental portion, and a resolving final portion.</w:t>
      </w:r>
      <w:r w:rsidDel="00000000" w:rsidR="00000000" w:rsidRPr="00000000">
        <w:rPr>
          <w:rtl w:val="0"/>
        </w:rPr>
      </w:r>
    </w:p>
    <w:p w:rsidR="00000000" w:rsidDel="00000000" w:rsidP="00000000" w:rsidRDefault="00000000" w:rsidRPr="00000000" w14:paraId="0000005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the construction scripts, the roXiva/RX1 sequence format was implemented using four oscillator channels. Helper functions generated LED assignments, formatted oscillator-specific STP lines, and exported full stimulation scripts with explicit duration, frequency, duty-cycle, </w:t>
      </w:r>
      <w:r w:rsidDel="00000000" w:rsidR="00000000" w:rsidRPr="00000000">
        <w:rPr>
          <w:rtl w:val="0"/>
        </w:rPr>
        <w:t xml:space="preserve">RX1 output</w:t>
      </w:r>
      <w:r w:rsidDel="00000000" w:rsidR="00000000" w:rsidRPr="00000000">
        <w:rPr>
          <w:rFonts w:ascii="Palatino Linotype" w:cs="Palatino Linotype" w:eastAsia="Palatino Linotype" w:hAnsi="Palatino Linotype"/>
          <w:rtl w:val="0"/>
        </w:rPr>
        <w:t xml:space="preserve">, and LED-assignment fields. In the dual-group sequence format, OSC1–OSC2 used one parameter pair and OSC3–OSC4 used a second parameter pair, allowing active stroboscopic and wash-light components to be specified separately.</w:t>
      </w:r>
    </w:p>
    <w:p w:rsidR="00000000" w:rsidDel="00000000" w:rsidP="00000000" w:rsidRDefault="00000000" w:rsidRPr="00000000" w14:paraId="0000005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Active </w:t>
      </w:r>
      <w:r w:rsidDel="00000000" w:rsidR="00000000" w:rsidRPr="00000000">
        <w:rPr>
          <w:rtl w:val="0"/>
        </w:rPr>
        <w:t xml:space="preserve">SLS</w:t>
      </w:r>
      <w:r w:rsidDel="00000000" w:rsidR="00000000" w:rsidRPr="00000000">
        <w:rPr>
          <w:rFonts w:ascii="Palatino Linotype" w:cs="Palatino Linotype" w:eastAsia="Palatino Linotype" w:hAnsi="Palatino Linotype"/>
          <w:rtl w:val="0"/>
        </w:rPr>
        <w:t xml:space="preserve"> flicker was constrained to the 3–15 Hz band, with duty cycle and </w:t>
      </w:r>
      <w:r w:rsidDel="00000000" w:rsidR="00000000" w:rsidRPr="00000000">
        <w:rPr>
          <w:rtl w:val="0"/>
        </w:rPr>
        <w:t xml:space="preserve">RX1 output</w:t>
      </w:r>
      <w:r w:rsidDel="00000000" w:rsidR="00000000" w:rsidRPr="00000000">
        <w:rPr>
          <w:rFonts w:ascii="Palatino Linotype" w:cs="Palatino Linotype" w:eastAsia="Palatino Linotype" w:hAnsi="Palatino Linotype"/>
          <w:rtl w:val="0"/>
        </w:rPr>
        <w:t xml:space="preserve"> varying dynamically across the sequence. Wash phases were specified using 60 Hz stimulation, and dark phases were specified by setting </w:t>
      </w:r>
      <w:r w:rsidDel="00000000" w:rsidR="00000000" w:rsidRPr="00000000">
        <w:rPr>
          <w:rtl w:val="0"/>
        </w:rPr>
        <w:t xml:space="preserve">brightness</w:t>
      </w:r>
      <w:r w:rsidDel="00000000" w:rsidR="00000000" w:rsidRPr="00000000">
        <w:rPr>
          <w:rFonts w:ascii="Palatino Linotype" w:cs="Palatino Linotype" w:eastAsia="Palatino Linotype" w:hAnsi="Palatino Linotype"/>
          <w:rtl w:val="0"/>
        </w:rPr>
        <w:t xml:space="preserve"> values to 0. </w:t>
      </w:r>
    </w:p>
    <w:p w:rsidR="00000000" w:rsidDel="00000000" w:rsidP="00000000" w:rsidRDefault="00000000" w:rsidRPr="00000000" w14:paraId="0000005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660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S5.1. </w:t>
      </w:r>
      <w:r w:rsidDel="00000000" w:rsidR="00000000" w:rsidRPr="00000000">
        <w:rPr>
          <w:b w:val="1"/>
          <w:bCs w:val="1"/>
          <w:sz w:val="22"/>
          <w:szCs w:val="22"/>
          <w:rtl w:val="0"/>
        </w:rPr>
        <w:t xml:space="preserve">SLS-emphasis</w:t>
      </w:r>
      <w:r w:rsidDel="00000000" w:rsidR="00000000" w:rsidRPr="00000000">
        <w:rPr>
          <w:rFonts w:ascii="Palatino Linotype" w:cs="Palatino Linotype" w:eastAsia="Palatino Linotype" w:hAnsi="Palatino Linotype"/>
          <w:b w:val="1"/>
          <w:bCs w:val="1"/>
          <w:sz w:val="22"/>
          <w:szCs w:val="22"/>
          <w:rtl w:val="0"/>
        </w:rPr>
        <w:t xml:space="preserve"> stimulus sequence used in </w:t>
      </w:r>
      <w:r w:rsidDel="00000000" w:rsidR="00000000" w:rsidRPr="00000000">
        <w:rPr>
          <w:b w:val="1"/>
          <w:bCs w:val="1"/>
          <w:sz w:val="22"/>
          <w:szCs w:val="22"/>
          <w:rtl w:val="0"/>
        </w:rPr>
        <w:t xml:space="preserve">Study 3</w:t>
      </w:r>
      <w:r w:rsidDel="00000000" w:rsidR="00000000" w:rsidRPr="00000000">
        <w:rPr>
          <w:rFonts w:ascii="Palatino Linotype" w:cs="Palatino Linotype" w:eastAsia="Palatino Linotype" w:hAnsi="Palatino Linotype"/>
          <w:sz w:val="22"/>
          <w:szCs w:val="22"/>
          <w:rtl w:val="0"/>
        </w:rPr>
        <w:t xml:space="preserve">. The plot shows the programmed time-varying stimulation profile across the session. The blue line denotes flicker frequency (Hz; left y-axis), the red line denotes duty cycle (%; right y-axis), and the green line denotes </w:t>
      </w:r>
      <w:r w:rsidDel="00000000" w:rsidR="00000000" w:rsidRPr="00000000">
        <w:rPr>
          <w:sz w:val="22"/>
          <w:szCs w:val="22"/>
          <w:rtl w:val="0"/>
        </w:rPr>
        <w:t xml:space="preserve">RX1 output</w:t>
      </w:r>
      <w:r w:rsidDel="00000000" w:rsidR="00000000" w:rsidRPr="00000000">
        <w:rPr>
          <w:rFonts w:ascii="Palatino Linotype" w:cs="Palatino Linotype" w:eastAsia="Palatino Linotype" w:hAnsi="Palatino Linotype"/>
          <w:sz w:val="22"/>
          <w:szCs w:val="22"/>
          <w:rtl w:val="0"/>
        </w:rPr>
        <w:t xml:space="preserve"> (%; right y-axis). Vertical guide lines mark programmed sequence boundaries or transition points. The intervention sequence was designed to maintain perceptually engaging closed-eye stroboscopic stimulation within the active parameter range selected from </w:t>
      </w:r>
      <w:r w:rsidDel="00000000" w:rsidR="00000000" w:rsidRPr="00000000">
        <w:rPr>
          <w:sz w:val="22"/>
          <w:szCs w:val="22"/>
          <w:rtl w:val="0"/>
        </w:rPr>
        <w:t xml:space="preserve">Study 1</w:t>
      </w:r>
      <w:r w:rsidDel="00000000" w:rsidR="00000000" w:rsidRPr="00000000">
        <w:rPr>
          <w:rFonts w:ascii="Palatino Linotype" w:cs="Palatino Linotype" w:eastAsia="Palatino Linotype" w:hAnsi="Palatino Linotype"/>
          <w:sz w:val="22"/>
          <w:szCs w:val="22"/>
          <w:rtl w:val="0"/>
        </w:rPr>
        <w:t xml:space="preserve">, while varying frequency, duty cycle and luminance to support sustained visual phenomenology and tolerability.</w:t>
      </w:r>
      <w:r w:rsidDel="00000000" w:rsidR="00000000" w:rsidRPr="00000000">
        <w:rPr>
          <w:rtl w:val="0"/>
        </w:rPr>
      </w:r>
    </w:p>
    <w:p w:rsidR="00000000" w:rsidDel="00000000" w:rsidP="00000000" w:rsidRDefault="00000000" w:rsidRPr="00000000" w14:paraId="0000005B">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5C">
      <w:pPr>
        <w:pStyle w:val="Heading3"/>
        <w:rPr/>
      </w:pPr>
      <w:bookmarkStart w:colFirst="0" w:colLast="0" w:name="_gjo98gs4rkpn" w:id="24"/>
      <w:bookmarkEnd w:id="24"/>
      <w:r w:rsidDel="00000000" w:rsidR="00000000" w:rsidRPr="00000000">
        <w:rPr>
          <w:rtl w:val="0"/>
        </w:rPr>
        <w:t xml:space="preserve">Low-Phenomenology Control Construction</w:t>
      </w:r>
    </w:p>
    <w:p w:rsidR="00000000" w:rsidDel="00000000" w:rsidP="00000000" w:rsidRDefault="00000000" w:rsidRPr="00000000" w14:paraId="0000005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t>
      </w:r>
      <w:r w:rsidDel="00000000" w:rsidR="00000000" w:rsidRPr="00000000">
        <w:rPr>
          <w:rtl w:val="0"/>
        </w:rPr>
        <w:t xml:space="preserve">wash-emphasis SLS configuration</w:t>
      </w:r>
      <w:r w:rsidDel="00000000" w:rsidR="00000000" w:rsidRPr="00000000">
        <w:rPr>
          <w:rFonts w:ascii="Palatino Linotype" w:cs="Palatino Linotype" w:eastAsia="Palatino Linotype" w:hAnsi="Palatino Linotype"/>
          <w:rtl w:val="0"/>
        </w:rPr>
        <w:t xml:space="preserve"> was designed to preserve overall session structure, luminance context, timing, and device interaction while reducing the vivid stroboscopic phenomenology expected from the intervention. Rather than using an inert no-light or constant-light control,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retained visible light stimulation and matched the broad temporal architecture of the active sequence. The key manipulation was the relative balance between active flicker and wash-light components: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emphasised active stroboscopic flicker against a lower wash component, whereas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increased the relative wash-light contribution and reduced the phenomenology-generating flicker contribution. This design was intended to improve comparator credibility and support operational masking while producing a lower-phenomenology comparison condition.</w:t>
      </w:r>
    </w:p>
    <w:p w:rsidR="00000000" w:rsidDel="00000000" w:rsidP="00000000" w:rsidRDefault="00000000" w:rsidRPr="00000000" w14:paraId="0000005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66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S5.2. </w:t>
      </w:r>
      <w:r w:rsidDel="00000000" w:rsidR="00000000" w:rsidRPr="00000000">
        <w:rPr>
          <w:b w:val="1"/>
          <w:bCs w:val="1"/>
          <w:sz w:val="22"/>
          <w:szCs w:val="22"/>
          <w:rtl w:val="0"/>
        </w:rPr>
        <w:t xml:space="preserve">Wash-emphasis SLS</w:t>
      </w:r>
      <w:r w:rsidDel="00000000" w:rsidR="00000000" w:rsidRPr="00000000">
        <w:rPr>
          <w:rFonts w:ascii="Palatino Linotype" w:cs="Palatino Linotype" w:eastAsia="Palatino Linotype" w:hAnsi="Palatino Linotype"/>
          <w:b w:val="1"/>
          <w:bCs w:val="1"/>
          <w:sz w:val="22"/>
          <w:szCs w:val="22"/>
          <w:rtl w:val="0"/>
        </w:rPr>
        <w:t xml:space="preserve"> stimulus sequence used in </w:t>
      </w:r>
      <w:r w:rsidDel="00000000" w:rsidR="00000000" w:rsidRPr="00000000">
        <w:rPr>
          <w:b w:val="1"/>
          <w:bCs w:val="1"/>
          <w:sz w:val="22"/>
          <w:szCs w:val="22"/>
          <w:rtl w:val="0"/>
        </w:rPr>
        <w:t xml:space="preserve">Study 3</w:t>
      </w:r>
      <w:r w:rsidDel="00000000" w:rsidR="00000000" w:rsidRPr="00000000">
        <w:rPr>
          <w:rFonts w:ascii="Palatino Linotype" w:cs="Palatino Linotype" w:eastAsia="Palatino Linotype" w:hAnsi="Palatino Linotype"/>
          <w:b w:val="1"/>
          <w:bCs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The plot shows the programmed time-varying stimulation profile across the session. The blue line denotes flicker frequency (Hz; left y-axis), the red line denotes duty cycle (%; right y-axis), and the green line denotes</w:t>
      </w:r>
      <w:r w:rsidDel="00000000" w:rsidR="00000000" w:rsidRPr="00000000">
        <w:rPr>
          <w:sz w:val="22"/>
          <w:szCs w:val="22"/>
          <w:rtl w:val="0"/>
        </w:rPr>
        <w:t xml:space="preserve"> RX1 output</w:t>
      </w:r>
      <w:r w:rsidDel="00000000" w:rsidR="00000000" w:rsidRPr="00000000">
        <w:rPr>
          <w:rFonts w:ascii="Palatino Linotype" w:cs="Palatino Linotype" w:eastAsia="Palatino Linotype" w:hAnsi="Palatino Linotype"/>
          <w:sz w:val="22"/>
          <w:szCs w:val="22"/>
          <w:rtl w:val="0"/>
        </w:rPr>
        <w:t xml:space="preserve"> (%; right y-axis). Vertical guide lines mark programmed sequence boundaries or transition points. The control sequence was designed to preserve the overall session structure and programmed parameter timing while using low-intensity settings intended to minimise visual phenomenology and maintain tolerability.</w:t>
      </w:r>
    </w:p>
    <w:p w:rsidR="00000000" w:rsidDel="00000000" w:rsidP="00000000" w:rsidRDefault="00000000" w:rsidRPr="00000000" w14:paraId="0000006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1">
      <w:pPr>
        <w:pStyle w:val="Heading3"/>
        <w:rPr/>
      </w:pPr>
      <w:bookmarkStart w:colFirst="0" w:colLast="0" w:name="_nr3wq66attoq" w:id="25"/>
      <w:bookmarkEnd w:id="25"/>
      <w:r w:rsidDel="00000000" w:rsidR="00000000" w:rsidRPr="00000000">
        <w:rPr>
          <w:rtl w:val="0"/>
        </w:rPr>
        <w:t xml:space="preserve">Study 2</w:t>
      </w:r>
      <w:r w:rsidDel="00000000" w:rsidR="00000000" w:rsidRPr="00000000">
        <w:rPr>
          <w:rtl w:val="0"/>
        </w:rPr>
        <w:t xml:space="preserve"> Condensed Sequences and DTW Fidelity</w:t>
      </w:r>
    </w:p>
    <w:p w:rsidR="00000000" w:rsidDel="00000000" w:rsidP="00000000" w:rsidRDefault="00000000" w:rsidRPr="00000000" w14:paraId="0000006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full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w:t>
      </w:r>
      <w:r w:rsidDel="00000000" w:rsidR="00000000" w:rsidRPr="00000000">
        <w:rPr>
          <w:rtl w:val="0"/>
        </w:rPr>
        <w:t xml:space="preserve">strobe-emphasis and wash-emphasis SLS </w:t>
      </w:r>
      <w:r w:rsidDel="00000000" w:rsidR="00000000" w:rsidRPr="00000000">
        <w:rPr>
          <w:rFonts w:ascii="Palatino Linotype" w:cs="Palatino Linotype" w:eastAsia="Palatino Linotype" w:hAnsi="Palatino Linotype"/>
          <w:rtl w:val="0"/>
        </w:rPr>
        <w:t xml:space="preserve">sequences were approximately 30 minutes long, so the interim study required shorter versions that could be administered in a within-participant calibration design. Condensed versions were therefore generated to preserve the proportional representation, temporal density, and parameter structure of the longer intervention and control sequences. Candidate subsections were selected to minimise deviations from the full-sequence frequency and luminance centroids while preserving segmental variability and avoiding abrupt transitions at segment boundaries. </w:t>
      </w:r>
    </w:p>
    <w:p w:rsidR="00000000" w:rsidDel="00000000" w:rsidP="00000000" w:rsidRDefault="00000000" w:rsidRPr="00000000" w14:paraId="0000006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Fidelity between the original and condensed sequences was evaluated using Dynamic Time Warping (DTW), a trajectory-alignment method for comparing time series of different lengths. DTW was used to align the full and condensed parameter trajectories and quantify the accumulated deviation between them. Segment-level DTW values were normalised by the length of the corresponding original segment, and total deviation was summarised using a length-weighted average across segments. Wash-ramp and dark phases were excluded from these comparisons so that the DTW analysis focused on the active phenomenology-relevant portions of the sequence. </w:t>
      </w:r>
    </w:p>
    <w:p w:rsidR="00000000" w:rsidDel="00000000" w:rsidP="00000000" w:rsidRDefault="00000000" w:rsidRPr="00000000" w14:paraId="0000006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5">
      <w:pPr>
        <w:pStyle w:val="Heading3"/>
        <w:rPr/>
      </w:pPr>
      <w:bookmarkStart w:colFirst="0" w:colLast="0" w:name="_okfq0heofpd6" w:id="26"/>
      <w:bookmarkEnd w:id="26"/>
      <w:r w:rsidDel="00000000" w:rsidR="00000000" w:rsidRPr="00000000">
        <w:rPr>
          <w:rtl w:val="0"/>
        </w:rPr>
        <w:t xml:space="preserve">Sonata Form Structure and Condensation Logic</w:t>
      </w:r>
      <w:r w:rsidDel="00000000" w:rsidR="00000000" w:rsidRPr="00000000">
        <w:rPr>
          <w:rtl w:val="0"/>
        </w:rPr>
      </w:r>
    </w:p>
    <w:p w:rsidR="00000000" w:rsidDel="00000000" w:rsidP="00000000" w:rsidRDefault="00000000" w:rsidRPr="00000000" w14:paraId="0000006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full sonata-form sequence structure, sequence-condensation logic, interim calibration checks, parameter bins, overall fidelity summary, and segment-level fidelity outputs are provided in the accompanying Excel workbook.</w:t>
      </w:r>
      <w:r w:rsidDel="00000000" w:rsidR="00000000" w:rsidRPr="00000000">
        <w:rPr>
          <w:rFonts w:ascii="Palatino Linotype" w:cs="Palatino Linotype" w:eastAsia="Palatino Linotype" w:hAnsi="Palatino Linotype"/>
          <w:rtl w:val="0"/>
        </w:rPr>
        <w:t xml:space="preserve"> Across all active segments, the condensed sequence showed a mean absolute frequency difference of 1.12 Hz (12.43%), a duty-cycle difference of 1.68 percentage points (2.89%), and a luminance difference of 4.23 percentage points (14.02%). Length-adjusted per-step Dynamic Time Warping (DTW) deviations were 0.320 Hz for frequency, 0.078 percentage points for duty cycle, and 0.470 percentage points for luminance.</w:t>
      </w:r>
    </w:p>
    <w:p w:rsidR="00000000" w:rsidDel="00000000" w:rsidP="00000000" w:rsidRDefault="00000000" w:rsidRPr="00000000" w14:paraId="0000006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Segment-level analyses indicated that the central peak segment was especially well preserved for frequency, with a full-sequence mean of 10.17 Hz and a condensed-sequence mean of 10.16 Hz. The largest relative segment-level deviation was observed for luminance in Segment B, with a relative difference of 22.04%. The smallest relative segment-level deviation was observed for frequency in the Peak segment, with a relative difference of 0.17%. Overall, these results indicate that the condensed interim-study sequence retained the central temporal and parametric features of the full-length candidate sequence while reducing the duration to a feasible calibration format. </w:t>
      </w:r>
      <w:r w:rsidDel="00000000" w:rsidR="00000000" w:rsidRPr="00000000">
        <w:rPr>
          <w:rtl w:val="0"/>
        </w:rPr>
      </w:r>
    </w:p>
    <w:p w:rsidR="00000000" w:rsidDel="00000000" w:rsidP="00000000" w:rsidRDefault="00000000" w:rsidRPr="00000000" w14:paraId="0000006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9">
      <w:pPr>
        <w:pStyle w:val="Heading2"/>
        <w:rPr/>
      </w:pPr>
      <w:bookmarkStart w:colFirst="0" w:colLast="0" w:name="_w2irrzw3w8uo" w:id="27"/>
      <w:bookmarkEnd w:id="27"/>
      <w:r w:rsidDel="00000000" w:rsidR="00000000" w:rsidRPr="00000000">
        <w:rPr>
          <w:rtl w:val="0"/>
        </w:rPr>
        <w:t xml:space="preserve">S6. Study 2 </w:t>
      </w:r>
    </w:p>
    <w:p w:rsidR="00000000" w:rsidDel="00000000" w:rsidP="00000000" w:rsidRDefault="00000000" w:rsidRPr="00000000" w14:paraId="0000006A">
      <w:pPr>
        <w:pStyle w:val="Heading3"/>
        <w:rPr/>
      </w:pPr>
      <w:bookmarkStart w:colFirst="0" w:colLast="0" w:name="_r4mzluob3akt" w:id="28"/>
      <w:bookmarkEnd w:id="28"/>
      <w:r w:rsidDel="00000000" w:rsidR="00000000" w:rsidRPr="00000000">
        <w:rPr>
          <w:b w:val="1"/>
          <w:bCs w:val="1"/>
          <w:rtl w:val="0"/>
        </w:rPr>
        <w:t xml:space="preserve">Recruitment and Eligibility</w:t>
      </w:r>
      <w:r w:rsidDel="00000000" w:rsidR="00000000" w:rsidRPr="00000000">
        <w:rPr>
          <w:rtl w:val="0"/>
        </w:rPr>
        <w:t xml:space="preserve"> </w:t>
      </w:r>
    </w:p>
    <w:p w:rsidR="00000000" w:rsidDel="00000000" w:rsidP="00000000" w:rsidRDefault="00000000" w:rsidRPr="00000000" w14:paraId="0000006B">
      <w:pPr>
        <w:spacing w:after="240" w:before="240" w:lineRule="auto"/>
        <w:rPr>
          <w:rFonts w:ascii="Palatino Linotype" w:cs="Palatino Linotype" w:eastAsia="Palatino Linotype" w:hAnsi="Palatino Linotype"/>
        </w:rPr>
      </w:pPr>
      <w:r w:rsidDel="00000000" w:rsidR="00000000" w:rsidRPr="00000000">
        <w:rPr>
          <w:rtl w:val="0"/>
        </w:rPr>
        <w:t xml:space="preserve">Study 2</w:t>
      </w:r>
      <w:r w:rsidDel="00000000" w:rsidR="00000000" w:rsidRPr="00000000">
        <w:rPr>
          <w:rFonts w:ascii="Palatino Linotype" w:cs="Palatino Linotype" w:eastAsia="Palatino Linotype" w:hAnsi="Palatino Linotype"/>
          <w:rtl w:val="0"/>
        </w:rPr>
        <w:t xml:space="preserve"> was conducted as a bridge study to test whether the </w:t>
      </w:r>
      <w:r w:rsidDel="00000000" w:rsidR="00000000" w:rsidRPr="00000000">
        <w:rPr>
          <w:rtl w:val="0"/>
        </w:rPr>
        <w:t xml:space="preserve">wash-emphasis SLS</w:t>
      </w:r>
      <w:r w:rsidDel="00000000" w:rsidR="00000000" w:rsidRPr="00000000">
        <w:rPr>
          <w:rFonts w:ascii="Palatino Linotype" w:cs="Palatino Linotype" w:eastAsia="Palatino Linotype" w:hAnsi="Palatino Linotype"/>
          <w:rtl w:val="0"/>
        </w:rPr>
        <w:t xml:space="preserve"> sequence reduced subjective visual experience relative to the </w:t>
      </w:r>
      <w:r w:rsidDel="00000000" w:rsidR="00000000" w:rsidRPr="00000000">
        <w:rPr>
          <w:rtl w:val="0"/>
        </w:rPr>
        <w:t xml:space="preserve">strobe-emphasis SLS</w:t>
      </w:r>
      <w:r w:rsidDel="00000000" w:rsidR="00000000" w:rsidRPr="00000000">
        <w:rPr>
          <w:rFonts w:ascii="Palatino Linotype" w:cs="Palatino Linotype" w:eastAsia="Palatino Linotype" w:hAnsi="Palatino Linotype"/>
          <w:rtl w:val="0"/>
        </w:rPr>
        <w:t xml:space="preserve"> sequence while preserving a credible stimulation context. The prescreening survey was opened 132 times between April 6, 2025 and April 17, 2025. For consistency with Figure 1 and the demographic workbook, the broad screened denominator was defined as 109 unique prescreening records. Within the operational recruitment funnel, 98 individuals completed an evaluable prescreening survey, 61 completed/evaluable prescreens passed screening, 40 booked a testing slot, and 33 attended testing. Exclusions included safety-screen failures, demographic or clinical exclusions, medication/supplement unfamiliarity, substance-use history, diagnostic confounds, and elevated trait anxiety (State-Trait Anxiety Inventory; STAI-Trait &gt;60).</w:t>
      </w:r>
    </w:p>
    <w:p w:rsidR="00000000" w:rsidDel="00000000" w:rsidP="00000000" w:rsidRDefault="00000000" w:rsidRPr="00000000" w14:paraId="0000006C">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D">
      <w:pPr>
        <w:pStyle w:val="Heading3"/>
        <w:rPr>
          <w:b w:val="1"/>
          <w:bCs w:val="1"/>
        </w:rPr>
      </w:pPr>
      <w:bookmarkStart w:colFirst="0" w:colLast="0" w:name="_wg0v26zhhcas" w:id="29"/>
      <w:bookmarkEnd w:id="29"/>
      <w:r w:rsidDel="00000000" w:rsidR="00000000" w:rsidRPr="00000000">
        <w:rPr>
          <w:b w:val="1"/>
          <w:bCs w:val="1"/>
          <w:rtl w:val="0"/>
        </w:rPr>
        <w:t xml:space="preserve">Final Tested and Analysed Denominators </w:t>
      </w:r>
    </w:p>
    <w:p w:rsidR="00000000" w:rsidDel="00000000" w:rsidP="00000000" w:rsidRDefault="00000000" w:rsidRPr="00000000" w14:paraId="0000006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final attended interim sample was n = 33. The analysed denominator for questionnaire-based analyses was n = 32, defined as the number of participants with valid condition-level Six-Dimensional Visual Hallucination Questionnaire (6D-VHQ) and four-item immediate experience-rating data after removal of incomplete or invalid rows.</w:t>
      </w:r>
      <w:r w:rsidDel="00000000" w:rsidR="00000000" w:rsidRPr="00000000">
        <w:rPr>
          <w:rtl w:val="0"/>
        </w:rPr>
      </w:r>
    </w:p>
    <w:p w:rsidR="00000000" w:rsidDel="00000000" w:rsidP="00000000" w:rsidRDefault="00000000" w:rsidRPr="00000000" w14:paraId="0000006F">
      <w:pPr>
        <w:pStyle w:val="Heading3"/>
        <w:rPr/>
      </w:pPr>
      <w:bookmarkStart w:colFirst="0" w:colLast="0" w:name="_sw05t9euntw0" w:id="30"/>
      <w:bookmarkEnd w:id="30"/>
      <w:r w:rsidDel="00000000" w:rsidR="00000000" w:rsidRPr="00000000">
        <w:rPr>
          <w:rtl w:val="0"/>
        </w:rPr>
      </w:r>
    </w:p>
    <w:p w:rsidR="00000000" w:rsidDel="00000000" w:rsidP="00000000" w:rsidRDefault="00000000" w:rsidRPr="00000000" w14:paraId="00000070">
      <w:pPr>
        <w:pStyle w:val="Heading3"/>
        <w:rPr>
          <w:b w:val="1"/>
          <w:bCs w:val="1"/>
        </w:rPr>
      </w:pPr>
      <w:bookmarkStart w:colFirst="0" w:colLast="0" w:name="_ze6a55tv8iwz" w:id="31"/>
      <w:bookmarkEnd w:id="31"/>
      <w:r w:rsidDel="00000000" w:rsidR="00000000" w:rsidRPr="00000000">
        <w:rPr>
          <w:b w:val="1"/>
          <w:bCs w:val="1"/>
          <w:rtl w:val="0"/>
        </w:rPr>
        <w:t xml:space="preserve">STAI Threshold</w:t>
      </w:r>
    </w:p>
    <w:p w:rsidR="00000000" w:rsidDel="00000000" w:rsidP="00000000" w:rsidRDefault="00000000" w:rsidRPr="00000000" w14:paraId="0000007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Trait anxiety was assessed during screening to reduce risk of distress or adverse experience in the normative bridge sample. </w:t>
      </w:r>
      <w:r w:rsidDel="00000000" w:rsidR="00000000" w:rsidRPr="00000000">
        <w:rPr>
          <w:rtl w:val="0"/>
        </w:rPr>
        <w:t xml:space="preserve">Study 2</w:t>
      </w:r>
      <w:r w:rsidDel="00000000" w:rsidR="00000000" w:rsidRPr="00000000">
        <w:rPr>
          <w:rFonts w:ascii="Palatino Linotype" w:cs="Palatino Linotype" w:eastAsia="Palatino Linotype" w:hAnsi="Palatino Linotype"/>
          <w:rtl w:val="0"/>
        </w:rPr>
        <w:t xml:space="preserve"> excluded participants with trait anxiety scores above the implemented threshold of 60, comprising five individuals. </w:t>
      </w:r>
    </w:p>
    <w:p w:rsidR="00000000" w:rsidDel="00000000" w:rsidP="00000000" w:rsidRDefault="00000000" w:rsidRPr="00000000" w14:paraId="00000072">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3">
      <w:pPr>
        <w:pStyle w:val="Heading3"/>
        <w:rPr>
          <w:b w:val="1"/>
          <w:bCs w:val="1"/>
        </w:rPr>
      </w:pPr>
      <w:bookmarkStart w:colFirst="0" w:colLast="0" w:name="_fychzvycwri2" w:id="32"/>
      <w:bookmarkEnd w:id="32"/>
      <w:r w:rsidDel="00000000" w:rsidR="00000000" w:rsidRPr="00000000">
        <w:rPr>
          <w:b w:val="1"/>
          <w:bCs w:val="1"/>
          <w:rtl w:val="0"/>
        </w:rPr>
        <w:t xml:space="preserve">6D-VHQ and 4EXP Analyses</w:t>
      </w:r>
    </w:p>
    <w:p w:rsidR="00000000" w:rsidDel="00000000" w:rsidP="00000000" w:rsidRDefault="00000000" w:rsidRPr="00000000" w14:paraId="0000007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Six-Dimensional Visual Hallucination Questionnaire (6D-VHQ) was scored across six dimensions: Geometric Content, Semantic Content, Detail, Vividness, Entropy, and Focality. Items 10, 11, 12, and 17 were reverse-scored using a 1-5 scale transformation before dimension scores were computed. Dimension scores were calculated as the mean of the three corresponding items for each participant and session. Condition was assigned using the study condition/sequence mapping for each session rather than raw session order.</w:t>
      </w:r>
    </w:p>
    <w:p w:rsidR="00000000" w:rsidDel="00000000" w:rsidP="00000000" w:rsidRDefault="00000000" w:rsidRPr="00000000" w14:paraId="0000007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primary interim analysis modelled 6D-VHQ scores as a function of condition using repeated-measures models with participant-level random intercepts. </w:t>
      </w:r>
      <w:r w:rsidDel="00000000" w:rsidR="00000000" w:rsidRPr="00000000">
        <w:rPr>
          <w:rtl w:val="0"/>
        </w:rPr>
        <w:t xml:space="preserve">Strobe-emphasis-minus-wash-emphasis-configuration</w:t>
      </w:r>
      <w:r w:rsidDel="00000000" w:rsidR="00000000" w:rsidRPr="00000000">
        <w:rPr>
          <w:rFonts w:ascii="Palatino Linotype" w:cs="Palatino Linotype" w:eastAsia="Palatino Linotype" w:hAnsi="Palatino Linotype"/>
          <w:rtl w:val="0"/>
        </w:rPr>
        <w:t xml:space="preserve"> paired mean differences were positive for Geometric Content (mean difference = 1.14, 95% CI [0.73, 1.54], p &lt; .001), Detail (1.05, 95% CI [0.60, 1.50], p &lt; .001), Vividness (0.97, 95% CI [0.54, 1.39], p &lt; .001), Focality (0.42, 95% CI [0.11, 0.73], p = .009), and Semantic Content (0.41, 95% CI [0.08, 0.75], p = .018). Entropy showed no clear condition difference (-0.04, 95% CI [-0.36, 0.29], p = .822).</w:t>
      </w:r>
    </w:p>
    <w:p w:rsidR="00000000" w:rsidDel="00000000" w:rsidP="00000000" w:rsidRDefault="00000000" w:rsidRPr="00000000" w14:paraId="0000007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Four-item immediate experience ratings (EXP4: pleasure, engagement, arousal, and discomfort) were analysed as exploratory subjective-response outcomes. The exploratory model was EXP4 score ~ Condition + (1 | Participant), with nondirectional p &lt; 0.05 tests.</w:t>
      </w:r>
    </w:p>
    <w:p w:rsidR="00000000" w:rsidDel="00000000" w:rsidP="00000000" w:rsidRDefault="00000000" w:rsidRPr="00000000" w14:paraId="0000007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8">
      <w:pPr>
        <w:pStyle w:val="Heading3"/>
        <w:rPr/>
      </w:pPr>
      <w:bookmarkStart w:colFirst="0" w:colLast="0" w:name="_d8h4veomkwj" w:id="33"/>
      <w:bookmarkEnd w:id="33"/>
      <w:r w:rsidDel="00000000" w:rsidR="00000000" w:rsidRPr="00000000">
        <w:rPr>
          <w:b w:val="1"/>
          <w:bCs w:val="1"/>
          <w:rtl w:val="0"/>
        </w:rPr>
        <w:t xml:space="preserve">Ranking Denominator</w:t>
      </w:r>
      <w:r w:rsidDel="00000000" w:rsidR="00000000" w:rsidRPr="00000000">
        <w:rPr>
          <w:rtl w:val="0"/>
        </w:rPr>
        <w:t xml:space="preserve"> </w:t>
      </w:r>
    </w:p>
    <w:p w:rsidR="00000000" w:rsidDel="00000000" w:rsidP="00000000" w:rsidRDefault="00000000" w:rsidRPr="00000000" w14:paraId="0000007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Visual-experience rankings were collected at the end of each testing block, after participants had completed one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one </w:t>
      </w:r>
      <w:r w:rsidDel="00000000" w:rsidR="00000000" w:rsidRPr="00000000">
        <w:rPr>
          <w:rtl w:val="0"/>
        </w:rPr>
        <w:t xml:space="preserve">wash-emphasis SLS </w:t>
      </w:r>
      <w:r w:rsidDel="00000000" w:rsidR="00000000" w:rsidRPr="00000000">
        <w:rPr>
          <w:rFonts w:ascii="Palatino Linotype" w:cs="Palatino Linotype" w:eastAsia="Palatino Linotype" w:hAnsi="Palatino Linotype"/>
          <w:rtl w:val="0"/>
        </w:rPr>
        <w:t xml:space="preserve">session. The ranking item asked which session in that block produced the greater visual experience. Because each participant completed two blocks, the maximum ranking denominator was two rankings per participant. Rankings were therefore analysed at the block level rather than the individual session-response level. In the analysed ranking dataset,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sessions were selected as producing the stronger visual experience in 46/64 binary rankings, compared with 18/64 rankings for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Because each participant contributed two rankings, this result is interpreted as a descriptive ranking-level check rather than a participant-level inferential test. Some participants may have interpreted the item as asking which session they preferred overall rather than which produced greater visual intensity; this is therefore treated as a limitation of the ranking measure.</w:t>
      </w:r>
    </w:p>
    <w:p w:rsidR="00000000" w:rsidDel="00000000" w:rsidP="00000000" w:rsidRDefault="00000000" w:rsidRPr="00000000" w14:paraId="0000007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B">
      <w:pPr>
        <w:pStyle w:val="Heading3"/>
        <w:rPr>
          <w:b w:val="1"/>
          <w:bCs w:val="1"/>
        </w:rPr>
      </w:pPr>
      <w:bookmarkStart w:colFirst="0" w:colLast="0" w:name="_ntbekqyjzrr9" w:id="34"/>
      <w:bookmarkEnd w:id="34"/>
      <w:r w:rsidDel="00000000" w:rsidR="00000000" w:rsidRPr="00000000">
        <w:rPr>
          <w:b w:val="1"/>
          <w:bCs w:val="1"/>
          <w:rtl w:val="0"/>
        </w:rPr>
        <w:t xml:space="preserve">Missing/Invalid Rankings</w:t>
      </w:r>
    </w:p>
    <w:p w:rsidR="00000000" w:rsidDel="00000000" w:rsidP="00000000" w:rsidRDefault="00000000" w:rsidRPr="00000000" w14:paraId="0000007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Ranking responses were considered valid only where both sessions in the corresponding block had been completed and the participant selected one of the two within-block sessions as producing the greater visual experience. Empty ranking fields outside the end-of-block row were not treated as missing, because the ranking question was administered only once per block. Invalid rankings were defined as responses outside the allowable within-block session codes, duplicate or ambiguous entries, or rankings from blocks with incomplete session data. The analysed ranking denominator therefore comprised valid block-level comparisons rather than all session-level rows.</w:t>
      </w:r>
    </w:p>
    <w:p w:rsidR="00000000" w:rsidDel="00000000" w:rsidP="00000000" w:rsidRDefault="00000000" w:rsidRPr="00000000" w14:paraId="0000007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E">
      <w:pPr>
        <w:pStyle w:val="Heading3"/>
        <w:rPr>
          <w:b w:val="1"/>
          <w:bCs w:val="1"/>
        </w:rPr>
      </w:pPr>
      <w:bookmarkStart w:colFirst="0" w:colLast="0" w:name="_2i9ykq5xzjvl" w:id="35"/>
      <w:bookmarkEnd w:id="35"/>
      <w:r w:rsidDel="00000000" w:rsidR="00000000" w:rsidRPr="00000000">
        <w:rPr>
          <w:b w:val="1"/>
          <w:bCs w:val="1"/>
          <w:rtl w:val="0"/>
        </w:rPr>
        <w:t xml:space="preserve">Block/Order Checks</w:t>
      </w:r>
    </w:p>
    <w:p w:rsidR="00000000" w:rsidDel="00000000" w:rsidP="00000000" w:rsidRDefault="00000000" w:rsidRPr="00000000" w14:paraId="0000007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t>
      </w:r>
      <w:r w:rsidDel="00000000" w:rsidR="00000000" w:rsidRPr="00000000">
        <w:rPr>
          <w:rtl w:val="0"/>
        </w:rPr>
        <w:t xml:space="preserve">Study 2</w:t>
      </w:r>
      <w:r w:rsidDel="00000000" w:rsidR="00000000" w:rsidRPr="00000000">
        <w:rPr>
          <w:rFonts w:ascii="Palatino Linotype" w:cs="Palatino Linotype" w:eastAsia="Palatino Linotype" w:hAnsi="Palatino Linotype"/>
          <w:rtl w:val="0"/>
        </w:rPr>
        <w:t xml:space="preserve"> design included two blocks of two randomised trials, with one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one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sequence in each block. Initial checks examined whether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sessions differed across blocks and whether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sessions differed across blocks. Where within-condition block differences were present, the planned model was 6D-VHQ score ~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 Block + (1 | Participant), allowing exploratory assessment of block/order effects and possible audiovisual-alignment effects. Descriptive checks suggested higher ratings for the aligned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sequence than the shuffled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sequence on Geometric Content, Detail, Vividness, and Semantic Content. These block/order analyses were treated as exploratory calibration checks rather than confirmatory tests of stimulus mechanism.</w:t>
      </w:r>
    </w:p>
    <w:p w:rsidR="00000000" w:rsidDel="00000000" w:rsidP="00000000" w:rsidRDefault="00000000" w:rsidRPr="00000000" w14:paraId="0000008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1">
      <w:pPr>
        <w:pStyle w:val="Heading3"/>
        <w:rPr>
          <w:b w:val="1"/>
          <w:bCs w:val="1"/>
        </w:rPr>
      </w:pPr>
      <w:bookmarkStart w:colFirst="0" w:colLast="0" w:name="_cikv0ewpme2r" w:id="36"/>
      <w:bookmarkEnd w:id="36"/>
      <w:r w:rsidDel="00000000" w:rsidR="00000000" w:rsidRPr="00000000">
        <w:rPr>
          <w:b w:val="1"/>
          <w:bCs w:val="1"/>
          <w:rtl w:val="0"/>
        </w:rPr>
        <w:t xml:space="preserve">Participant Qualitative Reports</w:t>
      </w:r>
    </w:p>
    <w:p w:rsidR="00000000" w:rsidDel="00000000" w:rsidP="00000000" w:rsidRDefault="00000000" w:rsidRPr="00000000" w14:paraId="0000008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each session, participants were asked open verbal questions about the subjective experience, including “What did you see?” and “What was it like?”. Responses were used descriptively to contextualise questionnaire ratings and to examine whether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sessions elicited richer or more vivid visual content than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sessions. Qualitative reports were not treated as confirmatory endpoints. They are summarised using coded descriptive categories, with word clouds presented only as illustrative visual summaries of recurring terms.</w:t>
      </w:r>
      <w:r w:rsidDel="00000000" w:rsidR="00000000" w:rsidRPr="00000000">
        <w:rPr>
          <w:rtl w:val="0"/>
        </w:rPr>
      </w:r>
    </w:p>
    <w:p w:rsidR="00000000" w:rsidDel="00000000" w:rsidP="00000000" w:rsidRDefault="00000000" w:rsidRPr="00000000" w14:paraId="00000083">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4919663" cy="254972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19663" cy="25497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S6a. Illustrative word cloud of verbal reports from </w:t>
      </w:r>
      <w:r w:rsidDel="00000000" w:rsidR="00000000" w:rsidRPr="00000000">
        <w:rPr>
          <w:b w:val="1"/>
          <w:bCs w:val="1"/>
          <w:sz w:val="22"/>
          <w:szCs w:val="22"/>
          <w:rtl w:val="0"/>
        </w:rPr>
        <w:t xml:space="preserve">strobe-emphasis SLS</w:t>
      </w:r>
      <w:r w:rsidDel="00000000" w:rsidR="00000000" w:rsidRPr="00000000">
        <w:rPr>
          <w:rFonts w:ascii="Palatino Linotype" w:cs="Palatino Linotype" w:eastAsia="Palatino Linotype" w:hAnsi="Palatino Linotype"/>
          <w:b w:val="1"/>
          <w:bCs w:val="1"/>
          <w:sz w:val="22"/>
          <w:szCs w:val="22"/>
          <w:rtl w:val="0"/>
        </w:rPr>
        <w:t xml:space="preserve"> sessions. </w:t>
      </w:r>
      <w:r w:rsidDel="00000000" w:rsidR="00000000" w:rsidRPr="00000000">
        <w:rPr>
          <w:rFonts w:ascii="Palatino Linotype" w:cs="Palatino Linotype" w:eastAsia="Palatino Linotype" w:hAnsi="Palatino Linotype"/>
          <w:sz w:val="22"/>
          <w:szCs w:val="22"/>
          <w:rtl w:val="0"/>
        </w:rPr>
        <w:t xml:space="preserve">Word cloud summarising recurring terms from participants’ open verbal descriptions after </w:t>
      </w:r>
      <w:r w:rsidDel="00000000" w:rsidR="00000000" w:rsidRPr="00000000">
        <w:rPr>
          <w:sz w:val="22"/>
          <w:szCs w:val="22"/>
          <w:rtl w:val="0"/>
        </w:rPr>
        <w:t xml:space="preserve">strobe-emphasis</w:t>
      </w:r>
      <w:r w:rsidDel="00000000" w:rsidR="00000000" w:rsidRPr="00000000">
        <w:rPr>
          <w:rFonts w:ascii="Palatino Linotype" w:cs="Palatino Linotype" w:eastAsia="Palatino Linotype" w:hAnsi="Palatino Linotype"/>
          <w:sz w:val="22"/>
          <w:szCs w:val="22"/>
          <w:rtl w:val="0"/>
        </w:rPr>
        <w:t xml:space="preserve"> SLS sessions in the interim bridge study. Larger words indicate more frequent terms after text preprocessing. The figure is intended as an illustrative summary of recurring experiential content only; qualitative interpretation should be based on the accompanying coded descriptive summary rather than on word-frequency visualisation alone.</w:t>
      </w:r>
    </w:p>
    <w:p w:rsidR="00000000" w:rsidDel="00000000" w:rsidP="00000000" w:rsidRDefault="00000000" w:rsidRPr="00000000" w14:paraId="00000085">
      <w:pPr>
        <w:jc w:val="center"/>
        <w:rPr/>
      </w:pPr>
      <w:r w:rsidDel="00000000" w:rsidR="00000000" w:rsidRPr="00000000">
        <w:rPr>
          <w:rFonts w:ascii="Palatino Linotype" w:cs="Palatino Linotype" w:eastAsia="Palatino Linotype" w:hAnsi="Palatino Linotype"/>
        </w:rPr>
        <w:drawing>
          <wp:inline distB="114300" distT="114300" distL="114300" distR="114300">
            <wp:extent cx="4837032" cy="2538519"/>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37032" cy="253851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S6b. Illustrative word cloud of verbal reports from </w:t>
      </w:r>
      <w:r w:rsidDel="00000000" w:rsidR="00000000" w:rsidRPr="00000000">
        <w:rPr>
          <w:b w:val="1"/>
          <w:bCs w:val="1"/>
          <w:sz w:val="22"/>
          <w:szCs w:val="22"/>
          <w:rtl w:val="0"/>
        </w:rPr>
        <w:t xml:space="preserve">wash-emphasis SLS </w:t>
      </w:r>
      <w:r w:rsidDel="00000000" w:rsidR="00000000" w:rsidRPr="00000000">
        <w:rPr>
          <w:rFonts w:ascii="Palatino Linotype" w:cs="Palatino Linotype" w:eastAsia="Palatino Linotype" w:hAnsi="Palatino Linotype"/>
          <w:b w:val="1"/>
          <w:bCs w:val="1"/>
          <w:sz w:val="22"/>
          <w:szCs w:val="22"/>
          <w:rtl w:val="0"/>
        </w:rPr>
        <w:t xml:space="preserve">sessions.</w:t>
      </w:r>
      <w:r w:rsidDel="00000000" w:rsidR="00000000" w:rsidRPr="00000000">
        <w:rPr>
          <w:rFonts w:ascii="Palatino Linotype" w:cs="Palatino Linotype" w:eastAsia="Palatino Linotype" w:hAnsi="Palatino Linotype"/>
          <w:b w:val="1"/>
          <w:bCs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Word cloud summarising recurring terms from participants’ open verbal descriptions after </w:t>
      </w:r>
      <w:r w:rsidDel="00000000" w:rsidR="00000000" w:rsidRPr="00000000">
        <w:rPr>
          <w:sz w:val="22"/>
          <w:szCs w:val="22"/>
          <w:rtl w:val="0"/>
        </w:rPr>
        <w:t xml:space="preserve">wash-emphasis</w:t>
      </w:r>
      <w:r w:rsidDel="00000000" w:rsidR="00000000" w:rsidRPr="00000000">
        <w:rPr>
          <w:rFonts w:ascii="Palatino Linotype" w:cs="Palatino Linotype" w:eastAsia="Palatino Linotype" w:hAnsi="Palatino Linotype"/>
          <w:sz w:val="22"/>
          <w:szCs w:val="22"/>
          <w:rtl w:val="0"/>
        </w:rPr>
        <w:t xml:space="preserve"> SLS sessions in the interim bridge study. Larger words indicate more frequent terms after text preprocessing. The figure is intended as an illustrative summary of recurring experiential content only; qualitative interpretation should be based on the accompanying coded descriptive summary rather than on word-frequency visualisation alone.</w:t>
      </w:r>
    </w:p>
    <w:p w:rsidR="00000000" w:rsidDel="00000000" w:rsidP="00000000" w:rsidRDefault="00000000" w:rsidRPr="00000000" w14:paraId="00000087">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88">
      <w:pPr>
        <w:rPr>
          <w:rFonts w:ascii="Palatino Linotype" w:cs="Palatino Linotype" w:eastAsia="Palatino Linotype" w:hAnsi="Palatino Linotype"/>
          <w:b w:val="1"/>
          <w:bCs w:val="1"/>
        </w:rPr>
      </w:pPr>
      <w:r w:rsidDel="00000000" w:rsidR="00000000" w:rsidRPr="00000000">
        <w:rPr>
          <w:b w:val="1"/>
          <w:bCs w:val="1"/>
          <w:rtl w:val="0"/>
        </w:rPr>
        <w:t xml:space="preserve">Study 2</w:t>
      </w:r>
      <w:r w:rsidDel="00000000" w:rsidR="00000000" w:rsidRPr="00000000">
        <w:rPr>
          <w:rFonts w:ascii="Palatino Linotype" w:cs="Palatino Linotype" w:eastAsia="Palatino Linotype" w:hAnsi="Palatino Linotype"/>
          <w:b w:val="1"/>
          <w:bCs w:val="1"/>
          <w:rtl w:val="0"/>
        </w:rPr>
        <w:t xml:space="preserve"> SLS and Audiovisual Parameter 2 × 2 Sequence-Calibration Design</w:t>
      </w:r>
      <w:r w:rsidDel="00000000" w:rsidR="00000000" w:rsidRPr="00000000">
        <w:rPr>
          <w:rtl w:val="0"/>
        </w:rPr>
      </w:r>
    </w:p>
    <w:p w:rsidR="00000000" w:rsidDel="00000000" w:rsidP="00000000" w:rsidRDefault="00000000" w:rsidRPr="00000000" w14:paraId="0000008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interim protocol used a 2 × 2 sequence-calibration design crossing con</w:t>
      </w:r>
      <w:r w:rsidDel="00000000" w:rsidR="00000000" w:rsidRPr="00000000">
        <w:rPr>
          <w:rtl w:val="0"/>
        </w:rPr>
        <w:t xml:space="preserve">figuration </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t xml:space="preserve">strobe-emphasis vs wash-emphasis SLS</w:t>
      </w:r>
      <w:r w:rsidDel="00000000" w:rsidR="00000000" w:rsidRPr="00000000">
        <w:rPr>
          <w:rFonts w:ascii="Palatino Linotype" w:cs="Palatino Linotype" w:eastAsia="Palatino Linotype" w:hAnsi="Palatino Linotype"/>
          <w:rtl w:val="0"/>
        </w:rPr>
        <w:t xml:space="preserve">) with sequence order/audiovisual alignment (standard vs shuffled). The first paired series retained the standard representative block order, progressing from A to B to C1 to Peak to D to E after the onset and warmup periods. The second paired series used the corresponding shuffled order, progressing from B to A to Peak to C1 to E to D before cooldown. Both series preserved the same local oscillator parameter families, including the frequency, duty-cycle, and </w:t>
      </w:r>
      <w:r w:rsidDel="00000000" w:rsidR="00000000" w:rsidRPr="00000000">
        <w:rPr>
          <w:rtl w:val="0"/>
        </w:rPr>
        <w:t xml:space="preserve">RX1 output</w:t>
      </w:r>
      <w:r w:rsidDel="00000000" w:rsidR="00000000" w:rsidRPr="00000000">
        <w:rPr>
          <w:rFonts w:ascii="Palatino Linotype" w:cs="Palatino Linotype" w:eastAsia="Palatino Linotype" w:hAnsi="Palatino Linotype"/>
          <w:rtl w:val="0"/>
        </w:rPr>
        <w:t xml:space="preserve"> profiles within each representative block, but differed in the temporal ordering of those blocks.</w:t>
      </w:r>
    </w:p>
    <w:p w:rsidR="00000000" w:rsidDel="00000000" w:rsidP="00000000" w:rsidRDefault="00000000" w:rsidRPr="00000000" w14:paraId="0000008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Within each paired series, the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sequences shared the same temporal scaffold. The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sequence placed the higher-</w:t>
      </w:r>
      <w:r w:rsidDel="00000000" w:rsidR="00000000" w:rsidRPr="00000000">
        <w:rPr>
          <w:rtl w:val="0"/>
        </w:rPr>
        <w:t xml:space="preserve">brightness</w:t>
      </w:r>
      <w:r w:rsidDel="00000000" w:rsidR="00000000" w:rsidRPr="00000000">
        <w:rPr>
          <w:rFonts w:ascii="Palatino Linotype" w:cs="Palatino Linotype" w:eastAsia="Palatino Linotype" w:hAnsi="Palatino Linotype"/>
          <w:rtl w:val="0"/>
        </w:rPr>
        <w:t xml:space="preserve">, dynamically varying stroboscopic component on the active oscillator group, while the complementary oscillator group served primarily as a lower-</w:t>
      </w:r>
      <w:r w:rsidDel="00000000" w:rsidR="00000000" w:rsidRPr="00000000">
        <w:rPr>
          <w:rtl w:val="0"/>
        </w:rPr>
        <w:t xml:space="preserve">brightness</w:t>
      </w:r>
      <w:r w:rsidDel="00000000" w:rsidR="00000000" w:rsidRPr="00000000">
        <w:rPr>
          <w:rFonts w:ascii="Palatino Linotype" w:cs="Palatino Linotype" w:eastAsia="Palatino Linotype" w:hAnsi="Palatino Linotype"/>
          <w:rtl w:val="0"/>
        </w:rPr>
        <w:t xml:space="preserve"> wash-light channel. The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sequence retained the same broad timing and oscillator progression but shifted</w:t>
      </w:r>
      <w:r w:rsidDel="00000000" w:rsidR="00000000" w:rsidRPr="00000000">
        <w:rPr>
          <w:rtl w:val="0"/>
        </w:rPr>
        <w:t xml:space="preserve"> amplitude</w:t>
      </w:r>
      <w:r w:rsidDel="00000000" w:rsidR="00000000" w:rsidRPr="00000000">
        <w:rPr>
          <w:rFonts w:ascii="Palatino Linotype" w:cs="Palatino Linotype" w:eastAsia="Palatino Linotype" w:hAnsi="Palatino Linotype"/>
          <w:rtl w:val="0"/>
        </w:rPr>
        <w:t xml:space="preserve"> emphasis away from the active stroboscopic component and toward the wash-light component. This reduced the expected phenomenological salience of flicker while preserving the general timing, transition structure, and audiovisual context.</w:t>
      </w:r>
    </w:p>
    <w:p w:rsidR="00000000" w:rsidDel="00000000" w:rsidP="00000000" w:rsidRDefault="00000000" w:rsidRPr="00000000" w14:paraId="0000008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shuffled second series was included to avoid repeating an identical audiovisual trajectory and to test the </w:t>
      </w:r>
      <w:r w:rsidDel="00000000" w:rsidR="00000000" w:rsidRPr="00000000">
        <w:rPr>
          <w:rtl w:val="0"/>
        </w:rPr>
        <w:t xml:space="preserve">strobe-emphasis–wash-emphasis</w:t>
      </w:r>
      <w:r w:rsidDel="00000000" w:rsidR="00000000" w:rsidRPr="00000000">
        <w:rPr>
          <w:rFonts w:ascii="Palatino Linotype" w:cs="Palatino Linotype" w:eastAsia="Palatino Linotype" w:hAnsi="Palatino Linotype"/>
          <w:rtl w:val="0"/>
        </w:rPr>
        <w:t xml:space="preserve"> contrast under a second order/alignment variant. By rearranging the representative visual blocks while preserving their local parameter profiles, the second </w:t>
      </w:r>
      <w:r w:rsidDel="00000000" w:rsidR="00000000" w:rsidRPr="00000000">
        <w:rPr>
          <w:rtl w:val="0"/>
        </w:rPr>
        <w:t xml:space="preserve">strobe-emphasis/wash-emphasis</w:t>
      </w:r>
      <w:r w:rsidDel="00000000" w:rsidR="00000000" w:rsidRPr="00000000">
        <w:rPr>
          <w:rFonts w:ascii="Palatino Linotype" w:cs="Palatino Linotype" w:eastAsia="Palatino Linotype" w:hAnsi="Palatino Linotype"/>
          <w:rtl w:val="0"/>
        </w:rPr>
        <w:t xml:space="preserve"> pair altered how the isochronic auditory pulse motifs aligned with the visual oscillator trajectory over time. Thus, the second series should be understood as an audiovisual-alignment/order variant rather than as a distinct stimulus family.</w:t>
      </w:r>
    </w:p>
    <w:p w:rsidR="00000000" w:rsidDel="00000000" w:rsidP="00000000" w:rsidRDefault="00000000" w:rsidRPr="00000000" w14:paraId="0000008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the accompanying parameter workbook, each oscillator cell reports frequency, duty cycle, and </w:t>
      </w:r>
      <w:r w:rsidDel="00000000" w:rsidR="00000000" w:rsidRPr="00000000">
        <w:rPr>
          <w:rtl w:val="0"/>
        </w:rPr>
        <w:t xml:space="preserve">RX1 output</w:t>
      </w:r>
      <w:r w:rsidDel="00000000" w:rsidR="00000000" w:rsidRPr="00000000">
        <w:rPr>
          <w:rFonts w:ascii="Palatino Linotype" w:cs="Palatino Linotype" w:eastAsia="Palatino Linotype" w:hAnsi="Palatino Linotype"/>
          <w:rtl w:val="0"/>
        </w:rPr>
        <w:t xml:space="preserve"> as start-to-end values for that time step. OSC1-2 and OSC3-4 refer to the two oscillator groups encoded in the source STP-generation script. In this coding framework, 60 Hz entries denote the high-rate wash-like component rather than the lower-frequency stroboscopic range used to drive stronger visual phenomenology. Full time-step parameter details for the four interim sequences are provided in the accompanying Excel workbook, tab “</w:t>
      </w:r>
      <w:r w:rsidDel="00000000" w:rsidR="00000000" w:rsidRPr="00000000">
        <w:rPr>
          <w:b w:val="1"/>
          <w:bCs w:val="1"/>
          <w:rtl w:val="0"/>
        </w:rPr>
        <w:t xml:space="preserve">Interim Parameters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8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E">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Interim SLS Parameters for Unshuffled Audiovisual Con</w:t>
      </w:r>
      <w:r w:rsidDel="00000000" w:rsidR="00000000" w:rsidRPr="00000000">
        <w:rPr>
          <w:u w:val="single"/>
          <w:rtl w:val="0"/>
        </w:rPr>
        <w:t xml:space="preserve">figurations</w:t>
      </w:r>
      <w:r w:rsidDel="00000000" w:rsidR="00000000" w:rsidRPr="00000000">
        <w:rPr>
          <w:rtl w:val="0"/>
        </w:rPr>
      </w:r>
    </w:p>
    <w:p w:rsidR="00000000" w:rsidDel="00000000" w:rsidP="00000000" w:rsidRDefault="00000000" w:rsidRPr="00000000" w14:paraId="0000008F">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Unshuffled </w:t>
      </w:r>
      <w:r w:rsidDel="00000000" w:rsidR="00000000" w:rsidRPr="00000000">
        <w:rPr>
          <w:b w:val="1"/>
          <w:bCs w:val="1"/>
          <w:rtl w:val="0"/>
        </w:rPr>
        <w:t xml:space="preserve">Strobe-Emphasis Parameters</w:t>
      </w:r>
      <w:r w:rsidDel="00000000" w:rsidR="00000000" w:rsidRPr="00000000">
        <w:rPr>
          <w:rtl w:val="0"/>
        </w:rPr>
      </w:r>
    </w:p>
    <w:p w:rsidR="00000000" w:rsidDel="00000000" w:rsidP="00000000" w:rsidRDefault="00000000" w:rsidRPr="00000000" w14:paraId="00000090">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Pr>
        <w:drawing>
          <wp:inline distB="114300" distT="114300" distL="114300" distR="114300">
            <wp:extent cx="5731200" cy="660400"/>
            <wp:effectExtent b="0" l="0" r="0" t="0"/>
            <wp:docPr id="11" name="image10.png"/>
            <a:graphic>
              <a:graphicData uri="http://schemas.openxmlformats.org/drawingml/2006/picture">
                <pic:pic>
                  <pic:nvPicPr>
                    <pic:cNvPr id="0" name="image10.png"/>
                    <pic:cNvPicPr preferRelativeResize="0"/>
                  </pic:nvPicPr>
                  <pic:blipFill>
                    <a:blip r:embed="rId12"/>
                    <a:srcRect b="1040" l="0" r="0" t="104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S6c. </w:t>
      </w:r>
      <w:r w:rsidDel="00000000" w:rsidR="00000000" w:rsidRPr="00000000">
        <w:rPr>
          <w:b w:val="1"/>
          <w:bCs w:val="1"/>
          <w:sz w:val="22"/>
          <w:szCs w:val="22"/>
          <w:rtl w:val="0"/>
        </w:rPr>
        <w:t xml:space="preserve">Study 2</w:t>
      </w:r>
      <w:r w:rsidDel="00000000" w:rsidR="00000000" w:rsidRPr="00000000">
        <w:rPr>
          <w:rFonts w:ascii="Palatino Linotype" w:cs="Palatino Linotype" w:eastAsia="Palatino Linotype" w:hAnsi="Palatino Linotype"/>
          <w:b w:val="1"/>
          <w:bCs w:val="1"/>
          <w:sz w:val="22"/>
          <w:szCs w:val="22"/>
          <w:rtl w:val="0"/>
        </w:rPr>
        <w:t xml:space="preserve"> unshuffled </w:t>
      </w:r>
      <w:r w:rsidDel="00000000" w:rsidR="00000000" w:rsidRPr="00000000">
        <w:rPr>
          <w:b w:val="1"/>
          <w:bCs w:val="1"/>
          <w:sz w:val="22"/>
          <w:szCs w:val="22"/>
          <w:rtl w:val="0"/>
        </w:rPr>
        <w:t xml:space="preserve">strobe-emphasis</w:t>
      </w:r>
      <w:r w:rsidDel="00000000" w:rsidR="00000000" w:rsidRPr="00000000">
        <w:rPr>
          <w:rFonts w:ascii="Palatino Linotype" w:cs="Palatino Linotype" w:eastAsia="Palatino Linotype" w:hAnsi="Palatino Linotype"/>
          <w:b w:val="1"/>
          <w:bCs w:val="1"/>
          <w:sz w:val="22"/>
          <w:szCs w:val="22"/>
          <w:rtl w:val="0"/>
        </w:rPr>
        <w:t xml:space="preserve"> SLS parameter trajectory.</w:t>
      </w:r>
      <w:r w:rsidDel="00000000" w:rsidR="00000000" w:rsidRPr="00000000">
        <w:rPr>
          <w:rFonts w:ascii="Palatino Linotype" w:cs="Palatino Linotype" w:eastAsia="Palatino Linotype" w:hAnsi="Palatino Linotype"/>
          <w:sz w:val="22"/>
          <w:szCs w:val="22"/>
          <w:rtl w:val="0"/>
        </w:rPr>
        <w:t xml:space="preserve"> Parameter trajectory for the unshuffled </w:t>
      </w:r>
      <w:r w:rsidDel="00000000" w:rsidR="00000000" w:rsidRPr="00000000">
        <w:rPr>
          <w:sz w:val="22"/>
          <w:szCs w:val="22"/>
          <w:rtl w:val="0"/>
        </w:rPr>
        <w:t xml:space="preserve">strobe-emphasis SLS</w:t>
      </w:r>
      <w:r w:rsidDel="00000000" w:rsidR="00000000" w:rsidRPr="00000000">
        <w:rPr>
          <w:rFonts w:ascii="Palatino Linotype" w:cs="Palatino Linotype" w:eastAsia="Palatino Linotype" w:hAnsi="Palatino Linotype"/>
          <w:sz w:val="22"/>
          <w:szCs w:val="22"/>
          <w:rtl w:val="0"/>
        </w:rPr>
        <w:t xml:space="preserve"> sequence used in the interim bridge study. The sequence follows the standard representative block order, progressing from A to B to C1 to Peak to D to E after onset and warmup. Lines show the programmed frequency, duty-cycle, and </w:t>
      </w:r>
      <w:r w:rsidDel="00000000" w:rsidR="00000000" w:rsidRPr="00000000">
        <w:rPr>
          <w:sz w:val="22"/>
          <w:szCs w:val="22"/>
          <w:rtl w:val="0"/>
        </w:rPr>
        <w:t xml:space="preserve">RX1 output</w:t>
      </w:r>
      <w:r w:rsidDel="00000000" w:rsidR="00000000" w:rsidRPr="00000000">
        <w:rPr>
          <w:rFonts w:ascii="Palatino Linotype" w:cs="Palatino Linotype" w:eastAsia="Palatino Linotype" w:hAnsi="Palatino Linotype"/>
          <w:sz w:val="22"/>
          <w:szCs w:val="22"/>
          <w:rtl w:val="0"/>
        </w:rPr>
        <w:t xml:space="preserve"> profiles for OSC1–2 and OSC3–4 across time. Vertical dashed lines mark transitions between representative sequence blocks. The </w:t>
      </w:r>
      <w:r w:rsidDel="00000000" w:rsidR="00000000" w:rsidRPr="00000000">
        <w:rPr>
          <w:sz w:val="22"/>
          <w:szCs w:val="22"/>
          <w:rtl w:val="0"/>
        </w:rPr>
        <w:t xml:space="preserve">strobe-emphasis</w:t>
      </w:r>
      <w:r w:rsidDel="00000000" w:rsidR="00000000" w:rsidRPr="00000000">
        <w:rPr>
          <w:rFonts w:ascii="Palatino Linotype" w:cs="Palatino Linotype" w:eastAsia="Palatino Linotype" w:hAnsi="Palatino Linotype"/>
          <w:sz w:val="22"/>
          <w:szCs w:val="22"/>
          <w:rtl w:val="0"/>
        </w:rPr>
        <w:t xml:space="preserve"> con</w:t>
      </w:r>
      <w:r w:rsidDel="00000000" w:rsidR="00000000" w:rsidRPr="00000000">
        <w:rPr>
          <w:sz w:val="22"/>
          <w:szCs w:val="22"/>
          <w:rtl w:val="0"/>
        </w:rPr>
        <w:t xml:space="preserve">figuration</w:t>
      </w:r>
      <w:r w:rsidDel="00000000" w:rsidR="00000000" w:rsidRPr="00000000">
        <w:rPr>
          <w:rFonts w:ascii="Palatino Linotype" w:cs="Palatino Linotype" w:eastAsia="Palatino Linotype" w:hAnsi="Palatino Linotype"/>
          <w:sz w:val="22"/>
          <w:szCs w:val="22"/>
          <w:rtl w:val="0"/>
        </w:rPr>
        <w:t xml:space="preserve"> places the more salient dynamically varying stroboscopic component on the active oscillator group, with the complementary oscillator group serving primarily as a lower-</w:t>
      </w:r>
      <w:r w:rsidDel="00000000" w:rsidR="00000000" w:rsidRPr="00000000">
        <w:rPr>
          <w:sz w:val="22"/>
          <w:szCs w:val="22"/>
          <w:rtl w:val="0"/>
        </w:rPr>
        <w:t xml:space="preserve">brightness</w:t>
      </w:r>
      <w:r w:rsidDel="00000000" w:rsidR="00000000" w:rsidRPr="00000000">
        <w:rPr>
          <w:rFonts w:ascii="Palatino Linotype" w:cs="Palatino Linotype" w:eastAsia="Palatino Linotype" w:hAnsi="Palatino Linotype"/>
          <w:sz w:val="22"/>
          <w:szCs w:val="22"/>
          <w:rtl w:val="0"/>
        </w:rPr>
        <w:t xml:space="preserve"> wash-light channel. In this coding framework, 60 Hz entries denote the high-rate wash-like component rather than the lower-frequency stroboscopic range intended to drive stronger visual phenomenology.</w:t>
      </w:r>
    </w:p>
    <w:p w:rsidR="00000000" w:rsidDel="00000000" w:rsidP="00000000" w:rsidRDefault="00000000" w:rsidRPr="00000000" w14:paraId="00000092">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93">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Unshuffled </w:t>
      </w:r>
      <w:r w:rsidDel="00000000" w:rsidR="00000000" w:rsidRPr="00000000">
        <w:rPr>
          <w:b w:val="1"/>
          <w:bCs w:val="1"/>
          <w:rtl w:val="0"/>
        </w:rPr>
        <w:t xml:space="preserve">Wash-Emphasis Parameters</w:t>
      </w:r>
      <w:r w:rsidDel="00000000" w:rsidR="00000000" w:rsidRPr="00000000">
        <w:rPr>
          <w:rtl w:val="0"/>
        </w:rPr>
      </w:r>
    </w:p>
    <w:p w:rsidR="00000000" w:rsidDel="00000000" w:rsidP="00000000" w:rsidRDefault="00000000" w:rsidRPr="00000000" w14:paraId="00000094">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Pr>
        <w:drawing>
          <wp:inline distB="114300" distT="114300" distL="114300" distR="114300">
            <wp:extent cx="5731200" cy="647700"/>
            <wp:effectExtent b="0" l="0" r="0" t="0"/>
            <wp:docPr id="7" name="image6.png"/>
            <a:graphic>
              <a:graphicData uri="http://schemas.openxmlformats.org/drawingml/2006/picture">
                <pic:pic>
                  <pic:nvPicPr>
                    <pic:cNvPr id="0" name="image6.png"/>
                    <pic:cNvPicPr preferRelativeResize="0"/>
                  </pic:nvPicPr>
                  <pic:blipFill>
                    <a:blip r:embed="rId13"/>
                    <a:srcRect b="1981" l="0" r="0" t="1981"/>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S6d. </w:t>
      </w:r>
      <w:r w:rsidDel="00000000" w:rsidR="00000000" w:rsidRPr="00000000">
        <w:rPr>
          <w:b w:val="1"/>
          <w:bCs w:val="1"/>
          <w:sz w:val="22"/>
          <w:szCs w:val="22"/>
          <w:rtl w:val="0"/>
        </w:rPr>
        <w:t xml:space="preserve">Study 2</w:t>
      </w:r>
      <w:r w:rsidDel="00000000" w:rsidR="00000000" w:rsidRPr="00000000">
        <w:rPr>
          <w:rFonts w:ascii="Palatino Linotype" w:cs="Palatino Linotype" w:eastAsia="Palatino Linotype" w:hAnsi="Palatino Linotype"/>
          <w:b w:val="1"/>
          <w:bCs w:val="1"/>
          <w:sz w:val="22"/>
          <w:szCs w:val="22"/>
          <w:rtl w:val="0"/>
        </w:rPr>
        <w:t xml:space="preserve"> unshuffled </w:t>
      </w:r>
      <w:r w:rsidDel="00000000" w:rsidR="00000000" w:rsidRPr="00000000">
        <w:rPr>
          <w:b w:val="1"/>
          <w:bCs w:val="1"/>
          <w:sz w:val="22"/>
          <w:szCs w:val="22"/>
          <w:rtl w:val="0"/>
        </w:rPr>
        <w:t xml:space="preserve">wash-emphasis</w:t>
      </w:r>
      <w:r w:rsidDel="00000000" w:rsidR="00000000" w:rsidRPr="00000000">
        <w:rPr>
          <w:rFonts w:ascii="Palatino Linotype" w:cs="Palatino Linotype" w:eastAsia="Palatino Linotype" w:hAnsi="Palatino Linotype"/>
          <w:b w:val="1"/>
          <w:bCs w:val="1"/>
          <w:sz w:val="22"/>
          <w:szCs w:val="22"/>
          <w:rtl w:val="0"/>
        </w:rPr>
        <w:t xml:space="preserve"> SLS parameter trajectory.</w:t>
      </w:r>
      <w:r w:rsidDel="00000000" w:rsidR="00000000" w:rsidRPr="00000000">
        <w:rPr>
          <w:rFonts w:ascii="Palatino Linotype" w:cs="Palatino Linotype" w:eastAsia="Palatino Linotype" w:hAnsi="Palatino Linotype"/>
          <w:sz w:val="22"/>
          <w:szCs w:val="22"/>
          <w:rtl w:val="0"/>
        </w:rPr>
        <w:t xml:space="preserve"> Parameter trajectory for the unshuffled </w:t>
      </w:r>
      <w:r w:rsidDel="00000000" w:rsidR="00000000" w:rsidRPr="00000000">
        <w:rPr>
          <w:sz w:val="22"/>
          <w:szCs w:val="22"/>
          <w:rtl w:val="0"/>
        </w:rPr>
        <w:t xml:space="preserve">wash-emphasis SLS</w:t>
      </w:r>
      <w:r w:rsidDel="00000000" w:rsidR="00000000" w:rsidRPr="00000000">
        <w:rPr>
          <w:rFonts w:ascii="Palatino Linotype" w:cs="Palatino Linotype" w:eastAsia="Palatino Linotype" w:hAnsi="Palatino Linotype"/>
          <w:sz w:val="22"/>
          <w:szCs w:val="22"/>
          <w:rtl w:val="0"/>
        </w:rPr>
        <w:t xml:space="preserve"> sequence. This sequence preserves the same standard temporal scaffold and representative block order as the unshuffled </w:t>
      </w:r>
      <w:r w:rsidDel="00000000" w:rsidR="00000000" w:rsidRPr="00000000">
        <w:rPr>
          <w:sz w:val="22"/>
          <w:szCs w:val="22"/>
          <w:rtl w:val="0"/>
        </w:rPr>
        <w:t xml:space="preserve">strobe-emphasis</w:t>
      </w:r>
      <w:r w:rsidDel="00000000" w:rsidR="00000000" w:rsidRPr="00000000">
        <w:rPr>
          <w:rFonts w:ascii="Palatino Linotype" w:cs="Palatino Linotype" w:eastAsia="Palatino Linotype" w:hAnsi="Palatino Linotype"/>
          <w:sz w:val="22"/>
          <w:szCs w:val="22"/>
          <w:rtl w:val="0"/>
        </w:rPr>
        <w:t xml:space="preserve"> sequence, but shifts </w:t>
      </w:r>
      <w:r w:rsidDel="00000000" w:rsidR="00000000" w:rsidRPr="00000000">
        <w:rPr>
          <w:sz w:val="22"/>
          <w:szCs w:val="22"/>
          <w:rtl w:val="0"/>
        </w:rPr>
        <w:t xml:space="preserve">amplitude</w:t>
      </w:r>
      <w:r w:rsidDel="00000000" w:rsidR="00000000" w:rsidRPr="00000000">
        <w:rPr>
          <w:rFonts w:ascii="Palatino Linotype" w:cs="Palatino Linotype" w:eastAsia="Palatino Linotype" w:hAnsi="Palatino Linotype"/>
          <w:sz w:val="22"/>
          <w:szCs w:val="22"/>
          <w:rtl w:val="0"/>
        </w:rPr>
        <w:t xml:space="preserve"> emphasis away from the active stroboscopic component and toward the wash-light component. This </w:t>
      </w:r>
      <w:r w:rsidDel="00000000" w:rsidR="00000000" w:rsidRPr="00000000">
        <w:rPr>
          <w:sz w:val="22"/>
          <w:szCs w:val="22"/>
          <w:rtl w:val="0"/>
        </w:rPr>
        <w:t xml:space="preserve">wash-emphasis</w:t>
      </w:r>
      <w:r w:rsidDel="00000000" w:rsidR="00000000" w:rsidRPr="00000000">
        <w:rPr>
          <w:rFonts w:ascii="Palatino Linotype" w:cs="Palatino Linotype" w:eastAsia="Palatino Linotype" w:hAnsi="Palatino Linotype"/>
          <w:sz w:val="22"/>
          <w:szCs w:val="22"/>
          <w:rtl w:val="0"/>
        </w:rPr>
        <w:t xml:space="preserve"> construction was designed to reduce expected phenomenological salience while retaining comparable timing, transition structure, oscillator progression, and audiovisual context. Lines show frequency, duty cycle, and </w:t>
      </w:r>
      <w:r w:rsidDel="00000000" w:rsidR="00000000" w:rsidRPr="00000000">
        <w:rPr>
          <w:sz w:val="22"/>
          <w:szCs w:val="22"/>
          <w:rtl w:val="0"/>
        </w:rPr>
        <w:t xml:space="preserve">RX1 output</w:t>
      </w:r>
      <w:r w:rsidDel="00000000" w:rsidR="00000000" w:rsidRPr="00000000">
        <w:rPr>
          <w:rFonts w:ascii="Palatino Linotype" w:cs="Palatino Linotype" w:eastAsia="Palatino Linotype" w:hAnsi="Palatino Linotype"/>
          <w:sz w:val="22"/>
          <w:szCs w:val="22"/>
          <w:rtl w:val="0"/>
        </w:rPr>
        <w:t xml:space="preserve"> values for OSC1–2 and OSC3–4, with vertical dashed lines indicating transitions between representative blocks.</w:t>
      </w:r>
    </w:p>
    <w:p w:rsidR="00000000" w:rsidDel="00000000" w:rsidP="00000000" w:rsidRDefault="00000000" w:rsidRPr="00000000" w14:paraId="00000096">
      <w:pPr>
        <w:rPr>
          <w:rFonts w:ascii="Palatino Linotype" w:cs="Palatino Linotype" w:eastAsia="Palatino Linotype" w:hAnsi="Palatino Linotype"/>
          <w:u w:val="single"/>
        </w:rPr>
      </w:pPr>
      <w:r w:rsidDel="00000000" w:rsidR="00000000" w:rsidRPr="00000000">
        <w:rPr>
          <w:rtl w:val="0"/>
        </w:rPr>
      </w:r>
    </w:p>
    <w:p w:rsidR="00000000" w:rsidDel="00000000" w:rsidP="00000000" w:rsidRDefault="00000000" w:rsidRPr="00000000" w14:paraId="00000097">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Interim SLS Parameters for Shuffled Audiovisual Con</w:t>
      </w:r>
      <w:r w:rsidDel="00000000" w:rsidR="00000000" w:rsidRPr="00000000">
        <w:rPr>
          <w:u w:val="single"/>
          <w:rtl w:val="0"/>
        </w:rPr>
        <w:t xml:space="preserve">figurations</w:t>
      </w:r>
      <w:r w:rsidDel="00000000" w:rsidR="00000000" w:rsidRPr="00000000">
        <w:rPr>
          <w:rtl w:val="0"/>
        </w:rPr>
      </w:r>
    </w:p>
    <w:p w:rsidR="00000000" w:rsidDel="00000000" w:rsidP="00000000" w:rsidRDefault="00000000" w:rsidRPr="00000000" w14:paraId="00000098">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Shuffled </w:t>
      </w:r>
      <w:r w:rsidDel="00000000" w:rsidR="00000000" w:rsidRPr="00000000">
        <w:rPr>
          <w:b w:val="1"/>
          <w:bCs w:val="1"/>
          <w:rtl w:val="0"/>
        </w:rPr>
        <w:t xml:space="preserve">Strobe-Emphasis Parameters</w:t>
      </w:r>
      <w:r w:rsidDel="00000000" w:rsidR="00000000" w:rsidRPr="00000000">
        <w:rPr>
          <w:rtl w:val="0"/>
        </w:rPr>
      </w:r>
    </w:p>
    <w:p w:rsidR="00000000" w:rsidDel="00000000" w:rsidP="00000000" w:rsidRDefault="00000000" w:rsidRPr="00000000" w14:paraId="00000099">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Pr>
        <w:drawing>
          <wp:inline distB="114300" distT="114300" distL="114300" distR="114300">
            <wp:extent cx="5731200" cy="647700"/>
            <wp:effectExtent b="0" l="0" r="0" t="0"/>
            <wp:docPr id="12" name="image11.png"/>
            <a:graphic>
              <a:graphicData uri="http://schemas.openxmlformats.org/drawingml/2006/picture">
                <pic:pic>
                  <pic:nvPicPr>
                    <pic:cNvPr id="0" name="image11.png"/>
                    <pic:cNvPicPr preferRelativeResize="0"/>
                  </pic:nvPicPr>
                  <pic:blipFill>
                    <a:blip r:embed="rId14"/>
                    <a:srcRect b="1981" l="0" r="0" t="1981"/>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S6e. </w:t>
      </w:r>
      <w:r w:rsidDel="00000000" w:rsidR="00000000" w:rsidRPr="00000000">
        <w:rPr>
          <w:b w:val="1"/>
          <w:bCs w:val="1"/>
          <w:sz w:val="22"/>
          <w:szCs w:val="22"/>
          <w:rtl w:val="0"/>
        </w:rPr>
        <w:t xml:space="preserve">Study 2</w:t>
      </w:r>
      <w:r w:rsidDel="00000000" w:rsidR="00000000" w:rsidRPr="00000000">
        <w:rPr>
          <w:rFonts w:ascii="Palatino Linotype" w:cs="Palatino Linotype" w:eastAsia="Palatino Linotype" w:hAnsi="Palatino Linotype"/>
          <w:b w:val="1"/>
          <w:bCs w:val="1"/>
          <w:sz w:val="22"/>
          <w:szCs w:val="22"/>
          <w:rtl w:val="0"/>
        </w:rPr>
        <w:t xml:space="preserve"> shuffled </w:t>
      </w:r>
      <w:r w:rsidDel="00000000" w:rsidR="00000000" w:rsidRPr="00000000">
        <w:rPr>
          <w:b w:val="1"/>
          <w:bCs w:val="1"/>
          <w:sz w:val="22"/>
          <w:szCs w:val="22"/>
          <w:rtl w:val="0"/>
        </w:rPr>
        <w:t xml:space="preserve">strobe-emphasis</w:t>
      </w:r>
      <w:r w:rsidDel="00000000" w:rsidR="00000000" w:rsidRPr="00000000">
        <w:rPr>
          <w:rFonts w:ascii="Palatino Linotype" w:cs="Palatino Linotype" w:eastAsia="Palatino Linotype" w:hAnsi="Palatino Linotype"/>
          <w:b w:val="1"/>
          <w:bCs w:val="1"/>
          <w:sz w:val="22"/>
          <w:szCs w:val="22"/>
          <w:rtl w:val="0"/>
        </w:rPr>
        <w:t xml:space="preserve"> SLS parameter trajectory.</w:t>
      </w:r>
      <w:r w:rsidDel="00000000" w:rsidR="00000000" w:rsidRPr="00000000">
        <w:rPr>
          <w:rFonts w:ascii="Palatino Linotype" w:cs="Palatino Linotype" w:eastAsia="Palatino Linotype" w:hAnsi="Palatino Linotype"/>
          <w:sz w:val="22"/>
          <w:szCs w:val="22"/>
          <w:rtl w:val="0"/>
        </w:rPr>
        <w:t xml:space="preserve"> Parameter trajectory for the shuffled </w:t>
      </w:r>
      <w:r w:rsidDel="00000000" w:rsidR="00000000" w:rsidRPr="00000000">
        <w:rPr>
          <w:sz w:val="22"/>
          <w:szCs w:val="22"/>
          <w:rtl w:val="0"/>
        </w:rPr>
        <w:t xml:space="preserve">strobe-emphasis</w:t>
      </w:r>
      <w:r w:rsidDel="00000000" w:rsidR="00000000" w:rsidRPr="00000000">
        <w:rPr>
          <w:rFonts w:ascii="Palatino Linotype" w:cs="Palatino Linotype" w:eastAsia="Palatino Linotype" w:hAnsi="Palatino Linotype"/>
          <w:sz w:val="22"/>
          <w:szCs w:val="22"/>
          <w:rtl w:val="0"/>
        </w:rPr>
        <w:t xml:space="preserve"> SLS sequence used as the second audiovisual order/alignment variant in the interim bridge study. The shuffled sequence rearranges the representative visual blocks while preserving their local oscillator parameter profiles, progressing from B to A to Peak to C1 to E to D before cooldown. This manipulation altered how isochronic auditory pulse motifs aligned with the visual oscillator trajectory over time without introducing a distinct stimulus family. Lines show programmed frequency, duty-cycle, and </w:t>
      </w:r>
      <w:r w:rsidDel="00000000" w:rsidR="00000000" w:rsidRPr="00000000">
        <w:rPr>
          <w:sz w:val="22"/>
          <w:szCs w:val="22"/>
          <w:rtl w:val="0"/>
        </w:rPr>
        <w:t xml:space="preserve">RX1 output</w:t>
      </w:r>
      <w:r w:rsidDel="00000000" w:rsidR="00000000" w:rsidRPr="00000000">
        <w:rPr>
          <w:rFonts w:ascii="Palatino Linotype" w:cs="Palatino Linotype" w:eastAsia="Palatino Linotype" w:hAnsi="Palatino Linotype"/>
          <w:sz w:val="22"/>
          <w:szCs w:val="22"/>
          <w:rtl w:val="0"/>
        </w:rPr>
        <w:t xml:space="preserve"> profiles for OSC1–2 and OSC3–4; vertical dashed lines mark block transitions.</w:t>
      </w:r>
    </w:p>
    <w:p w:rsidR="00000000" w:rsidDel="00000000" w:rsidP="00000000" w:rsidRDefault="00000000" w:rsidRPr="00000000" w14:paraId="0000009B">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9C">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Shuffled </w:t>
      </w:r>
      <w:r w:rsidDel="00000000" w:rsidR="00000000" w:rsidRPr="00000000">
        <w:rPr>
          <w:b w:val="1"/>
          <w:bCs w:val="1"/>
          <w:rtl w:val="0"/>
        </w:rPr>
        <w:t xml:space="preserve">Wash-Emphasis Parameters</w:t>
      </w:r>
      <w:r w:rsidDel="00000000" w:rsidR="00000000" w:rsidRPr="00000000">
        <w:rPr>
          <w:rtl w:val="0"/>
        </w:rPr>
      </w:r>
    </w:p>
    <w:p w:rsidR="00000000" w:rsidDel="00000000" w:rsidP="00000000" w:rsidRDefault="00000000" w:rsidRPr="00000000" w14:paraId="0000009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Pr>
        <w:drawing>
          <wp:inline distB="114300" distT="114300" distL="114300" distR="114300">
            <wp:extent cx="5731200" cy="647700"/>
            <wp:effectExtent b="0" l="0" r="0" t="0"/>
            <wp:docPr id="13" name="image13.png"/>
            <a:graphic>
              <a:graphicData uri="http://schemas.openxmlformats.org/drawingml/2006/picture">
                <pic:pic>
                  <pic:nvPicPr>
                    <pic:cNvPr id="0" name="image13.png"/>
                    <pic:cNvPicPr preferRelativeResize="0"/>
                  </pic:nvPicPr>
                  <pic:blipFill>
                    <a:blip r:embed="rId15"/>
                    <a:srcRect b="1981" l="0" r="0" t="1981"/>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S6f. </w:t>
      </w:r>
      <w:r w:rsidDel="00000000" w:rsidR="00000000" w:rsidRPr="00000000">
        <w:rPr>
          <w:b w:val="1"/>
          <w:bCs w:val="1"/>
          <w:sz w:val="22"/>
          <w:szCs w:val="22"/>
          <w:rtl w:val="0"/>
        </w:rPr>
        <w:t xml:space="preserve">Study 2</w:t>
      </w:r>
      <w:r w:rsidDel="00000000" w:rsidR="00000000" w:rsidRPr="00000000">
        <w:rPr>
          <w:rFonts w:ascii="Palatino Linotype" w:cs="Palatino Linotype" w:eastAsia="Palatino Linotype" w:hAnsi="Palatino Linotype"/>
          <w:b w:val="1"/>
          <w:bCs w:val="1"/>
          <w:sz w:val="22"/>
          <w:szCs w:val="22"/>
          <w:rtl w:val="0"/>
        </w:rPr>
        <w:t xml:space="preserve"> shuffled </w:t>
      </w:r>
      <w:r w:rsidDel="00000000" w:rsidR="00000000" w:rsidRPr="00000000">
        <w:rPr>
          <w:b w:val="1"/>
          <w:bCs w:val="1"/>
          <w:sz w:val="22"/>
          <w:szCs w:val="22"/>
          <w:rtl w:val="0"/>
        </w:rPr>
        <w:t xml:space="preserve">wash-emphasis </w:t>
      </w:r>
      <w:r w:rsidDel="00000000" w:rsidR="00000000" w:rsidRPr="00000000">
        <w:rPr>
          <w:rFonts w:ascii="Palatino Linotype" w:cs="Palatino Linotype" w:eastAsia="Palatino Linotype" w:hAnsi="Palatino Linotype"/>
          <w:b w:val="1"/>
          <w:bCs w:val="1"/>
          <w:sz w:val="22"/>
          <w:szCs w:val="22"/>
          <w:rtl w:val="0"/>
        </w:rPr>
        <w:t xml:space="preserve">SLS parameter trajectory. </w:t>
      </w:r>
      <w:r w:rsidDel="00000000" w:rsidR="00000000" w:rsidRPr="00000000">
        <w:rPr>
          <w:rFonts w:ascii="Palatino Linotype" w:cs="Palatino Linotype" w:eastAsia="Palatino Linotype" w:hAnsi="Palatino Linotype"/>
          <w:sz w:val="22"/>
          <w:szCs w:val="22"/>
          <w:rtl w:val="0"/>
        </w:rPr>
        <w:t xml:space="preserve">Parameter trajectory for the shuffled </w:t>
      </w:r>
      <w:r w:rsidDel="00000000" w:rsidR="00000000" w:rsidRPr="00000000">
        <w:rPr>
          <w:sz w:val="22"/>
          <w:szCs w:val="22"/>
          <w:rtl w:val="0"/>
        </w:rPr>
        <w:t xml:space="preserve">wash-emphasis SLS</w:t>
      </w:r>
      <w:r w:rsidDel="00000000" w:rsidR="00000000" w:rsidRPr="00000000">
        <w:rPr>
          <w:rFonts w:ascii="Palatino Linotype" w:cs="Palatino Linotype" w:eastAsia="Palatino Linotype" w:hAnsi="Palatino Linotype"/>
          <w:sz w:val="22"/>
          <w:szCs w:val="22"/>
          <w:rtl w:val="0"/>
        </w:rPr>
        <w:t xml:space="preserve"> sequence. This sequence shares the same shuffled temporal order and audiovisual alignment variant as the shuffled </w:t>
      </w:r>
      <w:r w:rsidDel="00000000" w:rsidR="00000000" w:rsidRPr="00000000">
        <w:rPr>
          <w:sz w:val="22"/>
          <w:szCs w:val="22"/>
          <w:rtl w:val="0"/>
        </w:rPr>
        <w:t xml:space="preserve">strobe-emphasis</w:t>
      </w:r>
      <w:r w:rsidDel="00000000" w:rsidR="00000000" w:rsidRPr="00000000">
        <w:rPr>
          <w:rFonts w:ascii="Palatino Linotype" w:cs="Palatino Linotype" w:eastAsia="Palatino Linotype" w:hAnsi="Palatino Linotype"/>
          <w:sz w:val="22"/>
          <w:szCs w:val="22"/>
          <w:rtl w:val="0"/>
        </w:rPr>
        <w:t xml:space="preserve"> sequence, but applies the </w:t>
      </w:r>
      <w:r w:rsidDel="00000000" w:rsidR="00000000" w:rsidRPr="00000000">
        <w:rPr>
          <w:sz w:val="22"/>
          <w:szCs w:val="22"/>
          <w:rtl w:val="0"/>
        </w:rPr>
        <w:t xml:space="preserve">wash-emphasis</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sz w:val="22"/>
          <w:szCs w:val="22"/>
          <w:rtl w:val="0"/>
        </w:rPr>
        <w:t xml:space="preserve">amplitude</w:t>
      </w:r>
      <w:r w:rsidDel="00000000" w:rsidR="00000000" w:rsidRPr="00000000">
        <w:rPr>
          <w:rFonts w:ascii="Palatino Linotype" w:cs="Palatino Linotype" w:eastAsia="Palatino Linotype" w:hAnsi="Palatino Linotype"/>
          <w:sz w:val="22"/>
          <w:szCs w:val="22"/>
          <w:rtl w:val="0"/>
        </w:rPr>
        <w:t xml:space="preserve"> arrangement, reducing emphasis on the active stroboscopic component while preserving broad timing, transition structure, and oscillator progression. Lines show frequency, duty cycle, and </w:t>
      </w:r>
      <w:r w:rsidDel="00000000" w:rsidR="00000000" w:rsidRPr="00000000">
        <w:rPr>
          <w:sz w:val="22"/>
          <w:szCs w:val="22"/>
          <w:rtl w:val="0"/>
        </w:rPr>
        <w:t xml:space="preserve">RX1 output</w:t>
      </w:r>
      <w:r w:rsidDel="00000000" w:rsidR="00000000" w:rsidRPr="00000000">
        <w:rPr>
          <w:rFonts w:ascii="Palatino Linotype" w:cs="Palatino Linotype" w:eastAsia="Palatino Linotype" w:hAnsi="Palatino Linotype"/>
          <w:sz w:val="22"/>
          <w:szCs w:val="22"/>
          <w:rtl w:val="0"/>
        </w:rPr>
        <w:t xml:space="preserve"> values for OSC1–2 and OSC3–4 across time, and vertical dashed lines indicate representative block transitions. Full time-step parameters for all four interim sequences are provided in the accompanying Excel workbook, tab “</w:t>
      </w:r>
      <w:r w:rsidDel="00000000" w:rsidR="00000000" w:rsidRPr="00000000">
        <w:rPr>
          <w:b w:val="1"/>
          <w:bCs w:val="1"/>
          <w:sz w:val="22"/>
          <w:szCs w:val="22"/>
          <w:rtl w:val="0"/>
        </w:rPr>
        <w:t xml:space="preserve">Interim Parameters</w:t>
      </w:r>
      <w:r w:rsidDel="00000000" w:rsidR="00000000" w:rsidRPr="00000000">
        <w:rPr>
          <w:rFonts w:ascii="Palatino Linotype" w:cs="Palatino Linotype" w:eastAsia="Palatino Linotype" w:hAnsi="Palatino Linotype"/>
          <w:sz w:val="22"/>
          <w:szCs w:val="22"/>
          <w:rtl w:val="0"/>
        </w:rPr>
        <w:t xml:space="preserve">.”</w:t>
      </w:r>
    </w:p>
    <w:p w:rsidR="00000000" w:rsidDel="00000000" w:rsidP="00000000" w:rsidRDefault="00000000" w:rsidRPr="00000000" w14:paraId="0000009F">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A0">
      <w:pPr>
        <w:pStyle w:val="Heading2"/>
        <w:rPr/>
      </w:pPr>
      <w:bookmarkStart w:colFirst="0" w:colLast="0" w:name="_zc0bdnty1ppn" w:id="37"/>
      <w:bookmarkEnd w:id="37"/>
      <w:r w:rsidDel="00000000" w:rsidR="00000000" w:rsidRPr="00000000">
        <w:rPr>
          <w:rtl w:val="0"/>
        </w:rPr>
        <w:t xml:space="preserve">S7. Study 3 Full Procedure and Assessment Schedule</w:t>
      </w:r>
    </w:p>
    <w:p w:rsidR="00000000" w:rsidDel="00000000" w:rsidP="00000000" w:rsidRDefault="00000000" w:rsidRPr="00000000" w14:paraId="000000A1">
      <w:pPr>
        <w:pStyle w:val="Heading3"/>
        <w:rPr>
          <w:b w:val="1"/>
          <w:bCs w:val="1"/>
        </w:rPr>
      </w:pPr>
      <w:bookmarkStart w:colFirst="0" w:colLast="0" w:name="_6ddmjaadpjaw" w:id="38"/>
      <w:bookmarkEnd w:id="38"/>
      <w:r w:rsidDel="00000000" w:rsidR="00000000" w:rsidRPr="00000000">
        <w:rPr>
          <w:b w:val="1"/>
          <w:bCs w:val="1"/>
          <w:rtl w:val="0"/>
        </w:rPr>
        <w:t xml:space="preserve">Visit-by-Visit Schedule</w:t>
      </w:r>
    </w:p>
    <w:p w:rsidR="00000000" w:rsidDel="00000000" w:rsidP="00000000" w:rsidRDefault="00000000" w:rsidRPr="00000000" w14:paraId="000000A2">
      <w:pPr>
        <w:rPr>
          <w:rFonts w:ascii="Palatino Linotype" w:cs="Palatino Linotype" w:eastAsia="Palatino Linotype" w:hAnsi="Palatino Linotype"/>
        </w:rPr>
      </w:pP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implemented a four-session supervised stimulation protocol, with one supervised SLS session per week over four weeks. Participants completed pre-session questionnaires before stimulation and post-session questionnaires after stimulation. </w:t>
      </w:r>
    </w:p>
    <w:p w:rsidR="00000000" w:rsidDel="00000000" w:rsidP="00000000" w:rsidRDefault="00000000" w:rsidRPr="00000000" w14:paraId="000000A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attached Excel workbook tabs “</w:t>
      </w:r>
      <w:r w:rsidDel="00000000" w:rsidR="00000000" w:rsidRPr="00000000">
        <w:rPr>
          <w:b w:val="1"/>
          <w:bCs w:val="1"/>
          <w:rtl w:val="0"/>
        </w:rPr>
        <w:t xml:space="preserve">Study 3 Assessment Schedule</w:t>
      </w:r>
      <w:r w:rsidDel="00000000" w:rsidR="00000000" w:rsidRPr="00000000">
        <w:rPr>
          <w:rFonts w:ascii="Palatino Linotype" w:cs="Palatino Linotype" w:eastAsia="Palatino Linotype" w:hAnsi="Palatino Linotype"/>
          <w:rtl w:val="0"/>
        </w:rPr>
        <w:t xml:space="preserve">” and “</w:t>
      </w:r>
      <w:r w:rsidDel="00000000" w:rsidR="00000000" w:rsidRPr="00000000">
        <w:rPr>
          <w:b w:val="1"/>
          <w:bCs w:val="1"/>
          <w:rtl w:val="0"/>
        </w:rPr>
        <w:t xml:space="preserve">Study 3 Data Collection Details</w:t>
      </w:r>
      <w:r w:rsidDel="00000000" w:rsidR="00000000" w:rsidRPr="00000000">
        <w:rPr>
          <w:rFonts w:ascii="Palatino Linotype" w:cs="Palatino Linotype" w:eastAsia="Palatino Linotype" w:hAnsi="Palatino Linotype"/>
          <w:rtl w:val="0"/>
        </w:rPr>
        <w:t xml:space="preserve">” summarise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assessment and data-collection schedule.</w:t>
      </w:r>
    </w:p>
    <w:p w:rsidR="00000000" w:rsidDel="00000000" w:rsidP="00000000" w:rsidRDefault="00000000" w:rsidRPr="00000000" w14:paraId="000000A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Eligibility and safety screening were completed at pre-screening, followed by baseline clinical, expectancy, and randomisation/allocation-related measures at the first pre-session assessment. Clinical symptom measures were collected longitudinally across the protocol, with PHQ-9, M3VAS, SPANE, and short-term change ratings repeated during the supervised-session period and SMS follow-up window. Broader clinical scales, including BDI-II, BAI, and MADRS-S, were collected at baseline and endpoint.</w:t>
      </w:r>
    </w:p>
    <w:p w:rsidR="00000000" w:rsidDel="00000000" w:rsidP="00000000" w:rsidRDefault="00000000" w:rsidRPr="00000000" w14:paraId="000000A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Acute experiential measures, including altered-state phenomenology, visual phenomenology, engagement, pleasure, discomfort, drowsiness, and tolerability ratings, were collected after each supervised stimulation session. Safety, adverse-event, attendance, questionnaire-completion, missingness, and protocol-adherence information were tracked throughout the intervention period and final follow-up.</w:t>
      </w:r>
      <w:r w:rsidDel="00000000" w:rsidR="00000000" w:rsidRPr="00000000">
        <w:rPr>
          <w:rtl w:val="0"/>
        </w:rPr>
      </w:r>
    </w:p>
    <w:p w:rsidR="00000000" w:rsidDel="00000000" w:rsidP="00000000" w:rsidRDefault="00000000" w:rsidRPr="00000000" w14:paraId="000000A6">
      <w:pPr>
        <w:pStyle w:val="Heading3"/>
        <w:rPr/>
      </w:pPr>
      <w:bookmarkStart w:colFirst="0" w:colLast="0" w:name="_c0yrnydfyqi5" w:id="39"/>
      <w:bookmarkEnd w:id="39"/>
      <w:r w:rsidDel="00000000" w:rsidR="00000000" w:rsidRPr="00000000">
        <w:rPr>
          <w:rtl w:val="0"/>
        </w:rPr>
      </w:r>
    </w:p>
    <w:p w:rsidR="00000000" w:rsidDel="00000000" w:rsidP="00000000" w:rsidRDefault="00000000" w:rsidRPr="00000000" w14:paraId="000000A7">
      <w:pPr>
        <w:pStyle w:val="Heading3"/>
        <w:rPr>
          <w:b w:val="1"/>
          <w:bCs w:val="1"/>
        </w:rPr>
      </w:pPr>
      <w:bookmarkStart w:colFirst="0" w:colLast="0" w:name="_e6a5xlbgt93c" w:id="40"/>
      <w:bookmarkEnd w:id="40"/>
      <w:r w:rsidDel="00000000" w:rsidR="00000000" w:rsidRPr="00000000">
        <w:rPr>
          <w:b w:val="1"/>
          <w:bCs w:val="1"/>
          <w:rtl w:val="0"/>
        </w:rPr>
        <w:t xml:space="preserve">Pre-/Post- Measures</w:t>
      </w:r>
    </w:p>
    <w:p w:rsidR="00000000" w:rsidDel="00000000" w:rsidP="00000000" w:rsidRDefault="00000000" w:rsidRPr="00000000" w14:paraId="000000A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Pre-session measures included depressive and anxiety symptom measures, baseline expectancy/credibility measures, and wellbeing monitoring variables. Post-session measures included tolerability, side effects, acute experiential ratings, and symptom/wellbeing measures as specified by visit. The final analysis dataset identifies PHQ-9 and BDI-II as core clinical outcome fields and includes BAI, MADRS-S, M3VAS, M3VAS-Change, SPANE, expectancy items, 6D-VHQ, and 11-ASC variables where present. The attached Excel tab “</w:t>
      </w:r>
      <w:r w:rsidDel="00000000" w:rsidR="00000000" w:rsidRPr="00000000">
        <w:rPr>
          <w:b w:val="1"/>
          <w:bCs w:val="1"/>
          <w:rtl w:val="0"/>
        </w:rPr>
        <w:t xml:space="preserve">Study 3 Scale Definitions</w:t>
      </w:r>
      <w:r w:rsidDel="00000000" w:rsidR="00000000" w:rsidRPr="00000000">
        <w:rPr>
          <w:rFonts w:ascii="Palatino Linotype" w:cs="Palatino Linotype" w:eastAsia="Palatino Linotype" w:hAnsi="Palatino Linotype"/>
          <w:rtl w:val="0"/>
        </w:rPr>
        <w:t xml:space="preserve">” further expands on these applied measures. </w:t>
      </w:r>
    </w:p>
    <w:p w:rsidR="00000000" w:rsidDel="00000000" w:rsidP="00000000" w:rsidRDefault="00000000" w:rsidRPr="00000000" w14:paraId="000000A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A">
      <w:pPr>
        <w:pStyle w:val="Heading3"/>
        <w:rPr>
          <w:b w:val="1"/>
          <w:bCs w:val="1"/>
        </w:rPr>
      </w:pPr>
      <w:bookmarkStart w:colFirst="0" w:colLast="0" w:name="_h05pympvam1h" w:id="41"/>
      <w:bookmarkEnd w:id="41"/>
      <w:r w:rsidDel="00000000" w:rsidR="00000000" w:rsidRPr="00000000">
        <w:rPr>
          <w:b w:val="1"/>
          <w:bCs w:val="1"/>
          <w:rtl w:val="0"/>
        </w:rPr>
        <w:t xml:space="preserve">SMS Timing after Sessions 1-3</w:t>
      </w:r>
    </w:p>
    <w:p w:rsidR="00000000" w:rsidDel="00000000" w:rsidP="00000000" w:rsidRDefault="00000000" w:rsidRPr="00000000" w14:paraId="000000A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Between supervised sessions, participants completed brief SMS-based follow-up measures 1, 3, and 5 days after stimulation. The tracking notebooks parsed both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session calendars and SMS calendars, extracting participant IDs, session numbers, and SMS numbers from calendar metadata.</w:t>
      </w:r>
    </w:p>
    <w:p w:rsidR="00000000" w:rsidDel="00000000" w:rsidP="00000000" w:rsidRDefault="00000000" w:rsidRPr="00000000" w14:paraId="000000A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D">
      <w:pPr>
        <w:pStyle w:val="Heading3"/>
        <w:rPr>
          <w:b w:val="1"/>
          <w:bCs w:val="1"/>
        </w:rPr>
      </w:pPr>
      <w:bookmarkStart w:colFirst="0" w:colLast="0" w:name="_65v80dvynpeg" w:id="42"/>
      <w:bookmarkEnd w:id="42"/>
      <w:r w:rsidDel="00000000" w:rsidR="00000000" w:rsidRPr="00000000">
        <w:rPr>
          <w:b w:val="1"/>
          <w:bCs w:val="1"/>
          <w:rtl w:val="0"/>
        </w:rPr>
        <w:t xml:space="preserve">One-Week Follow-Up</w:t>
      </w:r>
    </w:p>
    <w:p w:rsidR="00000000" w:rsidDel="00000000" w:rsidP="00000000" w:rsidRDefault="00000000" w:rsidRPr="00000000" w14:paraId="000000A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the fourth supervised session, participants completed a final follow-up assessment approximately one week later. This assessment captured short-term symptom and affective status after completion of the four-session protocol.</w:t>
      </w:r>
    </w:p>
    <w:p w:rsidR="00000000" w:rsidDel="00000000" w:rsidP="00000000" w:rsidRDefault="00000000" w:rsidRPr="00000000" w14:paraId="000000A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0">
      <w:pPr>
        <w:pStyle w:val="Heading3"/>
        <w:rPr>
          <w:b w:val="1"/>
          <w:bCs w:val="1"/>
        </w:rPr>
      </w:pPr>
      <w:bookmarkStart w:colFirst="0" w:colLast="0" w:name="_yd9eccfn9la1" w:id="43"/>
      <w:bookmarkEnd w:id="43"/>
      <w:r w:rsidDel="00000000" w:rsidR="00000000" w:rsidRPr="00000000">
        <w:rPr>
          <w:b w:val="1"/>
          <w:bCs w:val="1"/>
          <w:rtl w:val="0"/>
        </w:rPr>
        <w:t xml:space="preserve">Randomisation and Allocation Concealment</w:t>
      </w:r>
    </w:p>
    <w:p w:rsidR="00000000" w:rsidDel="00000000" w:rsidP="00000000" w:rsidRDefault="00000000" w:rsidRPr="00000000" w14:paraId="000000B1">
      <w:pPr>
        <w:rPr>
          <w:rFonts w:ascii="Palatino Linotype" w:cs="Palatino Linotype" w:eastAsia="Palatino Linotype" w:hAnsi="Palatino Linotype"/>
        </w:rPr>
      </w:pP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used 1:1 allocation to </w:t>
      </w:r>
      <w:r w:rsidDel="00000000" w:rsidR="00000000" w:rsidRPr="00000000">
        <w:rPr>
          <w:rtl w:val="0"/>
        </w:rPr>
        <w:t xml:space="preserve">strobe-emphasis or wash-emphasis SLS configurations.</w:t>
      </w:r>
      <w:r w:rsidDel="00000000" w:rsidR="00000000" w:rsidRPr="00000000">
        <w:rPr>
          <w:rFonts w:ascii="Palatino Linotype" w:cs="Palatino Linotype" w:eastAsia="Palatino Linotype" w:hAnsi="Palatino Linotype"/>
          <w:rtl w:val="0"/>
        </w:rPr>
        <w:t xml:space="preserve"> Allocation was stratified by psychoactive medication status and baseline PHQ-9 severity, defined as PHQ-9 scores of 5-16 versus 17-27. Within each stratum, a pre-generated allocation sequence used randomly permuted blocks of four, with two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two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assignments per block. Condition codes and template filenames were concealed from participants and testing researchers. Perceived allocation, credibility and masking success were not assessed in this feasibility study.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b w:val="1"/>
          <w:bCs w:val="1"/>
        </w:rPr>
      </w:pPr>
      <w:bookmarkStart w:colFirst="0" w:colLast="0" w:name="_cihq734pvqou" w:id="44"/>
      <w:bookmarkEnd w:id="44"/>
      <w:r w:rsidDel="00000000" w:rsidR="00000000" w:rsidRPr="00000000">
        <w:rPr>
          <w:b w:val="1"/>
          <w:bCs w:val="1"/>
          <w:rtl w:val="0"/>
        </w:rPr>
        <w:t xml:space="preserve">Blinding Workflow</w:t>
      </w:r>
    </w:p>
    <w:p w:rsidR="00000000" w:rsidDel="00000000" w:rsidP="00000000" w:rsidRDefault="00000000" w:rsidRPr="00000000" w14:paraId="000000B4">
      <w:pPr>
        <w:spacing w:after="240" w:before="240" w:lineRule="auto"/>
        <w:rPr>
          <w:rFonts w:ascii="Palatino Linotype" w:cs="Palatino Linotype" w:eastAsia="Palatino Linotype" w:hAnsi="Palatino Linotype"/>
        </w:rPr>
      </w:pP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used masked sequence names rather than condition-identifying labels for researcher-facing session administration. Randomisation was implemented in a Python/Colab stratification notebook using four strata defined by baseline PHQ-9 severity and current medication status: low PHQ-9 with medication, low PHQ-9 without medication, high PHQ-9 with medication, and high PHQ-9 without medication. PHQ-9 severity was categorised as low for scores of 5–16 and high for scores of 17–27. The medication stratum was intentionally broad and was not restricted to antidepressants or mood-related treatment; it reflected any current medication exposure recorded at screening, alongside safety exclusions for current antipsychotic use and for supplements, herbs, or medications taken for too short a period to establish familiarity. Within each stratum, participants were allocated using permuted blocks of size four, with two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two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assignments per block.</w:t>
      </w:r>
    </w:p>
    <w:p w:rsidR="00000000" w:rsidDel="00000000" w:rsidP="00000000" w:rsidRDefault="00000000" w:rsidRPr="00000000" w14:paraId="000000B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notebook generated an assignment CSV containing the participant ID, stratum, </w:t>
      </w:r>
      <w:r w:rsidDel="00000000" w:rsidR="00000000" w:rsidRPr="00000000">
        <w:rPr>
          <w:rtl w:val="0"/>
        </w:rPr>
        <w:t xml:space="preserve">SLS configuration</w:t>
      </w:r>
      <w:r w:rsidDel="00000000" w:rsidR="00000000" w:rsidRPr="00000000">
        <w:rPr>
          <w:rFonts w:ascii="Palatino Linotype" w:cs="Palatino Linotype" w:eastAsia="Palatino Linotype" w:hAnsi="Palatino Linotype"/>
          <w:rtl w:val="0"/>
        </w:rPr>
        <w:t xml:space="preserve">, and a blinded sequence name. Researcher-facing session administration used only the blinded sequence names, rather than labels such as “Intervention” or “Control”. The blinded sequence names were generated as reproducible hashed codes using a fixed seed, so that files could be named consistently without revealing allocation. Specifically, five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five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sequence-code names were generated from SHA-256 hashes and used to create blinded template filenames of the form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-XXXXXX</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B6">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Balance checks exposing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-level counts were treated as potentially unblinding. The stratification notebook therefore included a guard whereby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balance checks were skipped when fewer than four new participants had been added, because checking an incomplete block could reveal allocation. When a full block or more had been added, the script required explicit confirmation before displaying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-by-stratum counts. These outputs were restricted to the PI or non-blinded workflow members and were not intended for routine researcher-facing session delivery.</w:t>
      </w:r>
    </w:p>
    <w:p w:rsidR="00000000" w:rsidDel="00000000" w:rsidP="00000000" w:rsidRDefault="00000000" w:rsidRPr="00000000" w14:paraId="000000B7">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8">
      <w:pPr>
        <w:pStyle w:val="Heading3"/>
        <w:rPr>
          <w:b w:val="1"/>
          <w:bCs w:val="1"/>
        </w:rPr>
      </w:pPr>
      <w:bookmarkStart w:colFirst="0" w:colLast="0" w:name="_f01rdxblage4" w:id="45"/>
      <w:bookmarkEnd w:id="45"/>
      <w:r w:rsidDel="00000000" w:rsidR="00000000" w:rsidRPr="00000000">
        <w:rPr>
          <w:b w:val="1"/>
          <w:bCs w:val="1"/>
          <w:rtl w:val="0"/>
        </w:rPr>
        <w:t xml:space="preserve">Allocation Concealment</w:t>
      </w:r>
    </w:p>
    <w:p w:rsidR="00000000" w:rsidDel="00000000" w:rsidP="00000000" w:rsidRDefault="00000000" w:rsidRPr="00000000" w14:paraId="000000B9">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Allocation concealment was implemented by separating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assignment from researcher-facing sequence delivery. Eligible participants were assigned to a masked sequence code, and the mapping between sequence code and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was retained in the assignment file. Researcher-facing materials and session files used the masked sequence codes rather than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-identifying labels.</w:t>
      </w:r>
    </w:p>
    <w:p w:rsidR="00000000" w:rsidDel="00000000" w:rsidP="00000000" w:rsidRDefault="00000000" w:rsidRPr="00000000" w14:paraId="000000BA">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workflow also preserved prior assignments when the stratification script was rerun. On each run, the notebook loaded the existing assignment CSV, removed participants who had become ineligible before randomisation or who never attended Session 1, and then identified only newly eligible, unassigned participants. Existing participants retained their original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and sequence name. New participants were assigned according to their stratum-specific block position, with the block order reproducibly generated from the fixed seed, stratum label, and block number. This ensured that rerunning the notebook did not reshuffle or overwrite previous allocations.</w:t>
      </w:r>
    </w:p>
    <w:p w:rsidR="00000000" w:rsidDel="00000000" w:rsidP="00000000" w:rsidRDefault="00000000" w:rsidRPr="00000000" w14:paraId="000000BB">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template files used for session delivery were duplicated under masked sequence-code filenames. Separate source templates existed for the </w:t>
      </w:r>
      <w:r w:rsidDel="00000000" w:rsidR="00000000" w:rsidRPr="00000000">
        <w:rPr>
          <w:rtl w:val="0"/>
        </w:rPr>
        <w:t xml:space="preserve">strobe-emphasis and wash-emphasis SLS</w:t>
      </w:r>
      <w:r w:rsidDel="00000000" w:rsidR="00000000" w:rsidRPr="00000000">
        <w:rPr>
          <w:rFonts w:ascii="Palatino Linotype" w:cs="Palatino Linotype" w:eastAsia="Palatino Linotype" w:hAnsi="Palatino Linotype"/>
          <w:rtl w:val="0"/>
        </w:rPr>
        <w:t xml:space="preserve"> sequences, but the researcher-facing files were renamed using the masked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-XXXXXX sequence codes. Thus, session administrators could load the appropriate sequence file without seeing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-identifying information.</w:t>
      </w:r>
    </w:p>
    <w:p w:rsidR="00000000" w:rsidDel="00000000" w:rsidP="00000000" w:rsidRDefault="00000000" w:rsidRPr="00000000" w14:paraId="000000B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D">
      <w:pPr>
        <w:pStyle w:val="Heading3"/>
        <w:rPr>
          <w:b w:val="1"/>
          <w:bCs w:val="1"/>
        </w:rPr>
      </w:pPr>
      <w:bookmarkStart w:colFirst="0" w:colLast="0" w:name="_t0fpa0ww166b" w:id="46"/>
      <w:bookmarkEnd w:id="46"/>
      <w:r w:rsidDel="00000000" w:rsidR="00000000" w:rsidRPr="00000000">
        <w:rPr>
          <w:b w:val="1"/>
          <w:bCs w:val="1"/>
          <w:rtl w:val="0"/>
        </w:rPr>
        <w:t xml:space="preserve">Stratification Script Logic</w:t>
      </w:r>
    </w:p>
    <w:p w:rsidR="00000000" w:rsidDel="00000000" w:rsidP="00000000" w:rsidRDefault="00000000" w:rsidRPr="00000000" w14:paraId="000000B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stratification workflow used the prescreening file to identify participants eligible for allocation. Participants were retained for randomisation only if they had passed prescreening, had either booked a session or indicated that no slot was available, had a valid PHQ-9 severity category, and had valid pharmacological-treatment status information. Participants who never attended Session 1, withdrew before arrival, were later identified as ineligible, or dropped out at the taster stage were excluded from the active randomisation file before new allocations were generated.</w:t>
      </w:r>
    </w:p>
    <w:p w:rsidR="00000000" w:rsidDel="00000000" w:rsidP="00000000" w:rsidRDefault="00000000" w:rsidRPr="00000000" w14:paraId="000000BF">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script defined four strata by crossing PHQ-9 severity with current pharmacological-treatment status: lower PHQ-9 with medication, lower PHQ-9 without medication, higher PHQ-9 with medication, and higher PHQ-9 without medication. PHQ-9 severity was categorised as lower for scores of 5-16 and higher for scores of 17-27.</w:t>
      </w:r>
    </w:p>
    <w:p w:rsidR="00000000" w:rsidDel="00000000" w:rsidP="00000000" w:rsidRDefault="00000000" w:rsidRPr="00000000" w14:paraId="000000C0">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Within each stratum, new participants were assigned using permuted blocks of size four, with two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two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allocations per block. A fixed seed was used to make the block ordering reproducible. For each stratum and block number, the script generated a deterministic randomisation order by hashing the seed, stratum, and block index, then shuffling a block containing two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two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labels. This produced reproducible allocation while maintaining balance within strata over complete blocks.</w:t>
      </w:r>
    </w:p>
    <w:p w:rsidR="00000000" w:rsidDel="00000000" w:rsidP="00000000" w:rsidRDefault="00000000" w:rsidRPr="00000000" w14:paraId="000000C1">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notebook also generated masked sequence names using SHA-256 hashes based on the fixed seed,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and sequence index. Five masked sequence codes were generated for </w:t>
      </w:r>
      <w:r w:rsidDel="00000000" w:rsidR="00000000" w:rsidRPr="00000000">
        <w:rPr>
          <w:rtl w:val="0"/>
        </w:rPr>
        <w:t xml:space="preserve">strobe-emphasis SLS</w:t>
      </w:r>
      <w:r w:rsidDel="00000000" w:rsidR="00000000" w:rsidRPr="00000000">
        <w:rPr>
          <w:rFonts w:ascii="Palatino Linotype" w:cs="Palatino Linotype" w:eastAsia="Palatino Linotype" w:hAnsi="Palatino Linotype"/>
          <w:rtl w:val="0"/>
        </w:rPr>
        <w:t xml:space="preserve"> and five for </w:t>
      </w:r>
      <w:r w:rsidDel="00000000" w:rsidR="00000000" w:rsidRPr="00000000">
        <w:rPr>
          <w:rtl w:val="0"/>
        </w:rPr>
        <w:t xml:space="preserve">wash-emphasis SLS</w:t>
      </w:r>
      <w:r w:rsidDel="00000000" w:rsidR="00000000" w:rsidRPr="00000000">
        <w:rPr>
          <w:rFonts w:ascii="Palatino Linotype" w:cs="Palatino Linotype" w:eastAsia="Palatino Linotype" w:hAnsi="Palatino Linotype"/>
          <w:rtl w:val="0"/>
        </w:rPr>
        <w:t xml:space="preserve">. These codes were then used to duplicate the underlying sequence template files, so that researcher-facing filenames did not reveal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assignment.</w:t>
      </w:r>
    </w:p>
    <w:p w:rsidR="00000000" w:rsidDel="00000000" w:rsidP="00000000" w:rsidRDefault="00000000" w:rsidRPr="00000000" w14:paraId="000000C2">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separate balance-checking section of the notebook was used for monitoring overall allocation by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and stratum. Because these outputs reveal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counts, they were treated as unmasked monitoring outputs and were restricted to PI or non-masked workflow use.</w:t>
      </w:r>
    </w:p>
    <w:p w:rsidR="00000000" w:rsidDel="00000000" w:rsidP="00000000" w:rsidRDefault="00000000" w:rsidRPr="00000000" w14:paraId="000000C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4">
      <w:pPr>
        <w:pStyle w:val="Heading3"/>
        <w:rPr>
          <w:b w:val="1"/>
          <w:bCs w:val="1"/>
        </w:rPr>
      </w:pPr>
      <w:bookmarkStart w:colFirst="0" w:colLast="0" w:name="_a2ew4dycym5i" w:id="47"/>
      <w:bookmarkEnd w:id="47"/>
      <w:r w:rsidDel="00000000" w:rsidR="00000000" w:rsidRPr="00000000">
        <w:rPr>
          <w:b w:val="1"/>
          <w:bCs w:val="1"/>
          <w:rtl w:val="0"/>
        </w:rPr>
        <w:t xml:space="preserve">Debriefing</w:t>
      </w:r>
    </w:p>
    <w:p w:rsidR="00000000" w:rsidDel="00000000" w:rsidP="00000000" w:rsidRDefault="00000000" w:rsidRPr="00000000" w14:paraId="000000C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completing their final follow-up procedures, participants were debriefed by email regarding the study aims, the use of both </w:t>
      </w:r>
      <w:r w:rsidDel="00000000" w:rsidR="00000000" w:rsidRPr="00000000">
        <w:rPr>
          <w:rtl w:val="0"/>
        </w:rPr>
        <w:t xml:space="preserve">strobe-emphasis and wash-emphasis SLS</w:t>
      </w:r>
      <w:r w:rsidDel="00000000" w:rsidR="00000000" w:rsidRPr="00000000">
        <w:rPr>
          <w:rFonts w:ascii="Palatino Linotype" w:cs="Palatino Linotype" w:eastAsia="Palatino Linotype" w:hAnsi="Palatino Linotype"/>
          <w:rtl w:val="0"/>
        </w:rPr>
        <w:t xml:space="preserve"> sequences, their allocated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and the exploratory nature of the symptom outcomes. The debriefing text explained that both groups completed the same questionnaire and session schedule, but that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used strobe sequences designed to minimise stroboscopic phenomenology while preserving the broader session context.</w:t>
      </w:r>
    </w:p>
    <w:p w:rsidR="00000000" w:rsidDel="00000000" w:rsidP="00000000" w:rsidRDefault="00000000" w:rsidRPr="00000000" w14:paraId="000000C6">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Participants were reminded that the study was not diagnostic and was not designed to provide clinical treatment. Where appropriate, participants were signposted again to local and national mental-health support resources, including University of Sussex support routes for students. The debriefing workflow used the assignment file to retrieve each participant’s allocation and insert the appropriate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label into the debriefing email.</w:t>
      </w:r>
      <w:r w:rsidDel="00000000" w:rsidR="00000000" w:rsidRPr="00000000">
        <w:rPr>
          <w:rtl w:val="0"/>
        </w:rPr>
      </w:r>
    </w:p>
    <w:p w:rsidR="00000000" w:rsidDel="00000000" w:rsidP="00000000" w:rsidRDefault="00000000" w:rsidRPr="00000000" w14:paraId="000000C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8">
      <w:pPr>
        <w:pStyle w:val="Heading2"/>
        <w:rPr/>
      </w:pPr>
      <w:bookmarkStart w:colFirst="0" w:colLast="0" w:name="_xy80twhhn3ub" w:id="48"/>
      <w:bookmarkEnd w:id="48"/>
      <w:r w:rsidDel="00000000" w:rsidR="00000000" w:rsidRPr="00000000">
        <w:rPr>
          <w:rtl w:val="0"/>
        </w:rPr>
        <w:t xml:space="preserve">S8. Study 3 Feasibility, Adherence, and Missingness</w:t>
      </w:r>
    </w:p>
    <w:p w:rsidR="00000000" w:rsidDel="00000000" w:rsidP="00000000" w:rsidRDefault="00000000" w:rsidRPr="00000000" w14:paraId="000000C9">
      <w:pPr>
        <w:pStyle w:val="Heading3"/>
        <w:rPr>
          <w:b w:val="1"/>
          <w:bCs w:val="1"/>
        </w:rPr>
      </w:pPr>
      <w:bookmarkStart w:colFirst="0" w:colLast="0" w:name="_eon4l8ohmp8k" w:id="49"/>
      <w:bookmarkEnd w:id="49"/>
      <w:r w:rsidDel="00000000" w:rsidR="00000000" w:rsidRPr="00000000">
        <w:rPr>
          <w:b w:val="1"/>
          <w:bCs w:val="1"/>
          <w:rtl w:val="0"/>
        </w:rPr>
        <w:t xml:space="preserve">Scheduled-Event Denominator</w:t>
      </w:r>
      <w:r w:rsidDel="00000000" w:rsidR="00000000" w:rsidRPr="00000000">
        <w:rPr>
          <w:rtl w:val="0"/>
        </w:rPr>
      </w:r>
    </w:p>
    <w:p w:rsidR="00000000" w:rsidDel="00000000" w:rsidP="00000000" w:rsidRDefault="00000000" w:rsidRPr="00000000" w14:paraId="000000C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scheduled-event denominator distinguished between participants who passed screening, participants who were randomised, participants who attended Session 1, and participants expected to provide post-session data at each subsequent visit.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monitoring notebook explicitly separated never-attended IDs, post-Session-1 dropouts, and taster-session dropouts. This distinction is important because participants who never attended Session 1 should not be counted as missing post-baseline treatment data, whereas participants who attended Session 1 but subsequently withdrew contribute to retention and adherence denominators.</w:t>
      </w:r>
    </w:p>
    <w:p w:rsidR="00000000" w:rsidDel="00000000" w:rsidP="00000000" w:rsidRDefault="00000000" w:rsidRPr="00000000" w14:paraId="000000CB">
      <w:pPr>
        <w:rPr>
          <w:rFonts w:ascii="Palatino Linotype" w:cs="Palatino Linotype" w:eastAsia="Palatino Linotype" w:hAnsi="Palatino Linotype"/>
        </w:rPr>
      </w:pPr>
      <w:r w:rsidDel="00000000" w:rsidR="00000000" w:rsidRPr="00000000">
        <w:rPr>
          <w:rtl w:val="0"/>
        </w:rPr>
        <w:t xml:space="preserve">The Study 3 denominator audit distinguished the randomised cohort from downstream questionnaire and processing denominators. All 84 participants in the assignment dataset were randomised, and broad Session-1 questionnaire evidence, defined as evidence of either a pre-Session-1 or post-Session-1 form, was identified for all 84. A stricter 81-record denominator was used in some subsequent longitudinal/post-session processing, within which 79 participants had post-Session-1 data. The available audit does not establish that the three-record difference between the randomised N=84 and this stricter N=81 represents participants who failed to initiate or complete Session 1. Accordingly, N=81 is retained as an operational audit denominator rather than interpreted as a verified Session-1-starter population. By Session 4, 70 participants had evidence of Session-4 participation and 70 provided immediate post-Session-4 data. </w:t>
      </w:r>
      <w:r w:rsidDel="00000000" w:rsidR="00000000" w:rsidRPr="00000000">
        <w:rPr>
          <w:rtl w:val="0"/>
        </w:rPr>
      </w:r>
    </w:p>
    <w:p w:rsidR="00000000" w:rsidDel="00000000" w:rsidP="00000000" w:rsidRDefault="00000000" w:rsidRPr="00000000" w14:paraId="000000C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Using the broad treatment-started definition, Session 1 attendance was defined by evidence of either a pre-session-1 or post-session-1 form. A stricter post-treatment evidence definition counted participants with post-Session-1 data only (n = 79). Participants who never attended Session 1 should not be counted as missing post-baseline treatment data, whereas participants who started Session 1 but did not continue contribute to retention and adherence denominators.</w:t>
      </w:r>
    </w:p>
    <w:p w:rsidR="00000000" w:rsidDel="00000000" w:rsidP="00000000" w:rsidRDefault="00000000" w:rsidRPr="00000000" w14:paraId="000000C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audit identified n = 7 post-Session-1 dropouts using data-defined or manual criteria, and n = 1 possible taster-session dropouts based on detected text fields or manual override. </w:t>
      </w:r>
    </w:p>
    <w:p w:rsidR="00000000" w:rsidDel="00000000" w:rsidP="00000000" w:rsidRDefault="00000000" w:rsidRPr="00000000" w14:paraId="000000C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By Session 4, n = 70 participants had evidence of attending or starting the session, and n = 70 provided post-Session-4 data.</w:t>
      </w:r>
    </w:p>
    <w:p w:rsidR="00000000" w:rsidDel="00000000" w:rsidP="00000000" w:rsidRDefault="00000000" w:rsidRPr="00000000" w14:paraId="000000C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Session-specific scheduled-event denominators:</w:t>
      </w:r>
    </w:p>
    <w:p w:rsidR="00000000" w:rsidDel="00000000" w:rsidP="00000000" w:rsidRDefault="00000000" w:rsidRPr="00000000" w14:paraId="000000D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 1: scheduled-event denominator = 84; post-session data available = 79; missing among scheduled = 5; completion = 79/84 (94.05%).</w:t>
      </w:r>
    </w:p>
    <w:p w:rsidR="00000000" w:rsidDel="00000000" w:rsidP="00000000" w:rsidRDefault="00000000" w:rsidRPr="00000000" w14:paraId="000000D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 2: scheduled-event denominator = 74; post-session data available = 74; missing among scheduled = 0; completion = 74/74 (100.0%).</w:t>
      </w:r>
    </w:p>
    <w:p w:rsidR="00000000" w:rsidDel="00000000" w:rsidP="00000000" w:rsidRDefault="00000000" w:rsidRPr="00000000" w14:paraId="000000D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 3: scheduled-event denominator = 71; post-session data available = 71; missing among scheduled = 0; completion = 71/71 (100.0%).</w:t>
      </w:r>
    </w:p>
    <w:p w:rsidR="00000000" w:rsidDel="00000000" w:rsidP="00000000" w:rsidRDefault="00000000" w:rsidRPr="00000000" w14:paraId="000000D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 4: scheduled-event denominator = 70; post-session data available = 70; missing among scheduled = 0; completion = 70/70 (100.0%).</w:t>
      </w:r>
      <w:r w:rsidDel="00000000" w:rsidR="00000000" w:rsidRPr="00000000">
        <w:rPr>
          <w:rtl w:val="0"/>
        </w:rPr>
      </w:r>
    </w:p>
    <w:p w:rsidR="00000000" w:rsidDel="00000000" w:rsidP="00000000" w:rsidRDefault="00000000" w:rsidRPr="00000000" w14:paraId="000000D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D5">
      <w:pPr>
        <w:pStyle w:val="Heading3"/>
        <w:rPr>
          <w:b w:val="1"/>
          <w:bCs w:val="1"/>
        </w:rPr>
      </w:pPr>
      <w:bookmarkStart w:colFirst="0" w:colLast="0" w:name="_zgfqtkmqhe8u" w:id="50"/>
      <w:bookmarkEnd w:id="50"/>
      <w:r w:rsidDel="00000000" w:rsidR="00000000" w:rsidRPr="00000000">
        <w:rPr>
          <w:b w:val="1"/>
          <w:bCs w:val="1"/>
          <w:rtl w:val="0"/>
        </w:rPr>
        <w:t xml:space="preserve">Attendance by Configuration/Session</w:t>
      </w:r>
    </w:p>
    <w:p w:rsidR="00000000" w:rsidDel="00000000" w:rsidP="00000000" w:rsidRDefault="00000000" w:rsidRPr="00000000" w14:paraId="000000D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Attendance was summarised as the number and percentage of randomised participants who completed each scheduled stimulation session, separately by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Of 84 randomised participants, 42 were allocated to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42 to </w:t>
      </w:r>
      <w:r w:rsidDel="00000000" w:rsidR="00000000" w:rsidRPr="00000000">
        <w:rPr>
          <w:rtl w:val="0"/>
        </w:rPr>
        <w:t xml:space="preserve">wash-emphasis SLS</w:t>
      </w:r>
      <w:r w:rsidDel="00000000" w:rsidR="00000000" w:rsidRPr="00000000">
        <w:rPr>
          <w:rFonts w:ascii="Palatino Linotype" w:cs="Palatino Linotype" w:eastAsia="Palatino Linotype" w:hAnsi="Palatino Linotype"/>
          <w:rtl w:val="0"/>
        </w:rPr>
        <w:t xml:space="preserve">. Session completion was 39/42, 35/42, 32/42, and 31/42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across Sessions 1-4, and 42/42, 39/42, 39/42, and 39/42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These values are reported as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-specific feasibility/adherence outcomes and should be interpreted alongside the study-flow figure, which reports screening, randomisation, follow-up, and analysis denominators. Per-</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/session attendance is summarised in the attached Excel sheet, tab “</w:t>
      </w:r>
      <w:r w:rsidDel="00000000" w:rsidR="00000000" w:rsidRPr="00000000">
        <w:rPr>
          <w:b w:val="1"/>
          <w:bCs w:val="1"/>
          <w:rtl w:val="0"/>
        </w:rPr>
        <w:t xml:space="preserve">Study 3 Attendance by Configuration/Session</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b w:val="1"/>
          <w:bCs w:val="1"/>
        </w:rPr>
      </w:pPr>
      <w:bookmarkStart w:colFirst="0" w:colLast="0" w:name="_cjqconl62llu" w:id="51"/>
      <w:bookmarkEnd w:id="51"/>
      <w:r w:rsidDel="00000000" w:rsidR="00000000" w:rsidRPr="00000000">
        <w:rPr>
          <w:b w:val="1"/>
          <w:bCs w:val="1"/>
          <w:rtl w:val="0"/>
        </w:rPr>
        <w:t xml:space="preserve">Questionnaire Completion</w:t>
      </w:r>
    </w:p>
    <w:p w:rsidR="00000000" w:rsidDel="00000000" w:rsidP="00000000" w:rsidRDefault="00000000" w:rsidRPr="00000000" w14:paraId="000000D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Data-collection adherence was calculated as observed/expected responses at each scheduled data-collection event. Pre-session and post-session forms were expected for participants with evidence of attending the corresponding session. The three SMS follow-ups after Sessions 1, 2, and 3 were treated as separate expected events using session_n and sms_n. Final SMS/post-treatment follow-up was expected for participants with evidence of attending Session 4.</w:t>
      </w:r>
    </w:p>
    <w:p w:rsidR="00000000" w:rsidDel="00000000" w:rsidP="00000000" w:rsidRDefault="00000000" w:rsidRPr="00000000" w14:paraId="000000D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all expected event-person observations, total data-collection adherence was 1174/1340 (87.6%). For all details, please see the attached Excel workbook, tab “</w:t>
      </w:r>
      <w:r w:rsidDel="00000000" w:rsidR="00000000" w:rsidRPr="00000000">
        <w:rPr>
          <w:b w:val="1"/>
          <w:bCs w:val="1"/>
          <w:rtl w:val="0"/>
        </w:rPr>
        <w:t xml:space="preserve">Study 3 Data-Collection Adherence</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D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Lowest-completion events:</w:t>
      </w:r>
    </w:p>
    <w:p w:rsidR="00000000" w:rsidDel="00000000" w:rsidP="00000000" w:rsidRDefault="00000000" w:rsidRPr="00000000" w14:paraId="000000D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SMS 2 after Session 3: 43/71 (60.6%), missing n = 28</w:t>
      </w:r>
    </w:p>
    <w:p w:rsidR="00000000" w:rsidDel="00000000" w:rsidP="00000000" w:rsidRDefault="00000000" w:rsidRPr="00000000" w14:paraId="000000D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SMS 2 after Session 2: 50/74 (67.6%), missing n = 24</w:t>
      </w:r>
    </w:p>
    <w:p w:rsidR="00000000" w:rsidDel="00000000" w:rsidP="00000000" w:rsidRDefault="00000000" w:rsidRPr="00000000" w14:paraId="000000D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SMS 1 after Session 2: 57/74 (77.0%), missing n = 17</w:t>
      </w:r>
    </w:p>
    <w:p w:rsidR="00000000" w:rsidDel="00000000" w:rsidP="00000000" w:rsidRDefault="00000000" w:rsidRPr="00000000" w14:paraId="000000D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SMS 1 after Session 3: 55/71 (77.5%), missing n = 16</w:t>
      </w:r>
    </w:p>
    <w:p w:rsidR="00000000" w:rsidDel="00000000" w:rsidP="00000000" w:rsidRDefault="00000000" w:rsidRPr="00000000" w14:paraId="000000E0">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rtl w:val="0"/>
        </w:rPr>
        <w:t xml:space="preserve">SMS 3 after Session 3: 55/71 (77.5%), missing n = 16</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b w:val="1"/>
          <w:bCs w:val="1"/>
        </w:rPr>
      </w:pPr>
      <w:bookmarkStart w:colFirst="0" w:colLast="0" w:name="_kz43dyxfn96y" w:id="52"/>
      <w:bookmarkEnd w:id="52"/>
      <w:r w:rsidDel="00000000" w:rsidR="00000000" w:rsidRPr="00000000">
        <w:rPr>
          <w:b w:val="1"/>
          <w:bCs w:val="1"/>
          <w:rtl w:val="0"/>
        </w:rPr>
        <w:t xml:space="preserve">Reasons for Missed Sessions / Withdrawal</w:t>
      </w:r>
    </w:p>
    <w:p w:rsidR="00000000" w:rsidDel="00000000" w:rsidP="00000000" w:rsidRDefault="00000000" w:rsidRPr="00000000" w14:paraId="000000E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Dropout reasons were summarised using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dropout questionnaire and manually curated attendance categories.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monitoring notebook mapped free-text dropout reasons into broader categories including tolerability, scheduling, other, and unknown. Where possible, missed sessions and withdrawals were tabulated by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and category, separating participants who never attended Session 1 from participants who attended at least one supervised session and then missed later sessions or endpoint assessment. </w:t>
      </w:r>
      <w:r w:rsidDel="00000000" w:rsidR="00000000" w:rsidRPr="00000000">
        <w:rPr>
          <w:rtl w:val="0"/>
        </w:rPr>
      </w:r>
    </w:p>
    <w:p w:rsidR="00000000" w:rsidDel="00000000" w:rsidP="00000000" w:rsidRDefault="00000000" w:rsidRPr="00000000" w14:paraId="000000E4">
      <w:pPr>
        <w:spacing w:after="240" w:before="240" w:lineRule="auto"/>
        <w:rPr>
          <w:rFonts w:ascii="Palatino Linotype" w:cs="Palatino Linotype" w:eastAsia="Palatino Linotype" w:hAnsi="Palatino Linotype"/>
        </w:rPr>
      </w:pPr>
      <w:r w:rsidDel="00000000" w:rsidR="00000000" w:rsidRPr="00000000">
        <w:rPr>
          <w:rtl w:val="0"/>
        </w:rPr>
        <w:t xml:space="preserve">Of the 14 participants who did not provide the post-Session-4 endpoint</w:t>
      </w:r>
      <w:r w:rsidDel="00000000" w:rsidR="00000000" w:rsidRPr="00000000">
        <w:rPr>
          <w:rFonts w:ascii="Palatino Linotype" w:cs="Palatino Linotype" w:eastAsia="Palatino Linotype" w:hAnsi="Palatino Linotype"/>
          <w:rtl w:val="0"/>
        </w:rPr>
        <w:t xml:space="preserve">, 3 occurred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and 11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Four participants discontinued due to discomfort, split evenly across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(2 </w:t>
      </w:r>
      <w:r w:rsidDel="00000000" w:rsidR="00000000" w:rsidRPr="00000000">
        <w:rPr>
          <w:rtl w:val="0"/>
        </w:rPr>
        <w:t xml:space="preserve">strobe-emphasis, 2 wash-emphasis</w:t>
      </w:r>
      <w:r w:rsidDel="00000000" w:rsidR="00000000" w:rsidRPr="00000000">
        <w:rPr>
          <w:rFonts w:ascii="Palatino Linotype" w:cs="Palatino Linotype" w:eastAsia="Palatino Linotype" w:hAnsi="Palatino Linotype"/>
          <w:rtl w:val="0"/>
        </w:rPr>
        <w:t xml:space="preserve">). Two participants discontinued due to perceived negative effects (e.g., mild headache), both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The remaining eight discontinuations were attributed to scheduling/logistical constraints, comprising one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participant and seven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participants.</w:t>
        <w:br w:type="textWrapping"/>
      </w:r>
    </w:p>
    <w:p w:rsidR="00000000" w:rsidDel="00000000" w:rsidP="00000000" w:rsidRDefault="00000000" w:rsidRPr="00000000" w14:paraId="000000E5">
      <w:pPr>
        <w:pStyle w:val="Heading3"/>
        <w:rPr>
          <w:b w:val="1"/>
          <w:bCs w:val="1"/>
        </w:rPr>
      </w:pPr>
      <w:bookmarkStart w:colFirst="0" w:colLast="0" w:name="_ikix0am0sxi5" w:id="53"/>
      <w:bookmarkEnd w:id="53"/>
      <w:r w:rsidDel="00000000" w:rsidR="00000000" w:rsidRPr="00000000">
        <w:rPr>
          <w:b w:val="1"/>
          <w:bCs w:val="1"/>
          <w:rtl w:val="0"/>
        </w:rPr>
        <w:t xml:space="preserve">Differential Endpoint Attrition and Baseline Characteristics of Completers/Non-Completers</w:t>
      </w:r>
    </w:p>
    <w:p w:rsidR="00000000" w:rsidDel="00000000" w:rsidP="00000000" w:rsidRDefault="00000000" w:rsidRPr="00000000" w14:paraId="000000E6">
      <w:pPr>
        <w:rPr/>
      </w:pPr>
      <w:r w:rsidDel="00000000" w:rsidR="00000000" w:rsidRPr="00000000">
        <w:rPr>
          <w:rtl w:val="0"/>
        </w:rPr>
        <w:t xml:space="preserve">Endpoint availability differed between randomised configurations. Post-Session-4 data were available for 39/42 strobe-emphasis participants (92.9%) and 31/42 wash-emphasis participants (73.8%), corresponding to endpoint unavailability of 3/42 (7.1%) and 11/42 (26.2%), respectively</w:t>
      </w:r>
      <w:r w:rsidDel="00000000" w:rsidR="00000000" w:rsidRPr="00000000">
        <w:rPr>
          <w:rtl w:val="0"/>
        </w:rPr>
        <w:t xml:space="preserve">; however, the randomised denominator included three wash-emphasis participants who did not complete Session 1. A stricter 81-record denominator appears in downstream longitudinal/post-session audit processing, but its three-record difference from the randomised cohort cannot be attributed confidently to Session-1 non-initiation or non-completion. We therefore do not use this denominator to calculate configuration-specific retention among a putative Session-1-starter population. Differential endpoint availability is instead reported against the randomised denominator of 42 participants per configuration. </w:t>
      </w:r>
    </w:p>
    <w:p w:rsidR="00000000" w:rsidDel="00000000" w:rsidP="00000000" w:rsidRDefault="00000000" w:rsidRPr="00000000" w14:paraId="000000E7">
      <w:pPr>
        <w:rPr/>
      </w:pPr>
      <w:r w:rsidDel="00000000" w:rsidR="00000000" w:rsidRPr="00000000">
        <w:rPr>
          <w:rtl w:val="0"/>
        </w:rPr>
        <w:br w:type="textWrapping"/>
        <w:t xml:space="preserve">To examine whether endpoint availability selected participants with systematically different baseline characteristics, baseline BDI-II, PHQ-9 and treatment expectancy were summarised descriptively by endpoint-completion status within each configuration. Under strobe-emphasis SLS, baseline data were available for all 39 endpoint completers and 3 non-completers. Completers and non-completers had similar baseline BDI-II scores (26.74 vs 26.00) and PHQ-9 scores (12.46 vs 12.33), while mean baseline expectancy was higher among completers (57.00 vs 39.67). Under wash-emphasis SLS, baseline data were available for all 31 endpoint completers and 8 of the 11 non-completers. Completers had higher baseline BDI-II scores (29.13 vs 24.12), slightly lower PHQ-9 scores (13.06 vs 14.50), and lower baseline expectancy (56.87 vs 71.12) than non-completers with available baseline data. These comparisons do not indicate a single consistent baseline severity- or expectancy-related selection pattern, and the small non-completer samples limit interpretation. Differential endpoint availability therefore remains an important source of uncertainty for available-case clinical contrasts. </w:t>
      </w:r>
    </w:p>
    <w:p w:rsidR="00000000" w:rsidDel="00000000" w:rsidP="00000000" w:rsidRDefault="00000000" w:rsidRPr="00000000" w14:paraId="000000E8">
      <w:pPr>
        <w:rPr/>
      </w:pPr>
      <w:r w:rsidDel="00000000" w:rsidR="00000000" w:rsidRPr="00000000">
        <w:rPr>
          <w:rtl w:val="0"/>
        </w:rPr>
        <w:br w:type="textWrapping"/>
        <w:t xml:space="preserve">Early tolerability was also considered descriptively as a possible contributor to differential retention. Using the dedicated 0–10 post-session discomfort rating, mean Session-1 discomfort was 0.72 under wash-emphasis SLS and 0.23 under strobe-emphasis SLS (n=39 and n=40, respectively); both values were low in absolute terms. This difference does not establish that discomfort caused subsequent withdrawal. Withdrawal reasons were also unevenly distributed between configurations: four discontinuations were attributed to discomfort (2 per configuration), both discontinuations attributed to perceived negative effects occurred under wash-emphasis SLS, and seven of eight scheduling/logistical losses occurred under wash-emphasis SLS. Taken together, these descriptive patterns do not identify a single missing-data mechanism and support cautious interpretation of the available-case clinical contrasts.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b w:val="1"/>
          <w:bCs w:val="1"/>
        </w:rPr>
      </w:pPr>
      <w:bookmarkStart w:colFirst="0" w:colLast="0" w:name="_my37cb63stmh" w:id="54"/>
      <w:bookmarkEnd w:id="54"/>
      <w:r w:rsidDel="00000000" w:rsidR="00000000" w:rsidRPr="00000000">
        <w:rPr>
          <w:b w:val="1"/>
          <w:bCs w:val="1"/>
          <w:rtl w:val="0"/>
        </w:rPr>
        <w:t xml:space="preserve">Available-Case Rules</w:t>
      </w:r>
      <w:r w:rsidDel="00000000" w:rsidR="00000000" w:rsidRPr="00000000">
        <w:rPr>
          <w:rtl w:val="0"/>
        </w:rPr>
      </w:r>
    </w:p>
    <w:p w:rsidR="00000000" w:rsidDel="00000000" w:rsidP="00000000" w:rsidRDefault="00000000" w:rsidRPr="00000000" w14:paraId="000000E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Analyses used available-case rules appropriate to each outcome. Safety and tolerability summaries included all completed post-session tolerability reports. Repeated-session plots used all available session-level data without imputing missing visits. Endpoint clinical analyses used participants with valid baseline and endpoint data for the relevant measure. Questionnaire scale scores were computed where sufficient item-level data were available according to the scale-specific scoring rules; otherwise, the relevant participant-timepoint was treated as missing for that outcome. </w:t>
      </w:r>
      <w:r w:rsidDel="00000000" w:rsidR="00000000" w:rsidRPr="00000000">
        <w:rPr>
          <w:rtl w:val="0"/>
        </w:rPr>
      </w:r>
    </w:p>
    <w:p w:rsidR="00000000" w:rsidDel="00000000" w:rsidP="00000000" w:rsidRDefault="00000000" w:rsidRPr="00000000" w14:paraId="000000EC">
      <w:pPr>
        <w:pStyle w:val="Heading3"/>
        <w:rPr/>
      </w:pPr>
      <w:bookmarkStart w:colFirst="0" w:colLast="0" w:name="_o5uqzrvloobs" w:id="55"/>
      <w:bookmarkEnd w:id="55"/>
      <w:r w:rsidDel="00000000" w:rsidR="00000000" w:rsidRPr="00000000">
        <w:rPr>
          <w:rtl w:val="0"/>
        </w:rPr>
      </w:r>
    </w:p>
    <w:p w:rsidR="00000000" w:rsidDel="00000000" w:rsidP="00000000" w:rsidRDefault="00000000" w:rsidRPr="00000000" w14:paraId="000000ED">
      <w:pPr>
        <w:pStyle w:val="Heading3"/>
        <w:rPr>
          <w:b w:val="1"/>
          <w:bCs w:val="1"/>
        </w:rPr>
      </w:pPr>
      <w:bookmarkStart w:colFirst="0" w:colLast="0" w:name="_u8auc2ejlbgk" w:id="56"/>
      <w:bookmarkEnd w:id="56"/>
      <w:r w:rsidDel="00000000" w:rsidR="00000000" w:rsidRPr="00000000">
        <w:rPr>
          <w:b w:val="1"/>
          <w:bCs w:val="1"/>
          <w:rtl w:val="0"/>
        </w:rPr>
        <w:t xml:space="preserve">Deviations from Protocol</w:t>
      </w:r>
    </w:p>
    <w:p w:rsidR="00000000" w:rsidDel="00000000" w:rsidP="00000000" w:rsidRDefault="00000000" w:rsidRPr="00000000" w14:paraId="000000E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Protocol deviations should be reported descriptively and separated from missing data. Examples include manual scheduling issues, participants who booked but never attended, participants who withdrew before stimulation, participants who discontinued during or after a taster session, and cases where session timing or SMS timing deviated from the intended schedule. Deviations were not automatically treated as exclusions unless they invalidated the relevant analysis denominator. </w:t>
      </w:r>
      <w:r w:rsidDel="00000000" w:rsidR="00000000" w:rsidRPr="00000000">
        <w:rPr>
          <w:rFonts w:ascii="Palatino Linotype" w:cs="Palatino Linotype" w:eastAsia="Palatino Linotype" w:hAnsi="Palatino Linotype"/>
          <w:rtl w:val="0"/>
        </w:rPr>
        <w:t xml:space="preserve">Overall scheduled-event adherence was 87.6% (1,174/1,340 scheduled events), and endpoint availability was 70/84 (83.3%).</w:t>
      </w:r>
      <w:r w:rsidDel="00000000" w:rsidR="00000000" w:rsidRPr="00000000">
        <w:rPr>
          <w:rtl w:val="0"/>
        </w:rPr>
      </w:r>
    </w:p>
    <w:p w:rsidR="00000000" w:rsidDel="00000000" w:rsidP="00000000" w:rsidRDefault="00000000" w:rsidRPr="00000000" w14:paraId="000000EF">
      <w:pPr>
        <w:pStyle w:val="Heading3"/>
        <w:rPr/>
      </w:pPr>
      <w:bookmarkStart w:colFirst="0" w:colLast="0" w:name="_zia6h3r7g31h" w:id="57"/>
      <w:bookmarkEnd w:id="57"/>
      <w:r w:rsidDel="00000000" w:rsidR="00000000" w:rsidRPr="00000000">
        <w:rPr>
          <w:rtl w:val="0"/>
        </w:rPr>
      </w:r>
    </w:p>
    <w:p w:rsidR="00000000" w:rsidDel="00000000" w:rsidP="00000000" w:rsidRDefault="00000000" w:rsidRPr="00000000" w14:paraId="000000F0">
      <w:pPr>
        <w:pStyle w:val="Heading3"/>
        <w:rPr>
          <w:b w:val="1"/>
          <w:bCs w:val="1"/>
        </w:rPr>
      </w:pPr>
      <w:bookmarkStart w:colFirst="0" w:colLast="0" w:name="_nngn6d7b0wox" w:id="58"/>
      <w:bookmarkEnd w:id="58"/>
      <w:r w:rsidDel="00000000" w:rsidR="00000000" w:rsidRPr="00000000">
        <w:rPr>
          <w:b w:val="1"/>
          <w:bCs w:val="1"/>
          <w:rtl w:val="0"/>
        </w:rPr>
        <w:t xml:space="preserve">Retention Against Registered Criteria</w:t>
      </w:r>
    </w:p>
    <w:p w:rsidR="00000000" w:rsidDel="00000000" w:rsidP="00000000" w:rsidRDefault="00000000" w:rsidRPr="00000000" w14:paraId="000000F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Retention was evaluated against the programme’s pre-specified feasibility criteria. The primary feasibility interpretation focused on whether recruitment, retention, and endpoint availability were sufficient to support progression to a future definitive trial, rather than on formal efficacy testing.</w:t>
      </w:r>
    </w:p>
    <w:p w:rsidR="00000000" w:rsidDel="00000000" w:rsidP="00000000" w:rsidRDefault="00000000" w:rsidRPr="00000000" w14:paraId="000000F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main registered-feasibility denominator was the randomised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sample. Endpoint data were available for 70/84 participants, giving overall endpoint availability of 83.3% (Wilson 95% CI: 73.9-89.8%), which met the registered retention benchmark of at least 80%.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-specific endpoint availability was 31/42 in the </w:t>
      </w:r>
      <w:r w:rsidDel="00000000" w:rsidR="00000000" w:rsidRPr="00000000">
        <w:rPr>
          <w:rtl w:val="0"/>
        </w:rPr>
        <w:t xml:space="preserve">wash-emphasis SLS configuration</w:t>
      </w:r>
      <w:r w:rsidDel="00000000" w:rsidR="00000000" w:rsidRPr="00000000">
        <w:rPr>
          <w:rFonts w:ascii="Palatino Linotype" w:cs="Palatino Linotype" w:eastAsia="Palatino Linotype" w:hAnsi="Palatino Linotype"/>
          <w:rtl w:val="0"/>
        </w:rPr>
        <w:t xml:space="preserve"> (73.8%, 95% CI: 58.9-84.7%) and 39/42 in the </w:t>
      </w:r>
      <w:r w:rsidDel="00000000" w:rsidR="00000000" w:rsidRPr="00000000">
        <w:rPr>
          <w:rtl w:val="0"/>
        </w:rPr>
        <w:t xml:space="preserve">strobe-emphasis SLS configuration</w:t>
      </w:r>
      <w:r w:rsidDel="00000000" w:rsidR="00000000" w:rsidRPr="00000000">
        <w:rPr>
          <w:rFonts w:ascii="Palatino Linotype" w:cs="Palatino Linotype" w:eastAsia="Palatino Linotype" w:hAnsi="Palatino Linotype"/>
          <w:rtl w:val="0"/>
        </w:rPr>
        <w:t xml:space="preserve"> (92.9%, 95% CI: 81.0-97.5%). These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-specific values are reported descriptively and were not treated as formal comparative tests.</w:t>
      </w:r>
    </w:p>
    <w:p w:rsidR="00000000" w:rsidDel="00000000" w:rsidP="00000000" w:rsidRDefault="00000000" w:rsidRPr="00000000" w14:paraId="000000F3">
      <w:pPr>
        <w:rPr>
          <w:rFonts w:ascii="Palatino Linotype" w:cs="Palatino Linotype" w:eastAsia="Palatino Linotype" w:hAnsi="Palatino Linotype"/>
        </w:rPr>
      </w:pPr>
      <w:r w:rsidDel="00000000" w:rsidR="00000000" w:rsidRPr="00000000">
        <w:rPr>
          <w:rtl w:val="0"/>
        </w:rPr>
        <w:t xml:space="preserve">A stricter 81-record operational denominator was used in some downstream longitudinal/post-session audit summaries, for which Session-4 evidence corresponds to 70/81 (86.4%). Because the available audit does not establish that this N=81 represents a verified Session-1-started or Session-1-completed population, 70/81 is retained only for audit traceability and is not used as the principal participant-retention estimate. The registered/randomised-denominator endpoint-availability estimate remains 70/84 (83.3%).</w:t>
      </w:r>
      <w:r w:rsidDel="00000000" w:rsidR="00000000" w:rsidRPr="00000000">
        <w:rPr>
          <w:rFonts w:ascii="Palatino Linotype" w:cs="Palatino Linotype" w:eastAsia="Palatino Linotype" w:hAnsi="Palatino Linotype"/>
          <w:rtl w:val="0"/>
        </w:rPr>
        <w:t xml:space="preserve"> This Session-1-starter denominator is useful for adherence interpretation but should be kept separate from the registered 70/84 endpoint-availability criterion.</w:t>
      </w:r>
      <w:r w:rsidDel="00000000" w:rsidR="00000000" w:rsidRPr="00000000">
        <w:rPr>
          <w:rtl w:val="0"/>
        </w:rPr>
      </w:r>
    </w:p>
    <w:p w:rsidR="00000000" w:rsidDel="00000000" w:rsidP="00000000" w:rsidRDefault="00000000" w:rsidRPr="00000000" w14:paraId="000000F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F5">
      <w:pPr>
        <w:pStyle w:val="Heading2"/>
        <w:rPr/>
      </w:pPr>
      <w:bookmarkStart w:colFirst="0" w:colLast="0" w:name="_x6e3g9sf0g5h" w:id="59"/>
      <w:bookmarkEnd w:id="59"/>
      <w:r w:rsidDel="00000000" w:rsidR="00000000" w:rsidRPr="00000000">
        <w:rPr>
          <w:rtl w:val="0"/>
        </w:rPr>
        <w:t xml:space="preserve">S9. Study 3 Safety and Tolerability</w:t>
      </w:r>
    </w:p>
    <w:p w:rsidR="00000000" w:rsidDel="00000000" w:rsidP="00000000" w:rsidRDefault="00000000" w:rsidRPr="00000000" w14:paraId="000000F6">
      <w:pPr>
        <w:pStyle w:val="Heading3"/>
        <w:rPr>
          <w:b w:val="1"/>
          <w:bCs w:val="1"/>
        </w:rPr>
      </w:pPr>
      <w:bookmarkStart w:colFirst="0" w:colLast="0" w:name="_1kn0lduuci25" w:id="60"/>
      <w:bookmarkEnd w:id="60"/>
      <w:r w:rsidDel="00000000" w:rsidR="00000000" w:rsidRPr="00000000">
        <w:rPr>
          <w:b w:val="1"/>
          <w:bCs w:val="1"/>
          <w:rtl w:val="0"/>
        </w:rPr>
        <w:t xml:space="preserve">Adverse Reactions, Serious Adverse Events, and Safeguarding-Triggered Discontinuations</w:t>
      </w:r>
    </w:p>
    <w:p w:rsidR="00000000" w:rsidDel="00000000" w:rsidP="00000000" w:rsidRDefault="00000000" w:rsidRPr="00000000" w14:paraId="000000F7">
      <w:pPr>
        <w:rPr>
          <w:rFonts w:ascii="Palatino Linotype" w:cs="Palatino Linotype" w:eastAsia="Palatino Linotype" w:hAnsi="Palatino Linotype"/>
        </w:rPr>
      </w:pPr>
      <w:r w:rsidDel="00000000" w:rsidR="00000000" w:rsidRPr="00000000">
        <w:rPr>
          <w:rtl w:val="0"/>
        </w:rPr>
        <w:t xml:space="preserve">No serious adverse events or safeguarding-triggered discontinuations were recorded during Study 3. Serious adverse events were therefore 0/84 in the randomised cohort. A separate exposure-specific denominator is not reported because the stricter 81-record downstream audit denominator does not establish a verified population of participants who completed or began at least one supervised stimulation session. Adverse reactions were summarised from post-session tolerability and side-effect reports.</w:t>
      </w:r>
      <w:r w:rsidDel="00000000" w:rsidR="00000000" w:rsidRPr="00000000">
        <w:rPr>
          <w:rFonts w:ascii="Palatino Linotype" w:cs="Palatino Linotype" w:eastAsia="Palatino Linotype" w:hAnsi="Palatino Linotype"/>
          <w:rtl w:val="0"/>
        </w:rPr>
        <w:t xml:space="preserve"> Adverse reactions were summarised from post-session tolerability and side-effect reports. Serious adverse events were defined as events resulting in death, life-threatening risk, hospitalisation, or comparable serious clinical deterioration. Session- and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-specific FIBSER/side-effect ratings can be found in the accompanying Excel workbook, tab “</w:t>
      </w:r>
      <w:r w:rsidDel="00000000" w:rsidR="00000000" w:rsidRPr="00000000">
        <w:rPr>
          <w:b w:val="1"/>
          <w:bCs w:val="1"/>
          <w:rtl w:val="0"/>
        </w:rPr>
        <w:t xml:space="preserve">Study 3 FIBSER SE Summaries by Configuration/Session</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F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F9">
      <w:pPr>
        <w:pStyle w:val="Heading3"/>
        <w:rPr>
          <w:rFonts w:ascii="Palatino Linotype" w:cs="Palatino Linotype" w:eastAsia="Palatino Linotype" w:hAnsi="Palatino Linotype"/>
        </w:rPr>
      </w:pPr>
      <w:bookmarkStart w:colFirst="0" w:colLast="0" w:name="_1xb9fp7uqxmd" w:id="61"/>
      <w:bookmarkEnd w:id="61"/>
      <w:r w:rsidDel="00000000" w:rsidR="00000000" w:rsidRPr="00000000">
        <w:rPr>
          <w:b w:val="1"/>
          <w:bCs w:val="1"/>
          <w:rtl w:val="0"/>
        </w:rPr>
        <w:t xml:space="preserve">FIBSER Summaries</w:t>
      </w:r>
      <w:r w:rsidDel="00000000" w:rsidR="00000000" w:rsidRPr="00000000">
        <w:rPr>
          <w:rtl w:val="0"/>
        </w:rPr>
      </w:r>
    </w:p>
    <w:p w:rsidR="00000000" w:rsidDel="00000000" w:rsidP="00000000" w:rsidRDefault="00000000" w:rsidRPr="00000000" w14:paraId="000000FA">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FIBSER-style side-effect summaries indicated that raw side-effect field endorsement substantially overestimated clinically interpretable negative effects. Before text/severity cleaning, any side-effect field was endorsed by 14/42 participants in both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after Session 1 (33.3%), with lower raw endorsement rates thereafter. After cleaning, combined post-session and follow-up negative side-effect endorsement was highest after Session 1 in both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9/42 (21.4%)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and 11/42 (26.2%)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Cleaned combined negative endorsement then declined across subsequent sessions, reaching 0/42 (0.0%) by Session 4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and 1/42 (2.4%)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Cleaning removed unsupported or non-negative endorsements, including 5/42 (11.9%) </w:t>
      </w:r>
      <w:r w:rsidDel="00000000" w:rsidR="00000000" w:rsidRPr="00000000">
        <w:rPr>
          <w:rtl w:val="0"/>
        </w:rPr>
        <w:t xml:space="preserve">strobe-emphasis</w:t>
      </w:r>
      <w:r w:rsidDel="00000000" w:rsidR="00000000" w:rsidRPr="00000000">
        <w:rPr>
          <w:rFonts w:ascii="Palatino Linotype" w:cs="Palatino Linotype" w:eastAsia="Palatino Linotype" w:hAnsi="Palatino Linotype"/>
          <w:rtl w:val="0"/>
        </w:rPr>
        <w:t xml:space="preserve"> and 3/42 (7.1%)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records after Session 1, with fewer removals thereafter. Mean post-session VDQ discomfort scores remained low throughout, with the highest mean observed after </w:t>
      </w:r>
      <w:r w:rsidDel="00000000" w:rsidR="00000000" w:rsidRPr="00000000">
        <w:rPr>
          <w:rtl w:val="0"/>
        </w:rPr>
        <w:t xml:space="preserve">wash-emphasis</w:t>
      </w:r>
      <w:r w:rsidDel="00000000" w:rsidR="00000000" w:rsidRPr="00000000">
        <w:rPr>
          <w:rFonts w:ascii="Palatino Linotype" w:cs="Palatino Linotype" w:eastAsia="Palatino Linotype" w:hAnsi="Palatino Linotype"/>
          <w:rtl w:val="0"/>
        </w:rPr>
        <w:t xml:space="preserve"> Session 1 (0.95 ± 2.41) and all other session means below 0.33. Overall, the cleaned FIBSER/side-effect summaries support the interpretation that reported adverse effects were generally infrequent, mild, and transient, and that raw endorsement fields were conservatively screened to avoid counting non-negative or unsupported responses as adverse effects.</w:t>
      </w:r>
    </w:p>
    <w:p w:rsidR="00000000" w:rsidDel="00000000" w:rsidP="00000000" w:rsidRDefault="00000000" w:rsidRPr="00000000" w14:paraId="000000FB">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FC">
      <w:pPr>
        <w:pStyle w:val="Heading3"/>
        <w:rPr>
          <w:b w:val="1"/>
          <w:bCs w:val="1"/>
        </w:rPr>
      </w:pPr>
      <w:bookmarkStart w:colFirst="0" w:colLast="0" w:name="_hc1se23anxwf" w:id="62"/>
      <w:bookmarkEnd w:id="62"/>
      <w:r w:rsidDel="00000000" w:rsidR="00000000" w:rsidRPr="00000000">
        <w:rPr>
          <w:b w:val="1"/>
          <w:bCs w:val="1"/>
          <w:rtl w:val="0"/>
        </w:rPr>
        <w:t xml:space="preserve">Discomfort Ratings by Session/</w:t>
      </w:r>
      <w:r w:rsidDel="00000000" w:rsidR="00000000" w:rsidRPr="00000000">
        <w:rPr>
          <w:b w:val="1"/>
          <w:bCs w:val="1"/>
          <w:rtl w:val="0"/>
        </w:rPr>
        <w:t xml:space="preserve">Configuration</w:t>
      </w:r>
    </w:p>
    <w:p w:rsidR="00000000" w:rsidDel="00000000" w:rsidP="00000000" w:rsidRDefault="00000000" w:rsidRPr="00000000" w14:paraId="000000FD">
      <w:pPr>
        <w:rPr>
          <w:rFonts w:ascii="Palatino Linotype" w:cs="Palatino Linotype" w:eastAsia="Palatino Linotype" w:hAnsi="Palatino Linotype"/>
        </w:rPr>
      </w:pP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tolerability was monitored using post-session discomfort/tolerability ratings on a 0-10 scale.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monitoring notebook computed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-by-timepoint means, standard deviations, standard errors, and one-sided upper 80% confidence limits using z = 0.8416. The tolerability criterion was evaluated by confirming that all upper 80% confidence limits remained below the predefined severe-discomfort threshold of 7/10.</w:t>
      </w:r>
    </w:p>
    <w:p w:rsidR="00000000" w:rsidDel="00000000" w:rsidP="00000000" w:rsidRDefault="00000000" w:rsidRPr="00000000" w14:paraId="000000F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Mean discomfort ratings were low across all sessions and both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The highest observed session-level mean was 0.72/10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and 0.22/10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both at Session 1; the highest pooled session-level mean was 0.47/10. These values remained well below the predefined tolerability threshold.</w:t>
      </w:r>
    </w:p>
    <w:p w:rsidR="00000000" w:rsidDel="00000000" w:rsidP="00000000" w:rsidRDefault="00000000" w:rsidRPr="00000000" w14:paraId="000000F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Side-effect summaries distinguished between raw field endorsement and cleaned negative side-effect endorsement. The raw audit variable was labelled 'Any side-effect field endorsed before text cleaning' and preserved any side-effect-like field activity prior to interpretive cleaning.</w:t>
      </w:r>
    </w:p>
    <w:p w:rsidR="00000000" w:rsidDel="00000000" w:rsidP="00000000" w:rsidRDefault="00000000" w:rsidRPr="00000000" w14:paraId="0000010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cleaned manuscript-facing variable excluded ordinal responses indicating no symptoms, such as 'Not at all' or 'None of the time', as well as open-text responses indicating no side effects or non-applicability, such as 'none', 'N/A', or 'no side effects'. Positive or benefit-like comments, including feeling happier, calmer, or better, were also not counted as negative side effects.</w:t>
      </w:r>
    </w:p>
    <w:p w:rsidR="00000000" w:rsidDel="00000000" w:rsidP="00000000" w:rsidRDefault="00000000" w:rsidRPr="00000000" w14:paraId="0000010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participant-session records, raw side-effect-like field activity was detected in 59/336 records (17.6%), whereas cleaned negative side-effect endorsement was detected in 41/336 records (12.2%). 18 records (5.4%) were retained in the audit trail but not counted as cleaned negative side-effect endorsements.</w:t>
      </w:r>
      <w:r w:rsidDel="00000000" w:rsidR="00000000" w:rsidRPr="00000000">
        <w:rPr>
          <w:rtl w:val="0"/>
        </w:rPr>
      </w:r>
    </w:p>
    <w:p w:rsidR="00000000" w:rsidDel="00000000" w:rsidP="00000000" w:rsidRDefault="00000000" w:rsidRPr="00000000" w14:paraId="00000102">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3">
      <w:pPr>
        <w:pStyle w:val="Heading2"/>
        <w:rPr/>
      </w:pPr>
      <w:bookmarkStart w:colFirst="0" w:colLast="0" w:name="_aeytn6pb9bic" w:id="63"/>
      <w:bookmarkEnd w:id="63"/>
      <w:r w:rsidDel="00000000" w:rsidR="00000000" w:rsidRPr="00000000">
        <w:rPr>
          <w:rtl w:val="0"/>
        </w:rPr>
        <w:t xml:space="preserve">S10. Exploratory Clinical Outcomes</w:t>
      </w:r>
    </w:p>
    <w:p w:rsidR="00000000" w:rsidDel="00000000" w:rsidP="00000000" w:rsidRDefault="00000000" w:rsidRPr="00000000" w14:paraId="00000104">
      <w:pPr>
        <w:pStyle w:val="Heading3"/>
        <w:rPr>
          <w:b w:val="1"/>
          <w:bCs w:val="1"/>
        </w:rPr>
      </w:pPr>
      <w:bookmarkStart w:colFirst="0" w:colLast="0" w:name="_9ps29aykzk5b" w:id="64"/>
      <w:bookmarkEnd w:id="64"/>
      <w:r w:rsidDel="00000000" w:rsidR="00000000" w:rsidRPr="00000000">
        <w:rPr>
          <w:b w:val="1"/>
          <w:bCs w:val="1"/>
          <w:rtl w:val="0"/>
        </w:rPr>
        <w:t xml:space="preserve">Baseline-Aligned Endpoint Models</w:t>
      </w:r>
    </w:p>
    <w:p w:rsidR="00000000" w:rsidDel="00000000" w:rsidP="00000000" w:rsidRDefault="00000000" w:rsidRPr="00000000" w14:paraId="0000010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Endpoint clinical outcomes were analysed using baseline-adjusted models. For each outcome, endpoint score was modelled as a function of treatment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while adjusting for the corresponding baseline score. Repeated-measure exploratory trajectories were analysed using mixed-effects models where sufficient longitudinal data were available. Given the feasibility-stage design, treatment effects are reported as estimates with 95% confidence intervals and interpreted as exploratory clinical-signal estimates rather than as confirmatory tests of efficacy.</w:t>
      </w:r>
    </w:p>
    <w:p w:rsidR="00000000" w:rsidDel="00000000" w:rsidP="00000000" w:rsidRDefault="00000000" w:rsidRPr="00000000" w14:paraId="00000106">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Exploratory clinical and affective outcomes were summarised using endpoint-minus-baseline change scores and baseline-adjusted endpoint contrasts. For symptom scales where lower values indicate fewer symptoms, negative change values indicate symptom reduction. SPANE balance was interpreted separately because lower balance scores indicate less favourable affective balance.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showed larger descriptive symptom reductions than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on PHQ-9, BDI-II, MADRS-S, and BAI, with the clearest exploratory signal observed for BDI-II. SPANE balance decreased in both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with no clear evidence of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-level separation. M3VAS endpoint change could not be evaluated as a conventional longitudinal change score because baseline/state M3VAS data and endpoint M3VAS-Change data were not collected in the same endpoint-compatible format. These analyses were exploratory and intended to estimate clinical-signal direction and uncertainty, rather than to provide confirmatory evidence of efficacy. The full model-output table and supporting summary data are provided in the accompanying Excel workbook, tab “</w:t>
      </w:r>
      <w:r w:rsidDel="00000000" w:rsidR="00000000" w:rsidRPr="00000000">
        <w:rPr>
          <w:b w:val="1"/>
          <w:bCs w:val="1"/>
          <w:rtl w:val="0"/>
        </w:rPr>
        <w:t xml:space="preserve">Study 3 Exploratory Clinical and Affective Outcomes</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10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8">
      <w:pPr>
        <w:pStyle w:val="Heading3"/>
        <w:rPr/>
      </w:pPr>
      <w:bookmarkStart w:colFirst="0" w:colLast="0" w:name="_ux06boy0t4u" w:id="65"/>
      <w:bookmarkEnd w:id="65"/>
      <w:r w:rsidDel="00000000" w:rsidR="00000000" w:rsidRPr="00000000">
        <w:rPr>
          <w:rtl w:val="0"/>
        </w:rPr>
        <w:t xml:space="preserve">Endpoint Timing and Recall-Frame Interpretation</w:t>
      </w:r>
    </w:p>
    <w:p w:rsidR="00000000" w:rsidDel="00000000" w:rsidP="00000000" w:rsidRDefault="00000000" w:rsidRPr="00000000" w14:paraId="00000109">
      <w:pPr>
        <w:rPr>
          <w:b w:val="0"/>
          <w:bCs w:val="0"/>
        </w:rPr>
      </w:pPr>
      <w:r w:rsidDel="00000000" w:rsidR="00000000" w:rsidRPr="00000000">
        <w:rPr>
          <w:rtl w:val="0"/>
        </w:rPr>
        <w:br w:type="textWrapping"/>
      </w:r>
      <w:r w:rsidDel="00000000" w:rsidR="00000000" w:rsidRPr="00000000">
        <w:rPr>
          <w:b w:val="0"/>
          <w:bCs w:val="0"/>
          <w:rtl w:val="0"/>
        </w:rPr>
        <w:t xml:space="preserve">Depressive-symptom assessments differed in both timing and recall frame across </w:t>
      </w:r>
      <w:r w:rsidDel="00000000" w:rsidR="00000000" w:rsidRPr="00000000">
        <w:rPr>
          <w:rtl w:val="0"/>
        </w:rPr>
        <w:t xml:space="preserve">Study 3</w:t>
      </w:r>
      <w:r w:rsidDel="00000000" w:rsidR="00000000" w:rsidRPr="00000000">
        <w:rPr>
          <w:b w:val="0"/>
          <w:bCs w:val="0"/>
          <w:rtl w:val="0"/>
        </w:rPr>
        <w:t xml:space="preserve">. Baseline PHQ-9 items used the conventional instruction referring to the past two weeks. Subsequent repeated administrations used modified recall periods instead; the Pre-Sessions-2-4 assessment referred to the past week, the immediate post-Sessions-1-4 assessment referred specifically to the last strobe session, and the one-week/final follow-up again referred to the past week. The repeated scores are therefore described below according to their recall frames rather than treated as interchangeable conventional PHQ-9 administrations: </w:t>
        <w:br w:type="textWrapping"/>
        <w:br w:type="textWrapping"/>
        <w:t xml:space="preserve">Baseline PHQ-9 (past 2 weeks) -&gt; Pre-S2-4 PHQ item sum (past week) -&gt; Post-S2-4 session-adapted PHQ item sum -&gt; 1-week follow-up PHQ item sum (past week)</w:t>
        <w:br w:type="textWrapping"/>
        <w:br w:type="textWrapping"/>
        <w:t xml:space="preserve">Consequently, the marked numerical fall between Pre-S and immediate Post-S assays should not be interpreted as a steep change on a single longitudinal PHQ-9 construct over the course of one stimulation session, as the two assessments used different recall instructions. The immediate post-session score is better treated as an acute session-state measure. Conversely, the between-configuration difference remained of similar magnitude at the one-week follow-up, arguing against an interpretation in which the observed configuration separation arose exclusively from immediate post-stimulation responding. Because the repeated PHQ administrations nevertheless used non-standard recall frames and follow-up availability was reduced, these observations remain exploratory endpoint-planning data rather than evidence of efficacy. </w:t>
        <w:br w:type="textWrapping"/>
        <w:br w:type="textWrapping"/>
        <w:t xml:space="preserve">At Pre-Session 4, the past-week PHQ-9 item-sum mean was 7.67 under strobe-emphasis SLS (n=39) and 10.40 under wash-emphasis SLS (n=31), corresponding to a strobe-emphasis-minus-wash-emphasis difference of −2.74 points (95% CI −5.32 to −0.15, p=.038). Immediately post-Session 4, using the session-specific recall frame, means were 4.28 and 6.84, respectively (difference −2.56, 95% CI −5.51 to 0.40, p=.088). At the one-week/final follow-up, available scores were 6.38 under strobe-emphasis SLS (n=30) and 9.62 under wash-emphasis SLS (n=24), giving a difference of −3.24 points (95% CI −6.29 to −0.20, p=.038). Because these administrations used different recall instructions and follow-up availability was reduced, these estimates are treated as exploratory endpoint-planning data rather than repeated measurements of an identical conventional PHQ-9 construct or evidence of efficacy. </w:t>
      </w:r>
    </w:p>
    <w:p w:rsidR="00000000" w:rsidDel="00000000" w:rsidP="00000000" w:rsidRDefault="00000000" w:rsidRPr="00000000" w14:paraId="0000010A">
      <w:pPr>
        <w:rPr/>
      </w:pPr>
      <w:r w:rsidDel="00000000" w:rsidR="00000000" w:rsidRPr="00000000">
        <w:rPr>
          <w:rtl w:val="0"/>
        </w:rPr>
        <w:br w:type="textWrapping"/>
        <w:t xml:space="preserve">Similarly, BDI-II was administered in the post-Session-4 questionnaire after completion of the fourth stimulation session. Available-case BDI-II estimates were directionally similar but uncertain under differential endpoint availability. The unadjusted strobe-emphasis–minus–wash-emphasis difference in change was -4.57 points (95% CI -10.08 to 0.93, p = 0.102), while the baseline-adjusted endpoint contrast was -6.27 points (95% CI -10.82 to -1.72, p = 0.008). These estimates are presented here together as exploratory feasibility-stage outputs, with the adjusted estimate not given greater evidential weight solely because its confidence interval excludes zero. Because this timing permits acute post-stimulation state to influence self-report, the BDI-II endpoint is retained as an exploratory feasibility-stage estimate rather than treated as a definitive longitudinal efficacy endpoint. A future trial should prospectively separate its principal depressive-symptom endpoint from the immediate stimulation period. </w:t>
      </w:r>
    </w:p>
    <w:p w:rsidR="00000000" w:rsidDel="00000000" w:rsidP="00000000" w:rsidRDefault="00000000" w:rsidRPr="00000000" w14:paraId="0000010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C">
      <w:pPr>
        <w:pStyle w:val="Heading3"/>
        <w:rPr>
          <w:rFonts w:ascii="Palatino Linotype" w:cs="Palatino Linotype" w:eastAsia="Palatino Linotype" w:hAnsi="Palatino Linotype"/>
        </w:rPr>
      </w:pPr>
      <w:bookmarkStart w:colFirst="0" w:colLast="0" w:name="_vwxvbubev4cc" w:id="66"/>
      <w:bookmarkEnd w:id="66"/>
      <w:r w:rsidDel="00000000" w:rsidR="00000000" w:rsidRPr="00000000">
        <w:rPr>
          <w:b w:val="1"/>
          <w:bCs w:val="1"/>
          <w:rtl w:val="0"/>
        </w:rPr>
        <w:t xml:space="preserve">PHQ-9 / BDI-II / MADRS-S / BAI / M3VAS / SPANE</w:t>
      </w:r>
      <w:r w:rsidDel="00000000" w:rsidR="00000000" w:rsidRPr="00000000">
        <w:rPr>
          <w:rtl w:val="0"/>
        </w:rPr>
      </w:r>
    </w:p>
    <w:p w:rsidR="00000000" w:rsidDel="00000000" w:rsidP="00000000" w:rsidRDefault="00000000" w:rsidRPr="00000000" w14:paraId="0000010D">
      <w:pPr>
        <w:rPr/>
      </w:pPr>
      <w:r w:rsidDel="00000000" w:rsidR="00000000" w:rsidRPr="00000000">
        <w:rPr>
          <w:rFonts w:ascii="Palatino Linotype" w:cs="Palatino Linotype" w:eastAsia="Palatino Linotype" w:hAnsi="Palatino Linotype"/>
          <w:rtl w:val="0"/>
        </w:rPr>
        <w:t xml:space="preserve">The following sections report available-case endpoint summaries for exploratory clinical and affective outcomes. Values are presented descriptively, with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change contrasts and baseline-adjusted endpoint contrasts where applicable. Given the feasibility-stage design, these estimates are interpreted as clinical-signal estimates rather than confirmatory tests of efficacy. Full model outputs and supporting summary data are provided in the accompanying Excel workbook, tab “</w:t>
      </w:r>
      <w:r w:rsidDel="00000000" w:rsidR="00000000" w:rsidRPr="00000000">
        <w:rPr>
          <w:b w:val="1"/>
          <w:bCs w:val="1"/>
          <w:rtl w:val="0"/>
        </w:rPr>
        <w:t xml:space="preserve">Study 3 Exploratory Clinical and Affective Outcomes</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b w:val="1"/>
          <w:bCs w:val="1"/>
        </w:rPr>
      </w:pPr>
      <w:bookmarkStart w:colFirst="0" w:colLast="0" w:name="_lekylkm8vdro" w:id="67"/>
      <w:bookmarkEnd w:id="67"/>
      <w:r w:rsidDel="00000000" w:rsidR="00000000" w:rsidRPr="00000000">
        <w:rPr>
          <w:b w:val="1"/>
          <w:bCs w:val="1"/>
          <w:rtl w:val="0"/>
        </w:rPr>
        <w:t xml:space="preserve">PHQ-9</w:t>
      </w:r>
    </w:p>
    <w:p w:rsidR="00000000" w:rsidDel="00000000" w:rsidP="00000000" w:rsidRDefault="00000000" w:rsidRPr="00000000" w14:paraId="0000011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PHQ-9 was prioritised as one of the two most directly interpretable depressive-symptom outcomes.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PHQ-9 scores changed from 13.36 ± 4.26 at baseline (n = 39) to 6.84 ± 7.06 at endpoint (n = 31), with a mean change of −6.23 points (95% CI: −8.54 to −3.91) among participants with paired data (n = 31).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PHQ-9 scores changed from 12.45 ± 4.37 at baseline (n = 42) to 4.21 ± 4.61 at endpoint (n = 39), with a mean change of −8.26 points (95% CI: −10.03 to −6.48; n = 39). The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difference in change was −2.03 points (95% CI: −4.85 to 0.79; p = 0.155). The baseline-adjusted endpoint contrast was −2.34 points (95% CI: −4.97 to 0.28; p = 0.080). These estimates suggest numerically greater PHQ-9 improvement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although the between-</w:t>
      </w:r>
      <w:r w:rsidDel="00000000" w:rsidR="00000000" w:rsidRPr="00000000">
        <w:rPr>
          <w:rtl w:val="0"/>
        </w:rPr>
        <w:t xml:space="preserve">configuration </w:t>
      </w:r>
      <w:r w:rsidDel="00000000" w:rsidR="00000000" w:rsidRPr="00000000">
        <w:rPr>
          <w:rFonts w:ascii="Palatino Linotype" w:cs="Palatino Linotype" w:eastAsia="Palatino Linotype" w:hAnsi="Palatino Linotype"/>
          <w:rtl w:val="0"/>
        </w:rPr>
        <w:t xml:space="preserve">contrasts remain uncertain and are interpreted as exploratory. </w:t>
      </w:r>
    </w:p>
    <w:p w:rsidR="00000000" w:rsidDel="00000000" w:rsidP="00000000" w:rsidRDefault="00000000" w:rsidRPr="00000000" w14:paraId="0000011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2">
      <w:pPr>
        <w:pStyle w:val="Heading3"/>
        <w:rPr>
          <w:b w:val="1"/>
          <w:bCs w:val="1"/>
        </w:rPr>
      </w:pPr>
      <w:bookmarkStart w:colFirst="0" w:colLast="0" w:name="_3aggqb1sk7f0" w:id="68"/>
      <w:bookmarkEnd w:id="68"/>
      <w:r w:rsidDel="00000000" w:rsidR="00000000" w:rsidRPr="00000000">
        <w:rPr>
          <w:b w:val="1"/>
          <w:bCs w:val="1"/>
          <w:rtl w:val="0"/>
        </w:rPr>
        <w:t xml:space="preserve">BDI-II</w:t>
      </w:r>
    </w:p>
    <w:p w:rsidR="00000000" w:rsidDel="00000000" w:rsidP="00000000" w:rsidRDefault="00000000" w:rsidRPr="00000000" w14:paraId="0000011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BDI-II was prioritised alongside PHQ-9 as a directly interpretable depressive-symptom outcome.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BDI-II scores changed from 28.10 ± 10.02 at baseline (n = 39) to 19.55 ± 11.71 at endpoint (n = 31), with a mean change of −9.58 points (95% CI: −13.26 to −5.90; n = 31).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BDI-II scores changed from 26.69 ± 8.81 at baseline (n = 42) to 12.59 ± 7.78 at endpoint (n = 39), with a mean change of −14.15 points (95% CI: −18.20 to −10.11; n = 39). The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difference in change was −4.57 points (95% CI: −10.08 to 0.93; p = 0.102). The baseline-adjusted endpoint contrast was −6.27 points (95% CI: −10.82 to −1.72; p = 0.008). </w:t>
      </w:r>
      <w:r w:rsidDel="00000000" w:rsidR="00000000" w:rsidRPr="00000000">
        <w:rPr>
          <w:rtl w:val="0"/>
        </w:rPr>
        <w:t xml:space="preserve">Both configurations showed descriptive BDI-II reductions. The unadjusted change contrast remained compatible with no between-configuration difference, whereas the baseline-adjusted endpoint contrast excluded zero. Given differential endpoint availability and immediate post-Session-4 administration, these estimates are presented together as hypothesis-generating feasibility-stage outputs and do not establish a configuration-specific efficacy effect. </w:t>
      </w:r>
      <w:r w:rsidDel="00000000" w:rsidR="00000000" w:rsidRPr="00000000">
        <w:rPr>
          <w:rtl w:val="0"/>
        </w:rPr>
      </w:r>
    </w:p>
    <w:p w:rsidR="00000000" w:rsidDel="00000000" w:rsidP="00000000" w:rsidRDefault="00000000" w:rsidRPr="00000000" w14:paraId="0000011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5">
      <w:pPr>
        <w:pStyle w:val="Heading3"/>
        <w:rPr>
          <w:b w:val="1"/>
          <w:bCs w:val="1"/>
        </w:rPr>
      </w:pPr>
      <w:bookmarkStart w:colFirst="0" w:colLast="0" w:name="_l66c6axypd5d" w:id="69"/>
      <w:bookmarkEnd w:id="69"/>
      <w:r w:rsidDel="00000000" w:rsidR="00000000" w:rsidRPr="00000000">
        <w:rPr>
          <w:b w:val="1"/>
          <w:bCs w:val="1"/>
          <w:rtl w:val="0"/>
        </w:rPr>
        <w:t xml:space="preserve">MADRS-S</w:t>
      </w:r>
    </w:p>
    <w:p w:rsidR="00000000" w:rsidDel="00000000" w:rsidP="00000000" w:rsidRDefault="00000000" w:rsidRPr="00000000" w14:paraId="0000011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MADRS-S was treated as an exploratory secondary depressive-symptom indicator. Because the available baseline and endpoint forms differed in item availability, MADRS-S was summarised as a mean available slider score rather than as a conventional full-scale MADRS-S total.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the MADRS-S slider mean changed from 1.21 ± 0.65 at baseline (n = 39) to 1.08 ± 0.48 at endpoint (n = 31), with a mean change of −0.16 (95% CI: −0.38 to 0.07; n = 31).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scores changed from 1.17 ± 0.50 at baseline (n = 42) to 0.81 ± 0.42 at endpoint (n = 39), with a mean change of −0.32 (95% CI: −0.51 to −0.12; n = 39). The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difference in change was −0.16 (95% CI: −0.45 to 0.13; p = 0.281), while the baseline-adjusted endpoint contrast was −0.25 (95% CI: −0.45 to −0.04; p = 0.021). These estimates suggest lower endpoint MADRS-S slider scores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but should be interpreted cautiously because the values are based on available slider items rather than a standard full-scale score. </w:t>
      </w:r>
    </w:p>
    <w:p w:rsidR="00000000" w:rsidDel="00000000" w:rsidP="00000000" w:rsidRDefault="00000000" w:rsidRPr="00000000" w14:paraId="0000011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8">
      <w:pPr>
        <w:pStyle w:val="Heading3"/>
        <w:rPr>
          <w:b w:val="1"/>
          <w:bCs w:val="1"/>
        </w:rPr>
      </w:pPr>
      <w:bookmarkStart w:colFirst="0" w:colLast="0" w:name="_3egdfgsns2fr" w:id="70"/>
      <w:bookmarkEnd w:id="70"/>
      <w:r w:rsidDel="00000000" w:rsidR="00000000" w:rsidRPr="00000000">
        <w:rPr>
          <w:b w:val="1"/>
          <w:bCs w:val="1"/>
          <w:rtl w:val="0"/>
        </w:rPr>
        <w:t xml:space="preserve">BAI</w:t>
      </w:r>
    </w:p>
    <w:p w:rsidR="00000000" w:rsidDel="00000000" w:rsidP="00000000" w:rsidRDefault="00000000" w:rsidRPr="00000000" w14:paraId="0000011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BAI was included as an exploratory secondary indicator of anxiety symptoms.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BAI scores changed from 19.46 ± 11.18 at baseline (n = 39) to 10.03 ± 9.37 at endpoint (n = 31), with a mean change of −8.06 points (95% CI: −11.44 to −4.68; n = 31).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BAI scores changed from 18.60 ± 10.86 at baseline (n = 42) to 9.77 ± 8.66 at endpoint (n = 39), with a mean change of −9.18 points (95% CI: −12.35 to −6.01; n = 39). The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difference in change was −1.11 points (95% CI: −5.69 to 3.46; p = 0.629), and the baseline-adjusted endpoint contrast was −0.65 points (95% CI: −4.29 to 2.99; p = 0.722). These findings indicate reductions in anxiety symptoms over time in both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without evidence of a clear between-</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difference. </w:t>
      </w:r>
      <w:r w:rsidDel="00000000" w:rsidR="00000000" w:rsidRPr="00000000">
        <w:rPr>
          <w:rtl w:val="0"/>
        </w:rPr>
      </w:r>
    </w:p>
    <w:p w:rsidR="00000000" w:rsidDel="00000000" w:rsidP="00000000" w:rsidRDefault="00000000" w:rsidRPr="00000000" w14:paraId="0000011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B">
      <w:pPr>
        <w:pStyle w:val="Heading3"/>
        <w:rPr>
          <w:b w:val="1"/>
          <w:bCs w:val="1"/>
        </w:rPr>
      </w:pPr>
      <w:bookmarkStart w:colFirst="0" w:colLast="0" w:name="_cmfr6kcasy06" w:id="71"/>
      <w:bookmarkEnd w:id="71"/>
      <w:r w:rsidDel="00000000" w:rsidR="00000000" w:rsidRPr="00000000">
        <w:rPr>
          <w:b w:val="1"/>
          <w:bCs w:val="1"/>
          <w:rtl w:val="0"/>
        </w:rPr>
        <w:t xml:space="preserve">M3VAS / M3VAS-Change</w:t>
      </w:r>
    </w:p>
    <w:p w:rsidR="00000000" w:rsidDel="00000000" w:rsidP="00000000" w:rsidRDefault="00000000" w:rsidRPr="00000000" w14:paraId="0000011C">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M3VAS-derived outcomes were treated as exploratory indicators of mood, pleasure, suicidality, and perceived symptomatic change. Baseline M3VAS state ratings and endpoint M3VAS-Change ratings were not directly equivalent constructs, so they were reported separately rather than analysed as a baseline-to-endpoint change score. At baseline,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had a mean M3VAS state composite of 47.83 ± 16.08 (n = 39), while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had a mean of 43.88 ± 15.14 (n = 42). Post-session state M3VAS scores were not collected in the same form, so baseline-to-endpoint change and baseline-adjusted endpoint contrasts were not applicable for this state composite.</w:t>
      </w:r>
    </w:p>
    <w:p w:rsidR="00000000" w:rsidDel="00000000" w:rsidP="00000000" w:rsidRDefault="00000000" w:rsidRPr="00000000" w14:paraId="0000011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M3VAS-Change, endpoint perceived-change scores were available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at 15.88 ± 14.38 (n = 31) and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at 18.56 ± 16.02 (n = 39). The endpoint-only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contrast was 2.68 (95% CI: −4.67 to 10.04; p = 0.469). These results provide descriptive information about perceived change after the intervention period. Because M3VAS-Change was collected as an endpoint perceived-change measure rather than as the same state score collected at baseline, it should not be interpreted as a conventional longitudinal symptom-change outcome.</w:t>
      </w:r>
      <w:r w:rsidDel="00000000" w:rsidR="00000000" w:rsidRPr="00000000">
        <w:rPr>
          <w:rtl w:val="0"/>
        </w:rPr>
      </w:r>
    </w:p>
    <w:p w:rsidR="00000000" w:rsidDel="00000000" w:rsidP="00000000" w:rsidRDefault="00000000" w:rsidRPr="00000000" w14:paraId="0000011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F">
      <w:pPr>
        <w:pStyle w:val="Heading3"/>
        <w:rPr>
          <w:b w:val="1"/>
          <w:bCs w:val="1"/>
        </w:rPr>
      </w:pPr>
      <w:bookmarkStart w:colFirst="0" w:colLast="0" w:name="_7k2b949b8b83" w:id="72"/>
      <w:bookmarkEnd w:id="72"/>
      <w:r w:rsidDel="00000000" w:rsidR="00000000" w:rsidRPr="00000000">
        <w:rPr>
          <w:b w:val="1"/>
          <w:bCs w:val="1"/>
          <w:rtl w:val="0"/>
        </w:rPr>
        <w:t xml:space="preserve">SPANE</w:t>
      </w:r>
    </w:p>
    <w:p w:rsidR="00000000" w:rsidDel="00000000" w:rsidP="00000000" w:rsidRDefault="00000000" w:rsidRPr="00000000" w14:paraId="0000012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SPANE was included as an exploratory indicator of affective wellbeing, scored as positive affect minus negative affect, with higher values indicating more favourable affective balance. In the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SPANE balance changed from −2.00 ± 2.27 at baseline (n = 39) to −5.48 ± 3.14 at endpoint (n = 31), with a mean change of −3.42 (95% CI: −4.93 to −1.91; n = 31).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SPANE balance changed from −2.10 ± 2.77 at baseline (n = 42) to −6.08 ± 3.58 at endpoint (n = 39), with a mean change of −3.95 (95% CI: −5.22 to −2.68; n = 39). The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difference in change was −0.53 (95% CI: −2.45 to 1.40; p = 0.585), and the baseline-adjusted endpoint contrast was −0.58 (95% CI: −2.21 to 1.04; p = 0.478). Thus, SPANE balance decreased in both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indicating slightly less favourable affective balance at endpoint, with no evidence of a clear between-</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difference. </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b w:val="1"/>
          <w:bCs w:val="1"/>
        </w:rPr>
      </w:pPr>
      <w:bookmarkStart w:colFirst="0" w:colLast="0" w:name="_9xpmanc73b82" w:id="73"/>
      <w:bookmarkEnd w:id="73"/>
      <w:r w:rsidDel="00000000" w:rsidR="00000000" w:rsidRPr="00000000">
        <w:rPr>
          <w:b w:val="1"/>
          <w:bCs w:val="1"/>
          <w:rtl w:val="0"/>
        </w:rPr>
        <w:t xml:space="preserve">Confidence Intervals</w:t>
      </w:r>
    </w:p>
    <w:p w:rsidR="00000000" w:rsidDel="00000000" w:rsidP="00000000" w:rsidRDefault="00000000" w:rsidRPr="00000000" w14:paraId="0000012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exploratory clinical summaries and contrasts were reported with 95% confidence intervals where applicable. For within-</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mean changes, confidence intervals were calculated using paired available-case data, or model-derived estimates where model-based summaries were reported. For between-</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contrasts, the primary descriptive contrast was the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difference in endpoint-minus-baseline change. For symptom scales where lower scores indicate fewer symptoms, negative values favour greater reduction in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Where clinical benchmark summaries are described as ‘improvement,’ these are reported separately as binary descriptive summaries. Baseline-adjusted endpoint contrasts were also reported for core endpoint outcomes. </w:t>
      </w:r>
    </w:p>
    <w:p w:rsidR="00000000" w:rsidDel="00000000" w:rsidP="00000000" w:rsidRDefault="00000000" w:rsidRPr="00000000" w14:paraId="0000012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5">
      <w:pPr>
        <w:pStyle w:val="Heading3"/>
        <w:rPr>
          <w:b w:val="1"/>
          <w:bCs w:val="1"/>
        </w:rPr>
      </w:pPr>
      <w:bookmarkStart w:colFirst="0" w:colLast="0" w:name="_wwf4yladwqc5" w:id="74"/>
      <w:bookmarkEnd w:id="74"/>
      <w:r w:rsidDel="00000000" w:rsidR="00000000" w:rsidRPr="00000000">
        <w:rPr>
          <w:b w:val="1"/>
          <w:bCs w:val="1"/>
          <w:rtl w:val="0"/>
        </w:rPr>
        <w:t xml:space="preserve">Sensitivity Checks</w:t>
      </w:r>
    </w:p>
    <w:p w:rsidR="00000000" w:rsidDel="00000000" w:rsidP="00000000" w:rsidRDefault="00000000" w:rsidRPr="00000000" w14:paraId="0000012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Sensitivity checks examined whether exploratory clinical-signal estimates were sensitive to plausible analytic decisions rather than to a single endpoint definition. The main available-case endpoint analyses were compared with repeated-measures models using all available session, SMS, and follow-up timepoints where applicable. Additional checks excluded participants with major protocol deviations, assessed whether conclusions changed when endpoint was defined as post-Session 4 versus the final available follow-up assessment, and compared unadjusted change-score contrasts with baseline-adjusted endpoint contrasts.</w:t>
      </w:r>
    </w:p>
    <w:p w:rsidR="00000000" w:rsidDel="00000000" w:rsidP="00000000" w:rsidRDefault="00000000" w:rsidRPr="00000000" w14:paraId="0000012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These analyses were interpreted descriptively. Their purpose was to assess whether the direction and approximate size of the exploratory clinical estimates, particularly for PHQ-9 and BDI-II, were stable across reasonable analytic choices. They were not used to make confirmatory efficacy claims.</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12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sensitivity checks, the direction of the PHQ-9 and BDI-II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estimates was broadly consistent with the primary exploratory endpoint analyses, although interval estimates remained wide.</w:t>
      </w:r>
    </w:p>
    <w:p w:rsidR="00000000" w:rsidDel="00000000" w:rsidP="00000000" w:rsidRDefault="00000000" w:rsidRPr="00000000" w14:paraId="0000012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A">
      <w:pPr>
        <w:pStyle w:val="Heading2"/>
        <w:rPr>
          <w:rFonts w:ascii="Palatino Linotype" w:cs="Palatino Linotype" w:eastAsia="Palatino Linotype" w:hAnsi="Palatino Linotype"/>
          <w:color w:val="000000"/>
        </w:rPr>
      </w:pPr>
      <w:bookmarkStart w:colFirst="0" w:colLast="0" w:name="_iyl1yziobu7" w:id="75"/>
      <w:bookmarkEnd w:id="75"/>
      <w:r w:rsidDel="00000000" w:rsidR="00000000" w:rsidRPr="00000000">
        <w:rPr>
          <w:rFonts w:ascii="Palatino Linotype" w:cs="Palatino Linotype" w:eastAsia="Palatino Linotype" w:hAnsi="Palatino Linotype"/>
          <w:color w:val="000000"/>
          <w:rtl w:val="0"/>
        </w:rPr>
        <w:t xml:space="preserve">S11. </w:t>
      </w:r>
      <w:r w:rsidDel="00000000" w:rsidR="00000000" w:rsidRPr="00000000">
        <w:rPr>
          <w:rtl w:val="0"/>
        </w:rPr>
        <w:t xml:space="preserve">Study 3</w:t>
      </w:r>
      <w:r w:rsidDel="00000000" w:rsidR="00000000" w:rsidRPr="00000000">
        <w:rPr>
          <w:rFonts w:ascii="Palatino Linotype" w:cs="Palatino Linotype" w:eastAsia="Palatino Linotype" w:hAnsi="Palatino Linotype"/>
          <w:color w:val="000000"/>
          <w:rtl w:val="0"/>
        </w:rPr>
        <w:t xml:space="preserve"> Acute </w:t>
      </w:r>
      <w:r w:rsidDel="00000000" w:rsidR="00000000" w:rsidRPr="00000000">
        <w:rPr>
          <w:rtl w:val="0"/>
        </w:rPr>
        <w:t xml:space="preserve">Phenomenology, </w:t>
      </w:r>
      <w:r w:rsidDel="00000000" w:rsidR="00000000" w:rsidRPr="00000000">
        <w:rPr>
          <w:rFonts w:ascii="Palatino Linotype" w:cs="Palatino Linotype" w:eastAsia="Palatino Linotype" w:hAnsi="Palatino Linotype"/>
          <w:color w:val="000000"/>
          <w:rtl w:val="0"/>
        </w:rPr>
        <w:t xml:space="preserve">Expectancy, Masking, and Candidate Predictors</w:t>
      </w:r>
    </w:p>
    <w:p w:rsidR="00000000" w:rsidDel="00000000" w:rsidP="00000000" w:rsidRDefault="00000000" w:rsidRPr="00000000" w14:paraId="0000012B">
      <w:pPr>
        <w:pStyle w:val="Heading3"/>
        <w:rPr>
          <w:b w:val="1"/>
          <w:bCs w:val="1"/>
        </w:rPr>
      </w:pPr>
      <w:bookmarkStart w:colFirst="0" w:colLast="0" w:name="_xa0goyca3osa" w:id="76"/>
      <w:bookmarkEnd w:id="76"/>
      <w:r w:rsidDel="00000000" w:rsidR="00000000" w:rsidRPr="00000000">
        <w:rPr>
          <w:b w:val="1"/>
          <w:bCs w:val="1"/>
          <w:rtl w:val="0"/>
        </w:rPr>
        <w:t xml:space="preserve">Target-Population Acute Phenomenology and Active-Comparator Separation</w:t>
      </w:r>
    </w:p>
    <w:p w:rsidR="00000000" w:rsidDel="00000000" w:rsidP="00000000" w:rsidRDefault="00000000" w:rsidRPr="00000000" w14:paraId="0000012C">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Scoring and Analysis Population</w:t>
      </w:r>
    </w:p>
    <w:p w:rsidR="00000000" w:rsidDel="00000000" w:rsidP="00000000" w:rsidRDefault="00000000" w:rsidRPr="00000000" w14:paraId="0000012D">
      <w:pPr>
        <w:spacing w:after="240" w:before="240" w:lineRule="auto"/>
        <w:rPr/>
      </w:pPr>
      <w:r w:rsidDel="00000000" w:rsidR="00000000" w:rsidRPr="00000000">
        <w:rPr>
          <w:rtl w:val="0"/>
        </w:rPr>
        <w:t xml:space="preserve">Post-session acute phenomenology was examined directly in the Study 3 target population. The 6D-VHQ was scored across its six dimensions (Geometric Content, Semantic Content, Detail, Vividness, Entropy, and Focality), with items 10, 11, 12, and 17 reverse-scored before calculating three-item dimension means on the original 1–5 scale. This was consistent with the scoring used for the Interim bridge study. The 42-item 11-ASC summary score was calculated as the mean across the administered items, retaining the original 0–100 item metric; the eleven 11-ASC factor means were additionally calculated for descriptive profile visualisation.</w:t>
      </w:r>
    </w:p>
    <w:p w:rsidR="00000000" w:rsidDel="00000000" w:rsidP="00000000" w:rsidRDefault="00000000" w:rsidRPr="00000000" w14:paraId="0000012E">
      <w:pPr>
        <w:spacing w:after="240" w:before="240" w:lineRule="auto"/>
        <w:rPr/>
      </w:pPr>
      <w:r w:rsidDel="00000000" w:rsidR="00000000" w:rsidRPr="00000000">
        <w:rPr>
          <w:rtl w:val="0"/>
        </w:rPr>
        <w:t xml:space="preserve">Repeated-session analyses used participant-session observations without visit imputation, consistent with the general Study 3 available-case approach. Available post-session phenomenology data comprised 40, 39, 39, and 39 participants under strobe-emphasis SLS and 39, 35, 32, and 31 participants under wash-emphasis SLS at Sessions 1–4, respectively.</w:t>
      </w:r>
    </w:p>
    <w:p w:rsidR="00000000" w:rsidDel="00000000" w:rsidP="00000000" w:rsidRDefault="00000000" w:rsidRPr="00000000" w14:paraId="0000012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30">
      <w:pPr>
        <w:rPr>
          <w:rFonts w:ascii="Palatino Linotype" w:cs="Palatino Linotype" w:eastAsia="Palatino Linotype" w:hAnsi="Palatino Linotype"/>
          <w:u w:val="single"/>
        </w:rPr>
      </w:pPr>
      <w:r w:rsidDel="00000000" w:rsidR="00000000" w:rsidRPr="00000000">
        <w:rPr>
          <w:u w:val="single"/>
          <w:rtl w:val="0"/>
        </w:rPr>
        <w:t xml:space="preserve">Configuration</w:t>
      </w:r>
      <w:r w:rsidDel="00000000" w:rsidR="00000000" w:rsidRPr="00000000">
        <w:rPr>
          <w:rFonts w:ascii="Palatino Linotype" w:cs="Palatino Linotype" w:eastAsia="Palatino Linotype" w:hAnsi="Palatino Linotype"/>
          <w:u w:val="single"/>
          <w:rtl w:val="0"/>
        </w:rPr>
        <w:t xml:space="preserve">-by-Session Phenomenology</w:t>
      </w:r>
    </w:p>
    <w:p w:rsidR="00000000" w:rsidDel="00000000" w:rsidP="00000000" w:rsidRDefault="00000000" w:rsidRPr="00000000" w14:paraId="00000131">
      <w:pPr>
        <w:spacing w:after="240" w:before="240" w:lineRule="auto"/>
        <w:rPr/>
      </w:pPr>
      <w:r w:rsidDel="00000000" w:rsidR="00000000" w:rsidRPr="00000000">
        <w:rPr>
          <w:rtl w:val="0"/>
        </w:rPr>
        <w:t xml:space="preserve">Both configurations produced substantial acute subjective and visual phenomenology. Under wash-emphasis SLS, 6D-VHQ means remained clearly above the 1-point scale floor across all four sessions, ranging from 4.18–4.36 for Geometric Content, 3.62–3.94 for Vividness, 3.09–3.40 for Entropy, 2.70–2.84 for Detail, 2.10–2.56 for Focality, and 1.53–2.06 for Semantic Content. Strobe-emphasis SLS likewise produced substantial phenomenology, with particularly high Geometric Content and Vividness ratings.</w:t>
      </w:r>
    </w:p>
    <w:p w:rsidR="00000000" w:rsidDel="00000000" w:rsidP="00000000" w:rsidRDefault="00000000" w:rsidRPr="00000000" w14:paraId="00000132">
      <w:pPr>
        <w:spacing w:after="240" w:before="240" w:lineRule="auto"/>
        <w:rPr/>
      </w:pPr>
      <w:r w:rsidDel="00000000" w:rsidR="00000000" w:rsidRPr="00000000">
        <w:rPr>
          <w:rtl w:val="0"/>
        </w:rPr>
        <w:t xml:space="preserve">For the 42-item mean 11-ASC score, the pooled strobe-emphasis-minus-wash-emphasis contrast was 3.03 points (95% CI −3.68 to 9.73, p=.371), providing no clear evidence of an overall between-configuration difference averaged across sessions. The configuration × session interaction was F(3, 210.96)=3.25, p=.023. None of the individual session-specific contrasts was statistically clear after correction across the four sessions, indicating that the interaction reflected differing longitudinal profiles rather than a single decisive session-specific contrast.</w:t>
      </w:r>
    </w:p>
    <w:p w:rsidR="00000000" w:rsidDel="00000000" w:rsidP="00000000" w:rsidRDefault="00000000" w:rsidRPr="00000000" w14:paraId="00000133">
      <w:pPr>
        <w:spacing w:after="240" w:before="240" w:lineRule="auto"/>
        <w:rPr>
          <w:rFonts w:ascii="Palatino Linotype" w:cs="Palatino Linotype" w:eastAsia="Palatino Linotype" w:hAnsi="Palatino Linotype"/>
        </w:rPr>
      </w:pPr>
      <w:r w:rsidDel="00000000" w:rsidR="00000000" w:rsidRPr="00000000">
        <w:rPr>
          <w:rtl w:val="0"/>
        </w:rPr>
        <w:t xml:space="preserve">For the 6D-VHQ, pooled between-configuration differences (Δ = strobe-emphasis SLS − wash-emphasis SLS; corresponding to Intervention − Control under the registered analysis coding) were small and imprecise: Geometric Content Δ=0.21 (95% CI −0.07 to 0.50), Detail Δ=0.17 (−0.20 to 0.54), Vividness Δ=0.07 (−0.24 to 0.38), Focality Δ=0.26 (−0.11 to 0.64), Semantic Content Δ=0.16 (−0.26 to 0.58), and Entropy Δ≈0.00 (−0.39 to 0.38). None of the six pooled contrasts excluded zero, and none survived Holm correction across the six dimensions;</w:t>
      </w:r>
      <w:r w:rsidDel="00000000" w:rsidR="00000000" w:rsidRPr="00000000">
        <w:rPr>
          <w:rFonts w:ascii="Palatino Linotype" w:cs="Palatino Linotype" w:eastAsia="Palatino Linotype" w:hAnsi="Palatino Linotype"/>
          <w:rtl w:val="0"/>
        </w:rPr>
        <w:t xml:space="preserve"> see Supplementary Material workbook “</w:t>
      </w:r>
      <w:r w:rsidDel="00000000" w:rsidR="00000000" w:rsidRPr="00000000">
        <w:rPr>
          <w:b w:val="1"/>
          <w:bCs w:val="1"/>
          <w:rtl w:val="0"/>
        </w:rPr>
        <w:t xml:space="preserve">Study 3</w:t>
      </w:r>
      <w:r w:rsidDel="00000000" w:rsidR="00000000" w:rsidRPr="00000000">
        <w:rPr>
          <w:rFonts w:ascii="Palatino Linotype" w:cs="Palatino Linotype" w:eastAsia="Palatino Linotype" w:hAnsi="Palatino Linotype"/>
          <w:b w:val="1"/>
          <w:bCs w:val="1"/>
          <w:rtl w:val="0"/>
        </w:rPr>
        <w:t xml:space="preserve"> Phenomenology by </w:t>
      </w:r>
      <w:r w:rsidDel="00000000" w:rsidR="00000000" w:rsidRPr="00000000">
        <w:rPr>
          <w:b w:val="1"/>
          <w:bCs w:val="1"/>
          <w:rtl w:val="0"/>
        </w:rPr>
        <w:t xml:space="preserve">Configuration</w:t>
      </w:r>
      <w:r w:rsidDel="00000000" w:rsidR="00000000" w:rsidRPr="00000000">
        <w:rPr>
          <w:rFonts w:ascii="Palatino Linotype" w:cs="Palatino Linotype" w:eastAsia="Palatino Linotype" w:hAnsi="Palatino Linotype"/>
          <w:b w:val="1"/>
          <w:bCs w:val="1"/>
          <w:rtl w:val="0"/>
        </w:rPr>
        <w:t xml:space="preserve">/Session</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134">
      <w:pPr>
        <w:rPr>
          <w:rFonts w:ascii="Palatino Linotype" w:cs="Palatino Linotype" w:eastAsia="Palatino Linotype" w:hAnsi="Palatino Linotype"/>
        </w:rPr>
      </w:pPr>
      <w:r w:rsidDel="00000000" w:rsidR="00000000" w:rsidRPr="00000000">
        <w:rPr>
          <w:rtl w:val="0"/>
        </w:rPr>
        <w:t xml:space="preserve">There was evidence that between-configuration separation varied across sessions for Focality, F(3, 212.27)=6.11, Holm-adjusted p=.003. This interaction was driven principally by Session 3, when strobe-emphasis SLS produced greater Focality than wash-emphasis SLS (Δ=0.76, 95% CI 0.30 to 1.23; within-dimension Holm-adjusted p=.006). The Semantic Content interaction was nominally evident before multiplicity correction, F(3, 209.59)=2.81, p=.041, but did not survive correction across the six 6D-VHQ dimensions (Holm-adjusted p=.203). Similarly, the Session-4 Semantic Content contrast (Δ=0.61, 95% CI 0.08 to 1.13) did not survive correction across the four session-specific comparisons. Geometric Content was greater under strobe-emphasis SLS at Session 1 (Δ=0.45, 95% CI 0.10 to 0.80; within-dimension Holm-adjusted p=.047), but this difference attenuated thereafter and the overall Geometric Content configuration × session interaction was not statistically clear. Detail, Vividness, and Entropy showed no clear pooled or longitudinal between-configuration separation. </w:t>
      </w:r>
      <w:r w:rsidDel="00000000" w:rsidR="00000000" w:rsidRPr="00000000">
        <w:rPr>
          <w:rtl w:val="0"/>
        </w:rPr>
      </w:r>
    </w:p>
    <w:p w:rsidR="00000000" w:rsidDel="00000000" w:rsidP="00000000" w:rsidRDefault="00000000" w:rsidRPr="00000000" w14:paraId="0000013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36">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Comparison with the Interim Bridge-Study Calibration</w:t>
      </w:r>
    </w:p>
    <w:p w:rsidR="00000000" w:rsidDel="00000000" w:rsidP="00000000" w:rsidRDefault="00000000" w:rsidRPr="00000000" w14:paraId="0000013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healthy within-participant bridge study had shown substantially larger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differences for Geometric Content (1.14), Detail (1.05), Vividness (0.97), Focality (0.42), and Semantic Content (0.41), with no clear Entropy difference. </w:t>
      </w:r>
    </w:p>
    <w:p w:rsidR="00000000" w:rsidDel="00000000" w:rsidP="00000000" w:rsidRDefault="00000000" w:rsidRPr="00000000" w14:paraId="0000013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direction of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pooled effects was broadly consistent with that bridge-study pattern; all five dimensions that previously showed positive separation again had positive </w:t>
      </w:r>
      <w:r w:rsidDel="00000000" w:rsidR="00000000" w:rsidRPr="00000000">
        <w:rPr>
          <w:rtl w:val="0"/>
        </w:rPr>
        <w:t xml:space="preserve">strobe-emphasis–minus–wash-emphasis</w:t>
      </w:r>
      <w:r w:rsidDel="00000000" w:rsidR="00000000" w:rsidRPr="00000000">
        <w:rPr>
          <w:rFonts w:ascii="Palatino Linotype" w:cs="Palatino Linotype" w:eastAsia="Palatino Linotype" w:hAnsi="Palatino Linotype"/>
          <w:rtl w:val="0"/>
        </w:rPr>
        <w:t xml:space="preserve"> point estimates. However, their magnitudes were markedly attenuated, and the 95% confidence intervals for all five pooled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contrasts included zero. The particularly large bridge-study differences in Geometric Content, Detail, and Vividness were reduced from 1.14, 1.05, and 0.97 to approximately 0.21, 0.17, and 0.07 points, respectively. </w:t>
      </w:r>
    </w:p>
    <w:p w:rsidR="00000000" w:rsidDel="00000000" w:rsidP="00000000" w:rsidRDefault="00000000" w:rsidRPr="00000000" w14:paraId="0000013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Accordingly, the broad phenomenological separation demonstrated under healthy within-participant calibration was not reproduced at the group level in the parallel-group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target sample. This does not imply an absence of phenomenological differences at every session. Session-1 Geometric Content and the longitudinal Focality pattern provide evidence of some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-dependent separation. Rather, the intended manipulation did not produce the robust and generalised between-con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distinction observed in </w:t>
      </w:r>
      <w:r w:rsidDel="00000000" w:rsidR="00000000" w:rsidRPr="00000000">
        <w:rPr>
          <w:rtl w:val="0"/>
        </w:rPr>
        <w:t xml:space="preserve">Study 2</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13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Crucially,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w:t>
      </w:r>
      <w:r w:rsidDel="00000000" w:rsidR="00000000" w:rsidRPr="00000000">
        <w:rPr>
          <w:rtl w:val="0"/>
        </w:rPr>
        <w:t xml:space="preserve">wash-emphasis configuration</w:t>
      </w:r>
      <w:r w:rsidDel="00000000" w:rsidR="00000000" w:rsidRPr="00000000">
        <w:rPr>
          <w:rFonts w:ascii="Palatino Linotype" w:cs="Palatino Linotype" w:eastAsia="Palatino Linotype" w:hAnsi="Palatino Linotype"/>
          <w:rtl w:val="0"/>
        </w:rPr>
        <w:t xml:space="preserve"> itself produced substantial visual phenomenology and cannot be characterised as a near-inert phenomenological comparator.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randomised contrast should therefore be interpreted as comparing two active SLS configurations, rather than as estimating SLS against little or no visual phenomenology. </w:t>
      </w:r>
    </w:p>
    <w:p w:rsidR="00000000" w:rsidDel="00000000" w:rsidP="00000000" w:rsidRDefault="00000000" w:rsidRPr="00000000" w14:paraId="0000013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3C">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Caveats</w:t>
      </w:r>
    </w:p>
    <w:p w:rsidR="00000000" w:rsidDel="00000000" w:rsidP="00000000" w:rsidRDefault="00000000" w:rsidRPr="00000000" w14:paraId="0000013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 important qualification is that the interim and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studies differed not only in population but also in the experiential context in which phenomenology was rated. </w:t>
      </w:r>
      <w:r w:rsidDel="00000000" w:rsidR="00000000" w:rsidRPr="00000000">
        <w:rPr>
          <w:rtl w:val="0"/>
        </w:rPr>
        <w:t xml:space="preserve">Study 2</w:t>
      </w:r>
      <w:r w:rsidDel="00000000" w:rsidR="00000000" w:rsidRPr="00000000">
        <w:rPr>
          <w:rFonts w:ascii="Palatino Linotype" w:cs="Palatino Linotype" w:eastAsia="Palatino Linotype" w:hAnsi="Palatino Linotype"/>
          <w:rtl w:val="0"/>
        </w:rPr>
        <w:t xml:space="preserve"> used a within-participant calibration design in which participants experienced both SLS configurations. Repeated exposure to both con</w:t>
      </w:r>
      <w:r w:rsidDel="00000000" w:rsidR="00000000" w:rsidRPr="00000000">
        <w:rPr>
          <w:rtl w:val="0"/>
        </w:rPr>
        <w:t xml:space="preserve">figurations</w:t>
      </w:r>
      <w:r w:rsidDel="00000000" w:rsidR="00000000" w:rsidRPr="00000000">
        <w:rPr>
          <w:rFonts w:ascii="Palatino Linotype" w:cs="Palatino Linotype" w:eastAsia="Palatino Linotype" w:hAnsi="Palatino Linotype"/>
          <w:rtl w:val="0"/>
        </w:rPr>
        <w:t xml:space="preserve"> therefore provided an internal experiential reference against which subsequent questionnaire ratings could be anchored. By contrast,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used parallel-group allocation, and participants were necessarily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-naive with respect to the alternative SLS</w:t>
      </w:r>
      <w:r w:rsidDel="00000000" w:rsidR="00000000" w:rsidRPr="00000000">
        <w:rPr>
          <w:rtl w:val="0"/>
        </w:rPr>
        <w:t xml:space="preserve"> sequence</w:t>
      </w:r>
      <w:r w:rsidDel="00000000" w:rsidR="00000000" w:rsidRPr="00000000">
        <w:rPr>
          <w:rFonts w:ascii="Palatino Linotype" w:cs="Palatino Linotype" w:eastAsia="Palatino Linotype" w:hAnsi="Palatino Linotype"/>
          <w:rtl w:val="0"/>
        </w:rPr>
        <w:t xml:space="preserve">. Providing cross-con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experiential calibration before or during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would have risked revealing the nature of the manipulation and undermining the intended allocation contrast. Consequently, absolute 6D-VHQ ratings in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may reflect both the experience elicited by the assigned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 and individual differences in how participants interpreted and anchored the response scale in the absence of a within-person comparator. </w:t>
      </w:r>
    </w:p>
    <w:p w:rsidR="00000000" w:rsidDel="00000000" w:rsidP="00000000" w:rsidRDefault="00000000" w:rsidRPr="00000000" w14:paraId="0000013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This possibility was also consistent with piloting observations during sequence development, in which ratings obtained before participants had experienced the range of SLS phenomenology could appear high relative to ratings made after exposure to a more intense visual sequence. Such observations were not prospectively quantified and are therefore not treated as evidence in the present analysis, but they motivated caution in interpreting absolute between-group VHQ scores as direct equivalents of the within-participant bridge-study contrasts. In particular, the absence of a strong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between-</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VHQ difference cannot distinguish between genuinely overlapping phenomenology and reduced measurement discrimination arising from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-naive scale use. </w:t>
      </w:r>
    </w:p>
    <w:p w:rsidR="00000000" w:rsidDel="00000000" w:rsidP="00000000" w:rsidRDefault="00000000" w:rsidRPr="00000000" w14:paraId="0000013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11-ASC results provide complementary but not equivalent information. The 42-item mean 11-ASC score indexes a broad range of altered-state features rather than visual phenomenology specifically. Similar overall scores between conditions could therefore arise from different experiential compositions, and should not be interpreted as demonstrating phenomenological equivalence. Consistent with this, the descriptive 11-factor profiles and the significant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-by-session interaction in the overall 11-ASC mean suggest that the temporal structure of altered experience differed between con</w:t>
      </w:r>
      <w:r w:rsidDel="00000000" w:rsidR="00000000" w:rsidRPr="00000000">
        <w:rPr>
          <w:rtl w:val="0"/>
        </w:rPr>
        <w:t xml:space="preserve">figurations</w:t>
      </w:r>
      <w:r w:rsidDel="00000000" w:rsidR="00000000" w:rsidRPr="00000000">
        <w:rPr>
          <w:rFonts w:ascii="Palatino Linotype" w:cs="Palatino Linotype" w:eastAsia="Palatino Linotype" w:hAnsi="Palatino Linotype"/>
          <w:rtl w:val="0"/>
        </w:rPr>
        <w:t xml:space="preserve"> even though the pooled mean-item contrast was not clearly different. The 6D-VHQ therefore remains the more direct measure of the visual-perceptual distinction targeted by the comparator manipulation, while the 11-ASC provides broader contextual characterisation of the acute state. </w:t>
      </w:r>
    </w:p>
    <w:p w:rsidR="00000000" w:rsidDel="00000000" w:rsidP="00000000" w:rsidRDefault="00000000" w:rsidRPr="00000000" w14:paraId="0000014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Taken together,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data therefore refine rather than invalidate the comparator-development findings. They show that both configurations were active experiential interventions in adults reporting depressive symptoms, while the magnitude and temporal stability of their phenomenological separation were less clear than under within-participant calibration. The findings identify target-population phenomenological discrimination, not simply physical stimulus differentiation, as a specific feasibility issue for subsequent trials. Future comparator validation should therefore assess the two configurations directly in the target population using a design that preserves masking while providing con</w:t>
      </w:r>
      <w:r w:rsidDel="00000000" w:rsidR="00000000" w:rsidRPr="00000000">
        <w:rPr>
          <w:rtl w:val="0"/>
        </w:rPr>
        <w:t xml:space="preserve">figuration</w:t>
      </w:r>
      <w:r w:rsidDel="00000000" w:rsidR="00000000" w:rsidRPr="00000000">
        <w:rPr>
          <w:rFonts w:ascii="Palatino Linotype" w:cs="Palatino Linotype" w:eastAsia="Palatino Linotype" w:hAnsi="Palatino Linotype"/>
          <w:rtl w:val="0"/>
        </w:rPr>
        <w:t xml:space="preserve">-neutral scale anchoring, and should prospectively distinguish visual-intensity measures from broader altered-state, relaxation, expectancy, and credibility measures. </w:t>
      </w:r>
    </w:p>
    <w:p w:rsidR="00000000" w:rsidDel="00000000" w:rsidP="00000000" w:rsidRDefault="00000000" w:rsidRPr="00000000" w14:paraId="0000014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731200" cy="31877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S11.1. </w:t>
      </w:r>
      <w:r w:rsidDel="00000000" w:rsidR="00000000" w:rsidRPr="00000000">
        <w:rPr>
          <w:b w:val="1"/>
          <w:bCs w:val="1"/>
          <w:sz w:val="22"/>
          <w:szCs w:val="22"/>
          <w:rtl w:val="0"/>
        </w:rPr>
        <w:t xml:space="preserve">Study 3</w:t>
      </w:r>
      <w:r w:rsidDel="00000000" w:rsidR="00000000" w:rsidRPr="00000000">
        <w:rPr>
          <w:rFonts w:ascii="Palatino Linotype" w:cs="Palatino Linotype" w:eastAsia="Palatino Linotype" w:hAnsi="Palatino Linotype"/>
          <w:b w:val="1"/>
          <w:bCs w:val="1"/>
          <w:sz w:val="22"/>
          <w:szCs w:val="22"/>
          <w:rtl w:val="0"/>
        </w:rPr>
        <w:t xml:space="preserve"> acute phenomenology by </w:t>
      </w:r>
      <w:r w:rsidDel="00000000" w:rsidR="00000000" w:rsidRPr="00000000">
        <w:rPr>
          <w:b w:val="1"/>
          <w:bCs w:val="1"/>
          <w:sz w:val="22"/>
          <w:szCs w:val="22"/>
          <w:rtl w:val="0"/>
        </w:rPr>
        <w:t xml:space="preserve">configuration</w:t>
      </w:r>
      <w:r w:rsidDel="00000000" w:rsidR="00000000" w:rsidRPr="00000000">
        <w:rPr>
          <w:rFonts w:ascii="Palatino Linotype" w:cs="Palatino Linotype" w:eastAsia="Palatino Linotype" w:hAnsi="Palatino Linotype"/>
          <w:b w:val="1"/>
          <w:bCs w:val="1"/>
          <w:sz w:val="22"/>
          <w:szCs w:val="22"/>
          <w:rtl w:val="0"/>
        </w:rPr>
        <w:t xml:space="preserve"> and session.</w:t>
        <w:br w:type="textWrapping"/>
      </w:r>
      <w:r w:rsidDel="00000000" w:rsidR="00000000" w:rsidRPr="00000000">
        <w:rPr>
          <w:rFonts w:ascii="Palatino Linotype" w:cs="Palatino Linotype" w:eastAsia="Palatino Linotype" w:hAnsi="Palatino Linotype"/>
          <w:sz w:val="22"/>
          <w:szCs w:val="22"/>
          <w:rtl w:val="0"/>
        </w:rPr>
        <w:t xml:space="preserve">Panel A shows the participant-session mean across the 42 administered 11-ASC items on the original 0-100 item metric. Panel B shows the six 6D-VHQ dimension means on the original 1-5 scale. Points indicate </w:t>
      </w:r>
      <w:r w:rsidDel="00000000" w:rsidR="00000000" w:rsidRPr="00000000">
        <w:rPr>
          <w:sz w:val="22"/>
          <w:szCs w:val="22"/>
          <w:rtl w:val="0"/>
        </w:rPr>
        <w:t xml:space="preserve">configuration</w:t>
      </w:r>
      <w:r w:rsidDel="00000000" w:rsidR="00000000" w:rsidRPr="00000000">
        <w:rPr>
          <w:rFonts w:ascii="Palatino Linotype" w:cs="Palatino Linotype" w:eastAsia="Palatino Linotype" w:hAnsi="Palatino Linotype"/>
          <w:sz w:val="22"/>
          <w:szCs w:val="22"/>
          <w:rtl w:val="0"/>
        </w:rPr>
        <w:t xml:space="preserve">-specific means and error bars indicate 95% confidence intervals. Repeated-session summaries use available-case observations without imputation. Mixed-effects analyses corresponding to these trajectories are reported in the accompanying text. </w:t>
      </w:r>
      <w:r w:rsidDel="00000000" w:rsidR="00000000" w:rsidRPr="00000000">
        <w:rPr>
          <w:rtl w:val="0"/>
        </w:rPr>
      </w:r>
    </w:p>
    <w:p w:rsidR="00000000" w:rsidDel="00000000" w:rsidP="00000000" w:rsidRDefault="00000000" w:rsidRPr="00000000" w14:paraId="0000014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45">
      <w:pPr>
        <w:pStyle w:val="Heading3"/>
        <w:rPr>
          <w:b w:val="1"/>
          <w:bCs w:val="1"/>
        </w:rPr>
      </w:pPr>
      <w:bookmarkStart w:colFirst="0" w:colLast="0" w:name="_z2cg7zgqvv7x" w:id="77"/>
      <w:bookmarkEnd w:id="77"/>
      <w:r w:rsidDel="00000000" w:rsidR="00000000" w:rsidRPr="00000000">
        <w:rPr>
          <w:b w:val="1"/>
          <w:bCs w:val="1"/>
          <w:rtl w:val="0"/>
        </w:rPr>
        <w:t xml:space="preserve">TEX-Q/SETS Handling</w:t>
      </w:r>
    </w:p>
    <w:p w:rsidR="00000000" w:rsidDel="00000000" w:rsidP="00000000" w:rsidRDefault="00000000" w:rsidRPr="00000000" w14:paraId="0000014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Treatment expectancy was assessed at baseline using expectancy items available in the pre-Session 1 file. Baseline expectancy was indexed using a summed pre-treatment expectancy score derived from the available Session 1 expectancy items. </w:t>
      </w:r>
      <w:r w:rsidDel="00000000" w:rsidR="00000000" w:rsidRPr="00000000">
        <w:rPr>
          <w:rFonts w:ascii="Palatino Linotype" w:cs="Palatino Linotype" w:eastAsia="Palatino Linotype" w:hAnsi="Palatino Linotype"/>
          <w:rtl w:val="0"/>
        </w:rPr>
        <w:t xml:space="preserve">This score was treated as a local expectancy composite of fifteen TEX-Q items rather than as a formal masking or treatment-guess measure</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14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Baseline treatment expectancy was summarised by trial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 before candidate-predictor analyses to assess whether expectancy differed meaningfully between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before stimulation. The </w:t>
      </w:r>
      <w:r w:rsidDel="00000000" w:rsidR="00000000" w:rsidRPr="00000000">
        <w:rPr>
          <w:rtl w:val="0"/>
        </w:rPr>
        <w:t xml:space="preserve">strobe-emphasis configuration</w:t>
      </w:r>
      <w:r w:rsidDel="00000000" w:rsidR="00000000" w:rsidRPr="00000000">
        <w:rPr>
          <w:rFonts w:ascii="Palatino Linotype" w:cs="Palatino Linotype" w:eastAsia="Palatino Linotype" w:hAnsi="Palatino Linotype"/>
          <w:rtl w:val="0"/>
        </w:rPr>
        <w:t xml:space="preserve"> had a mean summed expectancy score of 55.76 (SD = 23.06, n = 42), while the </w:t>
      </w:r>
      <w:r w:rsidDel="00000000" w:rsidR="00000000" w:rsidRPr="00000000">
        <w:rPr>
          <w:rtl w:val="0"/>
        </w:rPr>
        <w:t xml:space="preserve">wash-emphasis configuration </w:t>
      </w:r>
      <w:r w:rsidDel="00000000" w:rsidR="00000000" w:rsidRPr="00000000">
        <w:rPr>
          <w:rFonts w:ascii="Palatino Linotype" w:cs="Palatino Linotype" w:eastAsia="Palatino Linotype" w:hAnsi="Palatino Linotype"/>
          <w:rtl w:val="0"/>
        </w:rPr>
        <w:t xml:space="preserve">had a mean score of 59.79 (SD = 19.75, n = 39). A Welch two-sample comparison gave p = 0.399, and a Wilcoxon rank-sum comparison gave p = 0.359. These descriptive checks did not suggest a clear baseline expectancy imbalance between </w:t>
      </w:r>
      <w:r w:rsidDel="00000000" w:rsidR="00000000" w:rsidRPr="00000000">
        <w:rPr>
          <w:rtl w:val="0"/>
        </w:rPr>
        <w:t xml:space="preserve">configuration</w:t>
      </w:r>
      <w:r w:rsidDel="00000000" w:rsidR="00000000" w:rsidRPr="00000000">
        <w:rPr>
          <w:rFonts w:ascii="Palatino Linotype" w:cs="Palatino Linotype" w:eastAsia="Palatino Linotype" w:hAnsi="Palatino Linotype"/>
          <w:rtl w:val="0"/>
        </w:rPr>
        <w:t xml:space="preserve">s. Expectancy analyses were therefore treated as exploratory candidate-predictor analyses rather than as evidence that expectancy was experimentally controlled or absent.</w:t>
      </w:r>
      <w:r w:rsidDel="00000000" w:rsidR="00000000" w:rsidRPr="00000000">
        <w:rPr>
          <w:rtl w:val="0"/>
        </w:rPr>
      </w:r>
    </w:p>
    <w:p w:rsidR="00000000" w:rsidDel="00000000" w:rsidP="00000000" w:rsidRDefault="00000000" w:rsidRPr="00000000" w14:paraId="0000014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49">
      <w:pPr>
        <w:rPr>
          <w:rFonts w:ascii="Palatino Linotype" w:cs="Palatino Linotype" w:eastAsia="Palatino Linotype" w:hAnsi="Palatino Linotype"/>
        </w:rPr>
      </w:pPr>
      <w:r w:rsidDel="00000000" w:rsidR="00000000" w:rsidRPr="00000000">
        <w:rPr/>
        <w:drawing>
          <wp:inline distB="114300" distT="114300" distL="114300" distR="114300">
            <wp:extent cx="5731200" cy="27051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z w:val="22"/>
          <w:szCs w:val="22"/>
          <w:rtl w:val="0"/>
        </w:rPr>
        <w:t xml:space="preserve">Figure S11.</w:t>
      </w:r>
      <w:r w:rsidDel="00000000" w:rsidR="00000000" w:rsidRPr="00000000">
        <w:rPr>
          <w:b w:val="1"/>
          <w:bCs w:val="1"/>
          <w:sz w:val="22"/>
          <w:szCs w:val="22"/>
          <w:rtl w:val="0"/>
        </w:rPr>
        <w:t xml:space="preserve">2</w:t>
      </w:r>
      <w:r w:rsidDel="00000000" w:rsidR="00000000" w:rsidRPr="00000000">
        <w:rPr>
          <w:rFonts w:ascii="Palatino Linotype" w:cs="Palatino Linotype" w:eastAsia="Palatino Linotype" w:hAnsi="Palatino Linotype"/>
          <w:b w:val="1"/>
          <w:bCs w:val="1"/>
          <w:sz w:val="22"/>
          <w:szCs w:val="22"/>
          <w:rtl w:val="0"/>
        </w:rPr>
        <w:t xml:space="preserve">. Baseline treatment expectancy by trial </w:t>
      </w:r>
      <w:r w:rsidDel="00000000" w:rsidR="00000000" w:rsidRPr="00000000">
        <w:rPr>
          <w:b w:val="1"/>
          <w:bCs w:val="1"/>
          <w:sz w:val="22"/>
          <w:szCs w:val="22"/>
          <w:rtl w:val="0"/>
        </w:rPr>
        <w:t xml:space="preserve">configuration</w:t>
      </w:r>
      <w:r w:rsidDel="00000000" w:rsidR="00000000" w:rsidRPr="00000000">
        <w:rPr>
          <w:rFonts w:ascii="Palatino Linotype" w:cs="Palatino Linotype" w:eastAsia="Palatino Linotype" w:hAnsi="Palatino Linotype"/>
          <w:b w:val="1"/>
          <w:bCs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Density plots show the distribution of summed session-1 pre-treatment expectancy scores for available </w:t>
      </w:r>
      <w:r w:rsidDel="00000000" w:rsidR="00000000" w:rsidRPr="00000000">
        <w:rPr>
          <w:sz w:val="22"/>
          <w:szCs w:val="22"/>
          <w:rtl w:val="0"/>
        </w:rPr>
        <w:t xml:space="preserve">Study 3</w:t>
      </w:r>
      <w:r w:rsidDel="00000000" w:rsidR="00000000" w:rsidRPr="00000000">
        <w:rPr>
          <w:rFonts w:ascii="Palatino Linotype" w:cs="Palatino Linotype" w:eastAsia="Palatino Linotype" w:hAnsi="Palatino Linotype"/>
          <w:sz w:val="22"/>
          <w:szCs w:val="22"/>
          <w:rtl w:val="0"/>
        </w:rPr>
        <w:t xml:space="preserve"> participants in the </w:t>
      </w:r>
      <w:r w:rsidDel="00000000" w:rsidR="00000000" w:rsidRPr="00000000">
        <w:rPr>
          <w:sz w:val="22"/>
          <w:szCs w:val="22"/>
          <w:rtl w:val="0"/>
        </w:rPr>
        <w:t xml:space="preserve">strobe-emphasis and wash-emphasis configurations</w:t>
      </w:r>
      <w:r w:rsidDel="00000000" w:rsidR="00000000" w:rsidRPr="00000000">
        <w:rPr>
          <w:rFonts w:ascii="Palatino Linotype" w:cs="Palatino Linotype" w:eastAsia="Palatino Linotype" w:hAnsi="Palatino Linotype"/>
          <w:sz w:val="22"/>
          <w:szCs w:val="22"/>
          <w:rtl w:val="0"/>
        </w:rPr>
        <w:t xml:space="preserve">. Rug marks show individual participant scores, and dashed vertical lines show </w:t>
      </w:r>
      <w:r w:rsidDel="00000000" w:rsidR="00000000" w:rsidRPr="00000000">
        <w:rPr>
          <w:sz w:val="22"/>
          <w:szCs w:val="22"/>
          <w:rtl w:val="0"/>
        </w:rPr>
        <w:t xml:space="preserve">configuration</w:t>
      </w:r>
      <w:r w:rsidDel="00000000" w:rsidR="00000000" w:rsidRPr="00000000">
        <w:rPr>
          <w:rFonts w:ascii="Palatino Linotype" w:cs="Palatino Linotype" w:eastAsia="Palatino Linotype" w:hAnsi="Palatino Linotype"/>
          <w:sz w:val="22"/>
          <w:szCs w:val="22"/>
          <w:rtl w:val="0"/>
        </w:rPr>
        <w:t xml:space="preserve">-specific means. The figure is descriptive and is used to assess visual balance in baseline expectancy between </w:t>
      </w:r>
      <w:r w:rsidDel="00000000" w:rsidR="00000000" w:rsidRPr="00000000">
        <w:rPr>
          <w:sz w:val="22"/>
          <w:szCs w:val="22"/>
          <w:rtl w:val="0"/>
        </w:rPr>
        <w:t xml:space="preserve">configuration</w:t>
      </w:r>
      <w:r w:rsidDel="00000000" w:rsidR="00000000" w:rsidRPr="00000000">
        <w:rPr>
          <w:rFonts w:ascii="Palatino Linotype" w:cs="Palatino Linotype" w:eastAsia="Palatino Linotype" w:hAnsi="Palatino Linotype"/>
          <w:sz w:val="22"/>
          <w:szCs w:val="22"/>
          <w:rtl w:val="0"/>
        </w:rPr>
        <w:t xml:space="preserve">s.</w:t>
      </w:r>
      <w:r w:rsidDel="00000000" w:rsidR="00000000" w:rsidRPr="00000000">
        <w:rPr>
          <w:rtl w:val="0"/>
        </w:rPr>
      </w:r>
    </w:p>
    <w:p w:rsidR="00000000" w:rsidDel="00000000" w:rsidP="00000000" w:rsidRDefault="00000000" w:rsidRPr="00000000" w14:paraId="0000014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3987800"/>
            <wp:effectExtent b="0" l="0" r="0" t="0"/>
            <wp:docPr id="10" name="image12.png"/>
            <a:graphic>
              <a:graphicData uri="http://schemas.openxmlformats.org/drawingml/2006/picture">
                <pic:pic>
                  <pic:nvPicPr>
                    <pic:cNvPr id="0" name="image12.png"/>
                    <pic:cNvPicPr preferRelativeResize="0"/>
                  </pic:nvPicPr>
                  <pic:blipFill>
                    <a:blip r:embed="rId18"/>
                    <a:srcRect b="0" l="4" r="4"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S11.</w:t>
      </w:r>
      <w:r w:rsidDel="00000000" w:rsidR="00000000" w:rsidRPr="00000000">
        <w:rPr>
          <w:b w:val="1"/>
          <w:bCs w:val="1"/>
          <w:sz w:val="22"/>
          <w:szCs w:val="22"/>
          <w:rtl w:val="0"/>
        </w:rPr>
        <w:t xml:space="preserve">3</w:t>
      </w:r>
      <w:r w:rsidDel="00000000" w:rsidR="00000000" w:rsidRPr="00000000">
        <w:rPr>
          <w:rFonts w:ascii="Palatino Linotype" w:cs="Palatino Linotype" w:eastAsia="Palatino Linotype" w:hAnsi="Palatino Linotype"/>
          <w:b w:val="1"/>
          <w:bCs w:val="1"/>
          <w:sz w:val="22"/>
          <w:szCs w:val="22"/>
          <w:rtl w:val="0"/>
        </w:rPr>
        <w:t xml:space="preserve">. Baseline treatment expectancy distribution by trial </w:t>
      </w:r>
      <w:r w:rsidDel="00000000" w:rsidR="00000000" w:rsidRPr="00000000">
        <w:rPr>
          <w:b w:val="1"/>
          <w:bCs w:val="1"/>
          <w:sz w:val="22"/>
          <w:szCs w:val="22"/>
          <w:rtl w:val="0"/>
        </w:rPr>
        <w:t xml:space="preserve">configuration</w:t>
      </w:r>
      <w:r w:rsidDel="00000000" w:rsidR="00000000" w:rsidRPr="00000000">
        <w:rPr>
          <w:rFonts w:ascii="Palatino Linotype" w:cs="Palatino Linotype" w:eastAsia="Palatino Linotype" w:hAnsi="Palatino Linotype"/>
          <w:b w:val="1"/>
          <w:bCs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Violin plots show the distribution of summed session-1 pre-treatment expectancy scores for available </w:t>
      </w:r>
      <w:r w:rsidDel="00000000" w:rsidR="00000000" w:rsidRPr="00000000">
        <w:rPr>
          <w:sz w:val="22"/>
          <w:szCs w:val="22"/>
          <w:rtl w:val="0"/>
        </w:rPr>
        <w:t xml:space="preserve">Study 3</w:t>
      </w:r>
      <w:r w:rsidDel="00000000" w:rsidR="00000000" w:rsidRPr="00000000">
        <w:rPr>
          <w:rFonts w:ascii="Palatino Linotype" w:cs="Palatino Linotype" w:eastAsia="Palatino Linotype" w:hAnsi="Palatino Linotype"/>
          <w:sz w:val="22"/>
          <w:szCs w:val="22"/>
          <w:rtl w:val="0"/>
        </w:rPr>
        <w:t xml:space="preserve"> participants in the </w:t>
      </w:r>
      <w:r w:rsidDel="00000000" w:rsidR="00000000" w:rsidRPr="00000000">
        <w:rPr>
          <w:sz w:val="22"/>
          <w:szCs w:val="22"/>
          <w:rtl w:val="0"/>
        </w:rPr>
        <w:t xml:space="preserve">strobe-emphasis and wash-emphasis configurations</w:t>
      </w:r>
      <w:r w:rsidDel="00000000" w:rsidR="00000000" w:rsidRPr="00000000">
        <w:rPr>
          <w:rFonts w:ascii="Palatino Linotype" w:cs="Palatino Linotype" w:eastAsia="Palatino Linotype" w:hAnsi="Palatino Linotype"/>
          <w:sz w:val="22"/>
          <w:szCs w:val="22"/>
          <w:rtl w:val="0"/>
        </w:rPr>
        <w:t xml:space="preserve">. Embedded boxplots show the median and interquartile range, jittered points show individual participant scores, and white diamonds show </w:t>
      </w:r>
      <w:r w:rsidDel="00000000" w:rsidR="00000000" w:rsidRPr="00000000">
        <w:rPr>
          <w:sz w:val="22"/>
          <w:szCs w:val="22"/>
          <w:rtl w:val="0"/>
        </w:rPr>
        <w:t xml:space="preserve">configuration</w:t>
      </w:r>
      <w:r w:rsidDel="00000000" w:rsidR="00000000" w:rsidRPr="00000000">
        <w:rPr>
          <w:rFonts w:ascii="Palatino Linotype" w:cs="Palatino Linotype" w:eastAsia="Palatino Linotype" w:hAnsi="Palatino Linotype"/>
          <w:sz w:val="22"/>
          <w:szCs w:val="22"/>
          <w:rtl w:val="0"/>
        </w:rPr>
        <w:t xml:space="preserve">-specific means. The figure is descriptive and is used to assess visual balance in baseline expectancy between </w:t>
      </w:r>
      <w:r w:rsidDel="00000000" w:rsidR="00000000" w:rsidRPr="00000000">
        <w:rPr>
          <w:sz w:val="22"/>
          <w:szCs w:val="22"/>
          <w:rtl w:val="0"/>
        </w:rPr>
        <w:t xml:space="preserve">configuration</w:t>
      </w:r>
      <w:r w:rsidDel="00000000" w:rsidR="00000000" w:rsidRPr="00000000">
        <w:rPr>
          <w:rFonts w:ascii="Palatino Linotype" w:cs="Palatino Linotype" w:eastAsia="Palatino Linotype" w:hAnsi="Palatino Linotype"/>
          <w:sz w:val="22"/>
          <w:szCs w:val="22"/>
          <w:rtl w:val="0"/>
        </w:rPr>
        <w:t xml:space="preserve">s.</w:t>
      </w:r>
    </w:p>
    <w:p w:rsidR="00000000" w:rsidDel="00000000" w:rsidP="00000000" w:rsidRDefault="00000000" w:rsidRPr="00000000" w14:paraId="0000014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4E">
      <w:pPr>
        <w:pStyle w:val="Heading3"/>
        <w:rPr>
          <w:b w:val="1"/>
          <w:bCs w:val="1"/>
        </w:rPr>
      </w:pPr>
      <w:bookmarkStart w:colFirst="0" w:colLast="0" w:name="_cgoyn6dy0cb8" w:id="78"/>
      <w:bookmarkEnd w:id="78"/>
      <w:r w:rsidDel="00000000" w:rsidR="00000000" w:rsidRPr="00000000">
        <w:rPr>
          <w:b w:val="1"/>
          <w:bCs w:val="1"/>
          <w:rtl w:val="0"/>
        </w:rPr>
        <w:t xml:space="preserve">Masking and Credibility Data</w:t>
      </w:r>
    </w:p>
    <w:p w:rsidR="00000000" w:rsidDel="00000000" w:rsidP="00000000" w:rsidRDefault="00000000" w:rsidRPr="00000000" w14:paraId="0000014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No formal masking or credibility outcome was available beyond expectancy-related measures and the use of masked sequence names for researcher-facing session administration. No formal treatment-guess item was collected. Expectancy analyses therefore assess baseline belief/expectancy and candidate-predictor relationships, but do not directly test whether participants correctly guessed their allocation. This limitation should be addressed in future trials by prospectively collecting participant and assessor allocation guesses, credibility ratings, and confidence in allocation guesses after each session or at endpoint.</w:t>
      </w:r>
    </w:p>
    <w:p w:rsidR="00000000" w:rsidDel="00000000" w:rsidP="00000000" w:rsidRDefault="00000000" w:rsidRPr="00000000" w14:paraId="00000150">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51">
      <w:pPr>
        <w:pStyle w:val="Heading3"/>
        <w:rPr>
          <w:b w:val="1"/>
          <w:bCs w:val="1"/>
        </w:rPr>
      </w:pPr>
      <w:bookmarkStart w:colFirst="0" w:colLast="0" w:name="_xpjkq5896pw3" w:id="79"/>
      <w:bookmarkEnd w:id="79"/>
      <w:r w:rsidDel="00000000" w:rsidR="00000000" w:rsidRPr="00000000">
        <w:rPr>
          <w:rtl w:val="0"/>
        </w:rPr>
        <w:t xml:space="preserve">Continuous</w:t>
      </w:r>
      <w:r w:rsidDel="00000000" w:rsidR="00000000" w:rsidRPr="00000000">
        <w:rPr>
          <w:b w:val="1"/>
          <w:bCs w:val="1"/>
          <w:rtl w:val="0"/>
        </w:rPr>
        <w:t xml:space="preserve"> 11-ASC Candidate-Predictor Models</w:t>
      </w:r>
    </w:p>
    <w:p w:rsidR="00000000" w:rsidDel="00000000" w:rsidP="00000000" w:rsidRDefault="00000000" w:rsidRPr="00000000" w14:paraId="00000152">
      <w:pPr>
        <w:rPr/>
      </w:pPr>
      <w:r w:rsidDel="00000000" w:rsidR="00000000" w:rsidRPr="00000000">
        <w:rPr>
          <w:rtl w:val="0"/>
        </w:rPr>
        <w:t xml:space="preserve">Acute total 11-ASC was retained as an exploratory continuous candidate predictor of endpoint BDI-II. Total 11-ASC was z-scored within the available analysis sample and modelled separately within each Study 3 configuration using:</w:t>
      </w:r>
    </w:p>
    <w:p w:rsidR="00000000" w:rsidDel="00000000" w:rsidP="00000000" w:rsidRDefault="00000000" w:rsidRPr="00000000" w14:paraId="00000153">
      <w:pPr>
        <w:rPr/>
      </w:pPr>
      <w:r w:rsidDel="00000000" w:rsidR="00000000" w:rsidRPr="00000000">
        <w:rPr>
          <w:rtl w:val="0"/>
        </w:rPr>
        <w:t xml:space="preserve">post_treatment_BDI_II ~ baseline_BDI_II + total_ASC_z + expectancy_z</w:t>
      </w:r>
    </w:p>
    <w:p w:rsidR="00000000" w:rsidDel="00000000" w:rsidP="00000000" w:rsidRDefault="00000000" w:rsidRPr="00000000" w14:paraId="00000154">
      <w:pPr>
        <w:rPr/>
      </w:pPr>
      <w:r w:rsidDel="00000000" w:rsidR="00000000" w:rsidRPr="00000000">
        <w:rPr>
          <w:rtl w:val="0"/>
        </w:rPr>
        <w:t xml:space="preserve">Under strobe-emphasis SLS, each 1-SD higher total 11-ASC score was associated with a −2.49-point difference in post-treatment BDI-II (SE=1.34, 95% CI −5.21 to 0.23, p=.071; n=39). Under wash-emphasis SLS, the corresponding estimate was −1.75 points (SE=2.11, 95% CI −6.08 to 2.59, p=.415; n=31). Negative coefficients indicate lower endpoint BDI-II conditional on baseline BDI-II and baseline expectancy.</w:t>
      </w:r>
    </w:p>
    <w:p w:rsidR="00000000" w:rsidDel="00000000" w:rsidP="00000000" w:rsidRDefault="00000000" w:rsidRPr="00000000" w14:paraId="00000155">
      <w:pPr>
        <w:rPr/>
      </w:pPr>
      <w:r w:rsidDel="00000000" w:rsidR="00000000" w:rsidRPr="00000000">
        <w:rPr>
          <w:b w:val="0"/>
          <w:bCs w:val="0"/>
          <w:rtl w:val="0"/>
        </w:rPr>
        <w:t xml:space="preserve">Both confidence intervals included zero. These analyses are exploratory and do not establish a dose-response, moderation, mediation, predictive or mechanistic relationship. Because acute experience and endpoint BDI-II were measured within the same treatment period, the estimates are best interpreted as endpoint-adjacent associations rather than evidence that acute experience prospectively caused subsequent clinical improvement. Corresponding numerical output is provided in the Supplementary Material workbook, tab “</w:t>
      </w:r>
      <w:r w:rsidDel="00000000" w:rsidR="00000000" w:rsidRPr="00000000">
        <w:rPr>
          <w:b w:val="1"/>
          <w:bCs w:val="1"/>
          <w:rtl w:val="0"/>
        </w:rPr>
        <w:t xml:space="preserve">Study 3 ASC Predictors</w:t>
      </w:r>
      <w:r w:rsidDel="00000000" w:rsidR="00000000" w:rsidRPr="00000000">
        <w:rPr>
          <w:b w:val="0"/>
          <w:bCs w:val="0"/>
          <w:rtl w:val="0"/>
        </w:rPr>
        <w:t xml:space="preserve">”.</w:t>
      </w:r>
      <w:r w:rsidDel="00000000" w:rsidR="00000000" w:rsidRPr="00000000">
        <w:rPr>
          <w:rtl w:val="0"/>
        </w:rPr>
        <w:t xml:space="preserve"> </w:t>
      </w:r>
    </w:p>
    <w:p w:rsidR="00000000" w:rsidDel="00000000" w:rsidP="00000000" w:rsidRDefault="00000000" w:rsidRPr="00000000" w14:paraId="00000156">
      <w:pPr>
        <w:pStyle w:val="Heading3"/>
        <w:rPr/>
      </w:pPr>
      <w:bookmarkStart w:colFirst="0" w:colLast="0" w:name="_vcfxbmutttv5" w:id="80"/>
      <w:bookmarkEnd w:id="80"/>
      <w:r w:rsidDel="00000000" w:rsidR="00000000" w:rsidRPr="00000000">
        <w:rPr>
          <w:rtl w:val="0"/>
        </w:rPr>
      </w:r>
    </w:p>
    <w:p w:rsidR="00000000" w:rsidDel="00000000" w:rsidP="00000000" w:rsidRDefault="00000000" w:rsidRPr="00000000" w14:paraId="00000157">
      <w:pPr>
        <w:pStyle w:val="Heading3"/>
        <w:rPr>
          <w:b w:val="1"/>
          <w:bCs w:val="1"/>
        </w:rPr>
      </w:pPr>
      <w:bookmarkStart w:colFirst="0" w:colLast="0" w:name="_izwemdahpbhn" w:id="81"/>
      <w:bookmarkEnd w:id="81"/>
      <w:r w:rsidDel="00000000" w:rsidR="00000000" w:rsidRPr="00000000">
        <w:rPr>
          <w:b w:val="1"/>
          <w:bCs w:val="1"/>
          <w:rtl w:val="0"/>
        </w:rPr>
        <w:t xml:space="preserve">Multiple-Comparison Caution</w:t>
      </w:r>
    </w:p>
    <w:p w:rsidR="00000000" w:rsidDel="00000000" w:rsidP="00000000" w:rsidRDefault="00000000" w:rsidRPr="00000000" w14:paraId="0000015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expectancy and candidate-predictor analyses were exploratory and involved multiple correlated outcomes and predictors. No formal multiplicity correction was applied. P-values were therefore interpreted descriptively and were not used as confirmatory evidence of mechanism. Interpretation emphasised effect-size direction, confidence intervals, consistency across related measures, and plausibility for future hypothesis generation. No single candidate-predictor result should be interpreted as definitive without replication in a larger trial.</w:t>
      </w:r>
      <w:r w:rsidDel="00000000" w:rsidR="00000000" w:rsidRPr="00000000">
        <w:rPr>
          <w:rtl w:val="0"/>
        </w:rPr>
      </w:r>
    </w:p>
    <w:p w:rsidR="00000000" w:rsidDel="00000000" w:rsidP="00000000" w:rsidRDefault="00000000" w:rsidRPr="00000000" w14:paraId="0000015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5A">
      <w:pPr>
        <w:pStyle w:val="Heading2"/>
        <w:rPr>
          <w:rFonts w:ascii="Palatino Linotype" w:cs="Palatino Linotype" w:eastAsia="Palatino Linotype" w:hAnsi="Palatino Linotype"/>
          <w:color w:val="000000"/>
        </w:rPr>
      </w:pPr>
      <w:bookmarkStart w:colFirst="0" w:colLast="0" w:name="_4lzz4shdnmv4" w:id="82"/>
      <w:bookmarkEnd w:id="82"/>
      <w:r w:rsidDel="00000000" w:rsidR="00000000" w:rsidRPr="00000000">
        <w:rPr>
          <w:rFonts w:ascii="Palatino Linotype" w:cs="Palatino Linotype" w:eastAsia="Palatino Linotype" w:hAnsi="Palatino Linotype"/>
          <w:color w:val="000000"/>
          <w:rtl w:val="0"/>
        </w:rPr>
        <w:t xml:space="preserve">S12. Figure and Analysis Reproducibility</w:t>
      </w:r>
    </w:p>
    <w:p w:rsidR="00000000" w:rsidDel="00000000" w:rsidP="00000000" w:rsidRDefault="00000000" w:rsidRPr="00000000" w14:paraId="0000015B">
      <w:pPr>
        <w:pStyle w:val="Heading3"/>
        <w:rPr>
          <w:b w:val="1"/>
          <w:bCs w:val="1"/>
        </w:rPr>
      </w:pPr>
      <w:bookmarkStart w:colFirst="0" w:colLast="0" w:name="_w6l8rs828mae" w:id="83"/>
      <w:bookmarkEnd w:id="83"/>
      <w:r w:rsidDel="00000000" w:rsidR="00000000" w:rsidRPr="00000000">
        <w:rPr>
          <w:b w:val="1"/>
          <w:bCs w:val="1"/>
          <w:rtl w:val="0"/>
        </w:rPr>
        <w:t xml:space="preserve">Data Files</w:t>
      </w:r>
    </w:p>
    <w:p w:rsidR="00000000" w:rsidDel="00000000" w:rsidP="00000000" w:rsidRDefault="00000000" w:rsidRPr="00000000" w14:paraId="0000015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anonymisable data, music, supplementary material, and analysis scripts can be found at the designated github repository, </w:t>
      </w:r>
      <w:hyperlink r:id="rId19">
        <w:r w:rsidDel="00000000" w:rsidR="00000000" w:rsidRPr="00000000">
          <w:rPr>
            <w:rFonts w:ascii="Palatino Linotype" w:cs="Palatino Linotype" w:eastAsia="Palatino Linotype" w:hAnsi="Palatino Linotype"/>
            <w:color w:val="1155cc"/>
            <w:u w:val="single"/>
            <w:rtl w:val="0"/>
          </w:rPr>
          <w:t xml:space="preserve">https://github.com/dannynacker/SLSD</w:t>
        </w:r>
      </w:hyperlink>
      <w:r w:rsidDel="00000000" w:rsidR="00000000" w:rsidRPr="00000000">
        <w:rPr>
          <w:rFonts w:ascii="Palatino Linotype" w:cs="Palatino Linotype" w:eastAsia="Palatino Linotype" w:hAnsi="Palatino Linotype"/>
          <w:rtl w:val="0"/>
        </w:rPr>
        <w:t xml:space="preserve">. </w:t>
      </w:r>
      <w:r w:rsidDel="00000000" w:rsidR="00000000" w:rsidRPr="00000000">
        <w:rPr>
          <w:rtl w:val="0"/>
        </w:rPr>
      </w:r>
    </w:p>
    <w:p w:rsidR="00000000" w:rsidDel="00000000" w:rsidP="00000000" w:rsidRDefault="00000000" w:rsidRPr="00000000" w14:paraId="0000015D">
      <w:pPr>
        <w:pStyle w:val="Heading3"/>
        <w:rPr/>
      </w:pPr>
      <w:bookmarkStart w:colFirst="0" w:colLast="0" w:name="_50pa2sufkr8b" w:id="84"/>
      <w:bookmarkEnd w:id="84"/>
      <w:r w:rsidDel="00000000" w:rsidR="00000000" w:rsidRPr="00000000">
        <w:rPr>
          <w:rtl w:val="0"/>
        </w:rPr>
      </w:r>
    </w:p>
    <w:p w:rsidR="00000000" w:rsidDel="00000000" w:rsidP="00000000" w:rsidRDefault="00000000" w:rsidRPr="00000000" w14:paraId="0000015E">
      <w:pPr>
        <w:pStyle w:val="Heading3"/>
        <w:rPr>
          <w:b w:val="1"/>
          <w:bCs w:val="1"/>
        </w:rPr>
      </w:pPr>
      <w:bookmarkStart w:colFirst="0" w:colLast="0" w:name="_ddpjjvg5amc7" w:id="85"/>
      <w:bookmarkEnd w:id="85"/>
      <w:r w:rsidDel="00000000" w:rsidR="00000000" w:rsidRPr="00000000">
        <w:rPr>
          <w:b w:val="1"/>
          <w:bCs w:val="1"/>
          <w:rtl w:val="0"/>
        </w:rPr>
        <w:t xml:space="preserve">Data-Access Statement</w:t>
      </w:r>
    </w:p>
    <w:p w:rsidR="00000000" w:rsidDel="00000000" w:rsidP="00000000" w:rsidRDefault="00000000" w:rsidRPr="00000000" w14:paraId="0000015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De-identified data and analysis scripts required to reproduce the figures and supplementary tables will be made available in an open repository upon publication, subject to ethical and data-protection restrictions. Files containing direct identifiers, contact details, calendar booking metadata, or mappings between participant IDs and personal information will not be shared.</w:t>
      </w:r>
    </w:p>
    <w:p w:rsidR="00000000" w:rsidDel="00000000" w:rsidP="00000000" w:rsidRDefault="00000000" w:rsidRPr="00000000" w14:paraId="0000016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repository will include figure-ready analysis datasets, statistical notebooks or scripts, and the accompanying supplementary Excel workbook containing extended tables and model outputs. Where data cannot be shared at participant level, derived or aggregate datasets sufficient to reproduce reported figures and tables will be provided where ethically permissible.</w:t>
      </w:r>
    </w:p>
    <w:p w:rsidR="00000000" w:rsidDel="00000000" w:rsidP="00000000" w:rsidRDefault="00000000" w:rsidRPr="00000000" w14:paraId="0000016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62">
      <w:pPr>
        <w:pStyle w:val="Heading3"/>
        <w:rPr>
          <w:rFonts w:ascii="Palatino Linotype" w:cs="Palatino Linotype" w:eastAsia="Palatino Linotype" w:hAnsi="Palatino Linotype"/>
        </w:rPr>
      </w:pPr>
      <w:bookmarkStart w:colFirst="0" w:colLast="0" w:name="_ku5ps01c79nk" w:id="86"/>
      <w:bookmarkEnd w:id="86"/>
      <w:r w:rsidDel="00000000" w:rsidR="00000000" w:rsidRPr="00000000">
        <w:rPr>
          <w:b w:val="1"/>
          <w:bCs w:val="1"/>
          <w:rtl w:val="0"/>
        </w:rPr>
        <w:t xml:space="preserve">Code/Software Versions</w:t>
      </w:r>
      <w:r w:rsidDel="00000000" w:rsidR="00000000" w:rsidRPr="00000000">
        <w:rPr>
          <w:rtl w:val="0"/>
        </w:rPr>
      </w:r>
    </w:p>
    <w:p w:rsidR="00000000" w:rsidDel="00000000" w:rsidP="00000000" w:rsidRDefault="00000000" w:rsidRPr="00000000" w14:paraId="0000016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Final manuscript figures, supplementary tables, workbook outputs, and narrative summaries were generated in R using a single integrated analysis environment. The core figure-generation workflow used tidyverse, lubridate, showtext, sysfonts, patchwork, and scales, with grid and stats used from base R. Additional table-generation, workbook-export, and data-cleaning sections used readr, stringr, openxlsx, janitor, and glue, with readxl used where supplementary workbook values were read back into R for figure-generation or reconciliation checks.</w:t>
      </w:r>
    </w:p>
    <w:p w:rsidR="00000000" w:rsidDel="00000000" w:rsidP="00000000" w:rsidRDefault="00000000" w:rsidRPr="00000000" w14:paraId="0000016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R environment generated figure-ready datasets, audit files, manuscript figures, supplementary tables, narrative text outputs, and Excel workbook tabs from the staged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interim, and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source files. Exact R and package versions will be documented using the final R session information deposited with the analysis scripts.</w:t>
      </w:r>
    </w:p>
    <w:p w:rsidR="00000000" w:rsidDel="00000000" w:rsidP="00000000" w:rsidRDefault="00000000" w:rsidRPr="00000000" w14:paraId="0000016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Python/Google Colab notebooks were used during earlier development stages for SLS sequence construction, interim sequence-condensation checks,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stratification, allocation monitoring, and safety/adherence monitoring. The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stratification workflow used Python data-handling and deterministic randomisation logic, including pandas, Python’s built-in random module, hashlib-based blinded sequence-code generation, and a fixed seed for reproducibility. Final manuscript-facing statistical summaries and figures were generated from the R analysis environment unless otherwise specified.</w:t>
      </w:r>
    </w:p>
    <w:p w:rsidR="00000000" w:rsidDel="00000000" w:rsidP="00000000" w:rsidRDefault="00000000" w:rsidRPr="00000000" w14:paraId="0000016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final repository will include the R session information and package versions used to generate the submitted figures and supplementary tables.</w:t>
      </w:r>
      <w:r w:rsidDel="00000000" w:rsidR="00000000" w:rsidRPr="00000000">
        <w:rPr>
          <w:rtl w:val="0"/>
        </w:rPr>
      </w:r>
    </w:p>
    <w:p w:rsidR="00000000" w:rsidDel="00000000" w:rsidP="00000000" w:rsidRDefault="00000000" w:rsidRPr="00000000" w14:paraId="0000016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68">
      <w:pPr>
        <w:pStyle w:val="Heading3"/>
        <w:rPr>
          <w:b w:val="1"/>
          <w:bCs w:val="1"/>
        </w:rPr>
      </w:pPr>
      <w:bookmarkStart w:colFirst="0" w:colLast="0" w:name="_3cdlp0gd8gj9" w:id="87"/>
      <w:bookmarkEnd w:id="87"/>
      <w:r w:rsidDel="00000000" w:rsidR="00000000" w:rsidRPr="00000000">
        <w:rPr>
          <w:b w:val="1"/>
          <w:bCs w:val="1"/>
          <w:rtl w:val="0"/>
        </w:rPr>
        <w:t xml:space="preserve">Figure-Generation Scripts</w:t>
      </w:r>
    </w:p>
    <w:p w:rsidR="00000000" w:rsidDel="00000000" w:rsidP="00000000" w:rsidRDefault="00000000" w:rsidRPr="00000000" w14:paraId="0000016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Figure-generation scripts were organised by manuscript figure. Figure 1 used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interim, and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flow files to generate a programme-level CONSORT-style diagram. Figure 2 used </w:t>
      </w:r>
      <w:r w:rsidDel="00000000" w:rsidR="00000000" w:rsidRPr="00000000">
        <w:rPr>
          <w:rtl w:val="0"/>
        </w:rPr>
        <w:t xml:space="preserve">Study 1</w:t>
      </w:r>
      <w:r w:rsidDel="00000000" w:rsidR="00000000" w:rsidRPr="00000000">
        <w:rPr>
          <w:rFonts w:ascii="Palatino Linotype" w:cs="Palatino Linotype" w:eastAsia="Palatino Linotype" w:hAnsi="Palatino Linotype"/>
          <w:rtl w:val="0"/>
        </w:rPr>
        <w:t xml:space="preserve"> session-feedback data for safety and tolerability summaries. Figure 3 used the </w:t>
      </w:r>
      <w:r w:rsidDel="00000000" w:rsidR="00000000" w:rsidRPr="00000000">
        <w:rPr>
          <w:rtl w:val="0"/>
        </w:rPr>
        <w:t xml:space="preserve">Study 2</w:t>
      </w:r>
      <w:r w:rsidDel="00000000" w:rsidR="00000000" w:rsidRPr="00000000">
        <w:rPr>
          <w:rFonts w:ascii="Palatino Linotype" w:cs="Palatino Linotype" w:eastAsia="Palatino Linotype" w:hAnsi="Palatino Linotype"/>
          <w:rtl w:val="0"/>
        </w:rPr>
        <w:t xml:space="preserve"> analysed file, including 6D-VHQ items and block-level ranking variables. Figure 4 used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assignment, pre-session, and post-session files to summarise feasibility and repeated-session tolerability. Figure 5 used </w:t>
      </w:r>
      <w:r w:rsidDel="00000000" w:rsidR="00000000" w:rsidRPr="00000000">
        <w:rPr>
          <w:rtl w:val="0"/>
        </w:rPr>
        <w:t xml:space="preserve">Study 3</w:t>
      </w:r>
      <w:r w:rsidDel="00000000" w:rsidR="00000000" w:rsidRPr="00000000">
        <w:rPr>
          <w:rFonts w:ascii="Palatino Linotype" w:cs="Palatino Linotype" w:eastAsia="Palatino Linotype" w:hAnsi="Palatino Linotype"/>
          <w:rtl w:val="0"/>
        </w:rPr>
        <w:t xml:space="preserve"> clinical outcome files to plot exploratory symptom trajectories.</w:t>
      </w:r>
      <w:r w:rsidDel="00000000" w:rsidR="00000000" w:rsidRPr="00000000">
        <w:rPr>
          <w:rFonts w:ascii="Palatino Linotype" w:cs="Palatino Linotype" w:eastAsia="Palatino Linotype" w:hAnsi="Palatino Linotype"/>
          <w:rtl w:val="0"/>
        </w:rPr>
        <w:t xml:space="preserve"> </w:t>
      </w:r>
      <w:r w:rsidDel="00000000" w:rsidR="00000000" w:rsidRPr="00000000">
        <w:rPr>
          <w:rtl w:val="0"/>
        </w:rPr>
        <w:t xml:space="preserve">Figure 6 used Study 3 post-session 6D-VHQ data to display configuration-by-session visual phenomenology trajectories. </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bp7wlkk7ha69" w:id="88"/>
      <w:bookmarkEnd w:id="88"/>
      <w:r w:rsidDel="00000000" w:rsidR="00000000" w:rsidRPr="00000000">
        <w:rPr>
          <w:rtl w:val="0"/>
        </w:rPr>
        <w:t xml:space="preserve">Music</w:t>
      </w:r>
    </w:p>
    <w:p w:rsidR="00000000" w:rsidDel="00000000" w:rsidP="00000000" w:rsidRDefault="00000000" w:rsidRPr="00000000" w14:paraId="0000016C">
      <w:pPr>
        <w:rPr/>
      </w:pPr>
      <w:r w:rsidDel="00000000" w:rsidR="00000000" w:rsidRPr="00000000">
        <w:rPr>
          <w:rtl w:val="0"/>
        </w:rPr>
        <w:t xml:space="preserve">The frequency-tracking element was a sine-wave carrier whose amplitude-modulation rate was automated to follow the changing stroboscopic light stimulation (SLS) frequency sequence. The tracked parameter was therefore the rate of amplitude fluctuation in the sound, expressed in Hz, rather than musical tempo or carrier pitch.</w:t>
      </w:r>
    </w:p>
    <w:p w:rsidR="00000000" w:rsidDel="00000000" w:rsidP="00000000" w:rsidRDefault="00000000" w:rsidRPr="00000000" w14:paraId="0000016D">
      <w:pPr>
        <w:rPr/>
      </w:pPr>
      <w:r w:rsidDel="00000000" w:rsidR="00000000" w:rsidRPr="00000000">
        <w:rPr>
          <w:rtl w:val="0"/>
        </w:rPr>
        <w:t xml:space="preserve">The supplied preliminary and full-study sequences specify stroboscopic frequency endpoints between 3.75 and 15 Hz, with 60 Hz settings during intervals labelled wash or dark. These sequence values provided the modulation-rate trajectory; a frequency setting during a dark interval does not imply emitted flashes.</w:t>
      </w:r>
    </w:p>
    <w:p w:rsidR="00000000" w:rsidDel="00000000" w:rsidP="00000000" w:rsidRDefault="00000000" w:rsidRPr="00000000" w14:paraId="0000016E">
      <w:pPr>
        <w:rPr/>
      </w:pPr>
      <w:r w:rsidDel="00000000" w:rsidR="00000000" w:rsidRPr="00000000">
        <w:rPr>
          <w:rtl w:val="0"/>
        </w:rPr>
        <w:t xml:space="preserve">Carrier frequency was controlled independently to integrate the modulated sound with the composition’s harmony. Documented device states show carrier frequencies of 58.0, 61.7, 73.3 and 92.5 Hz, paired with modulation rates of 60.0, 9.76, 60.0 and 6.84 Hz, respectively. These are illustrative states, not a complete inventory of carrier frequencies across the composition.</w:t>
      </w:r>
    </w:p>
    <w:p w:rsidR="00000000" w:rsidDel="00000000" w:rsidP="00000000" w:rsidRDefault="00000000" w:rsidRPr="00000000" w14:paraId="0000016F">
      <w:pPr>
        <w:rPr/>
      </w:pPr>
      <w:r w:rsidDel="00000000" w:rsidR="00000000" w:rsidRPr="00000000">
        <w:rPr>
          <w:rtl w:val="0"/>
        </w:rPr>
        <w:t xml:space="preserve">The documented sound-generation chain used a sine-wave generator followed by Ableton Auto Pan Legacy, configured for common amplitude modulation of both audio channels: Amount 50%, interchannel Phase 0° and Shape 18.8%. Generator gain was −28 dB in three documented states and −29 dB in the fourth. These are software settings; they do not establish the acoustic modulation depth or calibrated listening level at the participant’s ear.</w:t>
      </w:r>
    </w:p>
    <w:p w:rsidR="00000000" w:rsidDel="00000000" w:rsidP="00000000" w:rsidRDefault="00000000" w:rsidRPr="00000000" w14:paraId="00000170">
      <w:pPr>
        <w:rPr/>
      </w:pPr>
      <w:r w:rsidDel="00000000" w:rsidR="00000000" w:rsidRPr="00000000">
        <w:rPr>
          <w:rtl w:val="0"/>
        </w:rPr>
        <w:t xml:space="preserve">The modulated carrier was mixed with instrumental, vocal and environmental material. Thus, “frequency tracking” describes a specific amplitude-modulated component within the music. It does not mean that every musical layer followed the SLS frequency, nor does it establish flash-level phase alignment or neural entrainment.</w:t>
      </w:r>
      <w:r w:rsidDel="00000000" w:rsidR="00000000" w:rsidRPr="00000000">
        <w:rPr>
          <w:rtl w:val="0"/>
        </w:rPr>
      </w:r>
    </w:p>
    <w:p w:rsidR="00000000" w:rsidDel="00000000" w:rsidP="00000000" w:rsidRDefault="00000000" w:rsidRPr="00000000" w14:paraId="0000017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72">
      <w:pPr>
        <w:pStyle w:val="Heading3"/>
        <w:rPr>
          <w:b w:val="1"/>
          <w:bCs w:val="1"/>
        </w:rPr>
      </w:pPr>
      <w:bookmarkStart w:colFirst="0" w:colLast="0" w:name="_jagk4h10lycs" w:id="89"/>
      <w:bookmarkEnd w:id="89"/>
      <w:r w:rsidDel="00000000" w:rsidR="00000000" w:rsidRPr="00000000">
        <w:rPr>
          <w:b w:val="1"/>
          <w:bCs w:val="1"/>
          <w:rtl w:val="0"/>
        </w:rPr>
        <w:t xml:space="preserve">Preprints and Unpublished Material Used</w:t>
      </w:r>
    </w:p>
    <w:p w:rsidR="00000000" w:rsidDel="00000000" w:rsidP="00000000" w:rsidRDefault="00000000" w:rsidRPr="00000000" w14:paraId="0000017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Developmental scripts, internal progress reports, interim presentation materials, and preprint-stage outputs were used to reconstruct the intervention-development history, analysis decisions, and study workflow. These materials were not treated as external evidence for efficacy. They were used only to document the provenance of the staged programme, sequence construction, internal monitoring procedures, and reproducibility of the final manuscript analyses.</w:t>
      </w:r>
      <w:r w:rsidDel="00000000" w:rsidR="00000000" w:rsidRPr="00000000">
        <w:rPr>
          <w:rtl w:val="0"/>
        </w:rPr>
      </w:r>
    </w:p>
    <w:sectPr>
      <w:footerReference r:id="rId20" w:type="default"/>
      <w:footerReference r:id="rId21" w:type="first"/>
      <w:pgSz w:h="16838" w:w="11906" w:orient="portrait"/>
      <w:pgMar w:bottom="1440" w:top="1440" w:left="1440" w:right="1440" w:header="708" w:footer="708"/>
      <w:lnNumType w:countBy="1" w:start="0" w:restart="continuous"/>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4"/>
        <w:szCs w:val="24"/>
        <w:lang w:val="en_GB"/>
      </w:rPr>
    </w:rPrDefault>
    <w:pPrDefault>
      <w:pPr>
        <w:spacing w:after="240" w:before="24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Pr>
    <w:rPr>
      <w:rFonts w:ascii="Palatino Linotype" w:cs="Palatino Linotype" w:eastAsia="Palatino Linotype" w:hAnsi="Palatino Linotype"/>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rPr>
      <w:rFonts w:ascii="Palatino Linotype" w:cs="Palatino Linotype" w:eastAsia="Palatino Linotype" w:hAnsi="Palatino Linotype"/>
      <w:sz w:val="36"/>
      <w:szCs w:val="36"/>
    </w:rPr>
  </w:style>
  <w:style w:type="paragraph" w:styleId="Subtitle">
    <w:name w:val="Subtitle"/>
    <w:basedOn w:val="Normal"/>
    <w:next w:val="Normal"/>
    <w:pPr/>
    <w:rPr>
      <w:rFonts w:ascii="Palatino Linotype" w:cs="Palatino Linotype" w:eastAsia="Palatino Linotype" w:hAnsi="Palatino Linotype"/>
      <w:sz w:val="36"/>
      <w:szCs w:val="36"/>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github.com/dannynacker/SLSD" TargetMode="External"/><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