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CLÍNICA SAN DIEGO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 Clínica de Oftalmología San Diego</w:t>
        <w:br w:type="textWrapping"/>
        <w:t xml:space="preserve">NIT: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Barrio La Playa Avenida 1 No. 15 - 04</w:t>
        <w:br w:type="textWrapping"/>
        <w:t xml:space="preserve">CIUDAD: Cúcuta Colombia.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 JURIDICA: </w:t>
        <w:br w:type="textWrapping"/>
        <w:t xml:space="preserve">DEPARTAMENTO: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CONSTITUCIÓN:</w:t>
        <w:br w:type="textWrapping"/>
        <w:t xml:space="preserve">NÚMERO CELULAR: 318 8725805</w:t>
        <w:br w:type="textWrapping"/>
        <w:t xml:space="preserve">TELÉFONO: 594 2604</w:t>
        <w:br w:type="textWrapping"/>
        <w:t xml:space="preserve">EMAIL: citas.clinicasandiego@gmail.com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EXT: 3</w:t>
        <w:br w:type="textWrapping"/>
        <w:t xml:space="preserve">SERVICIOS: Cirugía Lasik, Cirugía de Catarata,  Miopía Hipermetropía, Astigmatismo Presbicia, Por Facoemulsificación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