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5840" w:hRule="exact"/>
        </w:trPr>
        <w:tc>
          <w:tcPr>
            <w:tcW w:type="dxa" w:w="12240"/>
            <w:tcBorders>
              <w:top w:val="none"/>
              <w:left w:val="none"/>
              <w:bottom w:val="none"/>
              <w:right w:val="none"/>
            </w:tcBorders>
            <w:shd w:fill="1A1A1A" w:val="clear"/>
            <w:tcMar>
              <w:top w:type="dxa" w:w="2880"/>
              <w:left w:type="dxa" w:w="1440"/>
              <w:bottom w:type="dxa" w:w="720"/>
              <w:right w:type="dxa" w:w="1440"/>
            </w:tcMar>
            <w:vAlign w:val="center"/>
          </w:tcPr>
          <w:p>
            <w:pPr>
              <w:spacing w:after="200" w:before="0"/>
            </w:pPr>
            <w:r>
              <w:rPr>
                <w:rFonts w:ascii="Montserrat" w:cs="Montserrat" w:eastAsia="Montserrat" w:hAnsi="Montserrat"/>
                <w:b/>
                <w:bCs/>
                <w:color w:val="AEBC46"/>
                <w:sz w:val="28"/>
                <w:szCs w:val="28"/>
              </w:rPr>
              <w:t xml:space="preserve">OLEADEV</w:t>
            </w:r>
          </w:p>
          <w:p>
            <w:pPr>
              <w:pBdr>
                <w:bottom w:val="single" w:color="AEBC46" w:sz="8" w:space="8"/>
              </w:pBdr>
              <w:spacing w:after="40" w:before="0"/>
            </w:pPr>
          </w:p>
          <w:p>
            <w:pPr>
              <w:spacing w:after="120" w:before="300"/>
            </w:pPr>
            <w:r>
              <w:rPr>
                <w:rFonts w:ascii="Montserrat" w:cs="Montserrat" w:eastAsia="Montserrat" w:hAnsi="Montserrat"/>
                <w:b/>
                <w:bCs/>
                <w:color w:val="FFFFFF"/>
                <w:sz w:val="56"/>
                <w:szCs w:val="56"/>
              </w:rPr>
              <w:t xml:space="preserve">40-Storey Tower</w:t>
            </w:r>
          </w:p>
          <w:p>
            <w:pPr>
              <w:spacing w:after="80" w:before="0"/>
            </w:pPr>
            <w:r>
              <w:rPr>
                <w:rFonts w:ascii="Montserrat" w:cs="Montserrat" w:eastAsia="Montserrat" w:hAnsi="Montserrat"/>
                <w:color w:val="888888"/>
                <w:sz w:val="32"/>
                <w:szCs w:val="32"/>
              </w:rPr>
              <w:t xml:space="preserve">Development Approval Timeline &amp; Budget Risk Assessment</w:t>
            </w:r>
          </w:p>
          <w:p>
            <w:pPr>
              <w:spacing w:after="80" w:before="0"/>
            </w:pPr>
            <w:r>
              <w:rPr>
                <w:rFonts w:ascii="Montserrat" w:cs="Montserrat" w:eastAsia="Montserrat" w:hAnsi="Montserrat"/>
                <w:color w:val="888888"/>
                <w:sz w:val="26"/>
                <w:szCs w:val="26"/>
              </w:rPr>
              <w:t xml:space="preserve">Site-Specific ZBA + Committee of Adjustment Minor Variances</w:t>
            </w:r>
          </w:p>
          <w:p>
            <w:pPr>
              <w:spacing w:after="0" w:before="400"/>
            </w:pPr>
            <w:r>
              <w:rPr>
                <w:rFonts w:ascii="Montserrat" w:cs="Montserrat" w:eastAsia="Montserrat" w:hAnsi="Montserrat"/>
                <w:color w:val="888888"/>
                <w:sz w:val="22"/>
                <w:szCs w:val="22"/>
              </w:rPr>
              <w:t xml:space="preserve">Toronto, Ontario  |  April 2026</w:t>
            </w:r>
          </w:p>
          <w:p>
            <w:pPr>
              <w:spacing w:after="0" w:before="80"/>
            </w:pPr>
            <w:r>
              <w:rPr>
                <w:rFonts w:ascii="Montserrat" w:cs="Montserrat" w:eastAsia="Montserrat" w:hAnsi="Montserrat"/>
                <w:color w:val="888888"/>
                <w:sz w:val="20"/>
                <w:szCs w:val="20"/>
              </w:rPr>
              <w:t xml:space="preserve">Prepared for: Development Feasibility Analysis</w:t>
            </w:r>
          </w:p>
          <w:p>
            <w:pPr>
              <w:spacing w:after="0" w:before="40"/>
            </w:pPr>
            <w:r>
              <w:rPr>
                <w:rFonts w:ascii="Montserrat" w:cs="Montserrat" w:eastAsia="Montserrat" w:hAnsi="Montserrat"/>
                <w:color w:val="888888"/>
                <w:sz w:val="18"/>
                <w:szCs w:val="18"/>
              </w:rPr>
              <w:t xml:space="preserve">Confidential</w:t>
            </w:r>
          </w:p>
        </w:tc>
      </w:tr>
    </w:tbl>
    <w:p>
      <w:pPr>
        <w:sectPr>
          <w:pgSz w:w="12240" w:h="15840" w:orient="portrait"/>
          <w:pgMar w:top="0" w:right="0" w:bottom="0" w:left="0" w:header="708" w:footer="708" w:gutter="0"/>
          <w:pgNumType/>
          <w:docGrid w:linePitch="360"/>
        </w:sectPr>
      </w:pPr>
    </w:p>
    <w:p>
      <w:pPr>
        <w:spacing w:after="80" w:before="320"/>
      </w:pPr>
      <w:r>
        <w:rPr>
          <w:rFonts w:ascii="Montserrat" w:cs="Montserrat" w:eastAsia="Montserrat" w:hAnsi="Montserrat"/>
          <w:b/>
          <w:bCs/>
          <w:color w:val="AEBC46"/>
          <w:sz w:val="18"/>
          <w:szCs w:val="18"/>
        </w:rPr>
        <w:t xml:space="preserve">EXECUTIVE SUMMARY</w:t>
      </w:r>
    </w:p>
    <w:p>
      <w:pPr>
        <w:pStyle w:val="Heading1"/>
      </w:pPr>
      <w:r>
        <w:rPr>
          <w:rFonts w:ascii="Montserrat" w:cs="Montserrat" w:eastAsia="Montserrat" w:hAnsi="Montserrat"/>
          <w:b/>
          <w:bCs/>
          <w:color w:val="2D2D2D"/>
          <w:sz w:val="44"/>
          <w:szCs w:val="44"/>
        </w:rPr>
        <w:t xml:space="preserve">Executive Summary</w:t>
      </w:r>
    </w:p>
    <w:p>
      <w:pPr>
        <w:spacing w:after="100" w:before="120"/>
      </w:pPr>
      <w:r>
        <w:rPr>
          <w:rFonts w:ascii="Montserrat" w:cs="Montserrat" w:eastAsia="Montserrat" w:hAnsi="Montserrat"/>
          <w:color w:val="2D2D2D"/>
          <w:sz w:val="22"/>
          <w:szCs w:val="22"/>
        </w:rPr>
        <w:t xml:space="preserve">This report provides a month-by-month timeline and budget risk assessment for a 40-storey residential tower in Toronto requiring a site-specific Zoning By-law Amendment (ZBA) under Section 34 of the Planning Act, followed by post-ZBA Minor Variances through the Committee of Adjustment (CoA) under Section 45(1). The analysis incorporates legislative changes from Bill 185 (Cutting Red Tape to Build More Homes Act, 2024), which received Royal Assent on June 6, 2024, fundamentally altering the development charges regime, OLT appeal rights, and concurrent processing feasibility.</w:t>
      </w:r>
    </w:p>
    <w:p>
      <w:pPr>
        <w:spacing w:after="100" w:before="100"/>
      </w:pPr>
      <w:r>
        <w:rPr>
          <w:rFonts w:ascii="Montserrat" w:cs="Montserrat" w:eastAsia="Montserrat" w:hAnsi="Montserrat"/>
          <w:color w:val="2D2D2D"/>
          <w:sz w:val="22"/>
          <w:szCs w:val="22"/>
        </w:rPr>
        <w:t xml:space="preserve">The total estimated pre-construction approval timeline spans </w:t>
      </w:r>
      <w:r>
        <w:rPr>
          <w:rFonts w:ascii="Montserrat" w:cs="Montserrat" w:eastAsia="Montserrat" w:hAnsi="Montserrat"/>
          <w:b/>
          <w:bCs/>
          <w:color w:val="2D2D2D"/>
          <w:sz w:val="22"/>
          <w:szCs w:val="22"/>
        </w:rPr>
        <w:t xml:space="preserve">30 to 42 months</w:t>
      </w:r>
      <w:r>
        <w:rPr>
          <w:rFonts w:ascii="Montserrat" w:cs="Montserrat" w:eastAsia="Montserrat" w:hAnsi="Montserrat"/>
          <w:color w:val="2D2D2D"/>
          <w:sz w:val="22"/>
          <w:szCs w:val="22"/>
        </w:rPr>
        <w:t xml:space="preserve"> from Pre-Application Consultation (PAC) to first concrete pour, with total soft costs (application fees, consultants, DCs, holding costs) estimated at </w:t>
      </w:r>
      <w:r>
        <w:rPr>
          <w:rFonts w:ascii="Montserrat" w:cs="Montserrat" w:eastAsia="Montserrat" w:hAnsi="Montserrat"/>
          <w:b/>
          <w:bCs/>
          <w:color w:val="2D2D2D"/>
          <w:sz w:val="22"/>
          <w:szCs w:val="22"/>
        </w:rPr>
        <w:t xml:space="preserve">$8.5M to $12.8M</w:t>
      </w:r>
      <w:r>
        <w:rPr>
          <w:rFonts w:ascii="Montserrat" w:cs="Montserrat" w:eastAsia="Montserrat" w:hAnsi="Montserrat"/>
          <w:color w:val="2D2D2D"/>
          <w:sz w:val="22"/>
          <w:szCs w:val="22"/>
        </w:rPr>
        <w:t xml:space="preserve"> for a 350-unit tower. The ZBA phase represents the single largest bottleneck, consuming 12 to 18 months and carrying the highest risk of delay via OLT appeal.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EBC46" w:sz="16"/>
              <w:bottom w:val="none" w:color="FFFFFF" w:sz="0"/>
              <w:right w:val="none" w:color="FFFFFF" w:sz="0"/>
            </w:tcBorders>
            <w:shd w:fill="F5F5F5" w:val="clear"/>
            <w:tcMar>
              <w:top w:type="dxa" w:w="100"/>
              <w:left w:type="dxa" w:w="200"/>
              <w:bottom w:type="dxa" w:w="100"/>
              <w:right w:type="dxa" w:w="160"/>
            </w:tcMar>
          </w:tcPr>
          <w:p>
            <w:r>
              <w:rPr>
                <w:rFonts w:ascii="Montserrat" w:cs="Montserrat" w:eastAsia="Montserrat" w:hAnsi="Montserrat"/>
                <w:color w:val="2D2D2D"/>
                <w:sz w:val="20"/>
                <w:szCs w:val="20"/>
              </w:rPr>
              <w:t xml:space="preserve">Critical finding: Bill 185 repealed the 5-year DC phase-in from Bill 23, restoring full development charge rates immediately. For a 350-unit tower in Toronto, this translates to approximately $3.5M to $4.2M in additional DC exposure compared to the phased-in rates that would have applied under the prior regime. The removal of mandatory fee refund timelines has also enabled Toronto to adopt OPA 688, which now requires zoning conformity as a precondition for SPA — effectively ending concurrent ZBA/SPA processing.</w:t>
            </w:r>
          </w:p>
        </w:tc>
      </w:tr>
    </w:tbl>
    <w:p>
      <w:r>
        <w:br w:type="page"/>
      </w:r>
    </w:p>
    <w:p>
      <w:pPr>
        <w:spacing w:after="80" w:before="320"/>
      </w:pPr>
      <w:r>
        <w:rPr>
          <w:rFonts w:ascii="Montserrat" w:cs="Montserrat" w:eastAsia="Montserrat" w:hAnsi="Montserrat"/>
          <w:b/>
          <w:bCs/>
          <w:color w:val="AEBC46"/>
          <w:sz w:val="18"/>
          <w:szCs w:val="18"/>
        </w:rPr>
        <w:t xml:space="preserve">SECTION 1</w:t>
      </w:r>
    </w:p>
    <w:p>
      <w:pPr>
        <w:pStyle w:val="Heading1"/>
      </w:pPr>
      <w:r>
        <w:rPr>
          <w:rFonts w:ascii="Montserrat" w:cs="Montserrat" w:eastAsia="Montserrat" w:hAnsi="Montserrat"/>
          <w:b/>
          <w:bCs/>
          <w:color w:val="2D2D2D"/>
          <w:sz w:val="44"/>
          <w:szCs w:val="44"/>
        </w:rPr>
        <w:t xml:space="preserve">Approval Sequencing: Concurrent vs. Sequential</w:t>
      </w:r>
    </w:p>
    <w:p>
      <w:pPr>
        <w:pStyle w:val="Heading2"/>
      </w:pPr>
      <w:r>
        <w:rPr>
          <w:rFonts w:ascii="Montserrat" w:cs="Montserrat" w:eastAsia="Montserrat" w:hAnsi="Montserrat"/>
          <w:b/>
          <w:bCs/>
          <w:color w:val="2D2D2D"/>
          <w:sz w:val="34"/>
          <w:szCs w:val="34"/>
        </w:rPr>
        <w:t xml:space="preserve">1.1  Historical Context: Concurrent Processing</w:t>
      </w:r>
    </w:p>
    <w:p>
      <w:pPr>
        <w:spacing w:after="100" w:before="100"/>
      </w:pPr>
      <w:r>
        <w:rPr>
          <w:rFonts w:ascii="Montserrat" w:cs="Montserrat" w:eastAsia="Montserrat" w:hAnsi="Montserrat"/>
          <w:color w:val="2D2D2D"/>
          <w:sz w:val="22"/>
          <w:szCs w:val="22"/>
        </w:rPr>
        <w:t xml:space="preserve">Prior to Bill 185, it was standard practice in Toronto for applicants to file ZBA and SPA concurrently. The rationale was efficiency: SPA review could proceed in parallel, with approval conditional on the ZBA being enacted. Under Bill 109 (More Homes for Everyone Act, 2022), municipalities faced mandatory fee refunds if they failed to meet statutory decision timelines (90 days for ZBA, 60 days for SPA). This created a financial incentive for the City to process applications quickly.</w:t>
      </w:r>
    </w:p>
    <w:p>
      <w:pPr>
        <w:pStyle w:val="Heading2"/>
      </w:pPr>
      <w:r>
        <w:rPr>
          <w:rFonts w:ascii="Montserrat" w:cs="Montserrat" w:eastAsia="Montserrat" w:hAnsi="Montserrat"/>
          <w:b/>
          <w:bCs/>
          <w:color w:val="2D2D2D"/>
          <w:sz w:val="34"/>
          <w:szCs w:val="34"/>
        </w:rPr>
        <w:t xml:space="preserve">1.2  Bill 185 Impact: The End of Concurrent Processing</w:t>
      </w:r>
    </w:p>
    <w:p>
      <w:pPr>
        <w:spacing w:after="100" w:before="100"/>
      </w:pPr>
      <w:r>
        <w:rPr>
          <w:rFonts w:ascii="Montserrat" w:cs="Montserrat" w:eastAsia="Montserrat" w:hAnsi="Montserrat"/>
          <w:color w:val="2D2D2D"/>
          <w:sz w:val="22"/>
          <w:szCs w:val="22"/>
        </w:rPr>
        <w:t xml:space="preserve">Bill 185 removed the mandatory fee refund provisions from the Planning Act. Without the financial penalty for missed deadlines, Toronto adopted Official Plan Amendment 688 (OPA 688), which establishes zoning conformity as a formal precondition for accepting a Site Plan Approval application. The practical effect is the elimination of concurrent ZBA/SPA processing. A developer must now:</w:t>
      </w:r>
    </w:p>
    <w:p>
      <w:pPr>
        <w:pStyle w:val="ListParagraph"/>
        <w:numPr>
          <w:ilvl w:val="0"/>
          <w:numId w:val="2"/>
        </w:numPr>
        <w:spacing w:after="40" w:before="60"/>
      </w:pPr>
      <w:r>
        <w:rPr>
          <w:rFonts w:ascii="Montserrat" w:cs="Montserrat" w:eastAsia="Montserrat" w:hAnsi="Montserrat"/>
          <w:color w:val="2D2D2D"/>
          <w:sz w:val="22"/>
          <w:szCs w:val="22"/>
        </w:rPr>
        <w:t xml:space="preserve">Obtain ZBA approval through City Council (or OLT).</w:t>
      </w:r>
    </w:p>
    <w:p>
      <w:pPr>
        <w:pStyle w:val="ListParagraph"/>
        <w:numPr>
          <w:ilvl w:val="0"/>
          <w:numId w:val="2"/>
        </w:numPr>
        <w:spacing w:after="40" w:before="40"/>
      </w:pPr>
      <w:r>
        <w:rPr>
          <w:rFonts w:ascii="Montserrat" w:cs="Montserrat" w:eastAsia="Montserrat" w:hAnsi="Montserrat"/>
          <w:color w:val="2D2D2D"/>
          <w:sz w:val="22"/>
          <w:szCs w:val="22"/>
        </w:rPr>
        <w:t xml:space="preserve">Wait for the ZBA to come into force (20-day appeal period + By-law registration).</w:t>
      </w:r>
    </w:p>
    <w:p>
      <w:pPr>
        <w:pStyle w:val="ListParagraph"/>
        <w:numPr>
          <w:ilvl w:val="0"/>
          <w:numId w:val="2"/>
        </w:numPr>
        <w:spacing w:after="40" w:before="40"/>
      </w:pPr>
      <w:r>
        <w:rPr>
          <w:rFonts w:ascii="Montserrat" w:cs="Montserrat" w:eastAsia="Montserrat" w:hAnsi="Montserrat"/>
          <w:color w:val="2D2D2D"/>
          <w:sz w:val="22"/>
          <w:szCs w:val="22"/>
        </w:rPr>
        <w:t xml:space="preserve">File the SPA application under the newly enacted zoning permissions.</w:t>
      </w:r>
    </w:p>
    <w:p>
      <w:pPr>
        <w:spacing w:after="100" w:before="100"/>
      </w:pPr>
      <w:r>
        <w:rPr>
          <w:rFonts w:ascii="Montserrat" w:cs="Montserrat" w:eastAsia="Montserrat" w:hAnsi="Montserrat"/>
          <w:color w:val="2D2D2D"/>
          <w:sz w:val="22"/>
          <w:szCs w:val="22"/>
        </w:rPr>
        <w:t xml:space="preserve">This sequential model adds an estimated </w:t>
      </w:r>
      <w:r>
        <w:rPr>
          <w:rFonts w:ascii="Montserrat" w:cs="Montserrat" w:eastAsia="Montserrat" w:hAnsi="Montserrat"/>
          <w:b/>
          <w:bCs/>
          <w:color w:val="2D2D2D"/>
          <w:sz w:val="22"/>
          <w:szCs w:val="22"/>
        </w:rPr>
        <w:t xml:space="preserve">4 to 8 months</w:t>
      </w:r>
      <w:r>
        <w:rPr>
          <w:rFonts w:ascii="Montserrat" w:cs="Montserrat" w:eastAsia="Montserrat" w:hAnsi="Montserrat"/>
          <w:color w:val="2D2D2D"/>
          <w:sz w:val="22"/>
          <w:szCs w:val="22"/>
        </w:rPr>
        <w:t xml:space="preserve"> to the overall approval timeline compared to the concurrent model. However, it reduces the risk of SPA redesign — under the concurrent model, SPA drawings often required revision when ZBA conditions differed from the original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EBC46" w:sz="16"/>
              <w:bottom w:val="none" w:color="FFFFFF" w:sz="0"/>
              <w:right w:val="none" w:color="FFFFFF" w:sz="0"/>
            </w:tcBorders>
            <w:shd w:fill="F5F5F5" w:val="clear"/>
            <w:tcMar>
              <w:top w:type="dxa" w:w="100"/>
              <w:left w:type="dxa" w:w="200"/>
              <w:bottom w:type="dxa" w:w="100"/>
              <w:right w:type="dxa" w:w="160"/>
            </w:tcMar>
          </w:tcPr>
          <w:p>
            <w:r>
              <w:rPr>
                <w:rFonts w:ascii="Montserrat" w:cs="Montserrat" w:eastAsia="Montserrat" w:hAnsi="Montserrat"/>
                <w:color w:val="2D2D2D"/>
                <w:sz w:val="20"/>
                <w:szCs w:val="20"/>
              </w:rPr>
              <w:t xml:space="preserve">Strategic note: Some developers are exploring filing SPA immediately upon ZBA Council adoption (before the 20-day appeal period expires) as a risk-accepted strategy. If no appeal is filed, SPA is already in the queue. If an appeal is filed, the SPA application is effectively on hold. This requires upfront consultant spend on SPA-ready drawings during the ZBA phase.</w:t>
            </w:r>
          </w:p>
        </w:tc>
      </w:tr>
    </w:tbl>
    <w:p>
      <w:pPr>
        <w:pStyle w:val="Heading2"/>
      </w:pPr>
      <w:r>
        <w:rPr>
          <w:rFonts w:ascii="Montserrat" w:cs="Montserrat" w:eastAsia="Montserrat" w:hAnsi="Montserrat"/>
          <w:b/>
          <w:bCs/>
          <w:color w:val="2D2D2D"/>
          <w:sz w:val="34"/>
          <w:szCs w:val="34"/>
        </w:rPr>
        <w:t xml:space="preserve">1.3  Recommended Sequencing for a 40-Storey Tower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MODEL</w:t>
            </w:r>
          </w:p>
        </w:tc>
        <w:tc>
          <w:tcPr>
            <w:tcW w:type="dxa" w:w="312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TIMELINE IMPACT</w:t>
            </w:r>
          </w:p>
        </w:tc>
        <w:tc>
          <w:tcPr>
            <w:tcW w:type="dxa" w:w="312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RISK PROFILE</w:t>
            </w:r>
          </w:p>
        </w:tc>
      </w:tr>
      <w:tr>
        <w:tc>
          <w:tcPr>
            <w:tcW w:type="dxa" w:w="31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Sequential (recommended)</w:t>
            </w:r>
          </w:p>
        </w:tc>
        <w:tc>
          <w:tcPr>
            <w:tcW w:type="dxa" w:w="31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30-42 months total</w:t>
            </w:r>
          </w:p>
        </w:tc>
        <w:tc>
          <w:tcPr>
            <w:tcW w:type="dxa" w:w="31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Lower — SPA conforms to enacted zoning; no redesign risk</w:t>
            </w:r>
          </w:p>
        </w:tc>
      </w:tr>
      <w:tr>
        <w:tc>
          <w:tcPr>
            <w:tcW w:type="dxa" w:w="31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Aggressive parallel</w:t>
            </w:r>
          </w:p>
        </w:tc>
        <w:tc>
          <w:tcPr>
            <w:tcW w:type="dxa" w:w="31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26-36 months total</w:t>
            </w:r>
          </w:p>
        </w:tc>
        <w:tc>
          <w:tcPr>
            <w:tcW w:type="dxa" w:w="31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Higher — SPA may require revision; OPA 688 compliance risk</w:t>
            </w:r>
          </w:p>
        </w:tc>
      </w:tr>
    </w:tbl>
    <w:p>
      <w:r>
        <w:br w:type="page"/>
      </w:r>
    </w:p>
    <w:p>
      <w:pPr>
        <w:spacing w:after="80" w:before="320"/>
      </w:pPr>
      <w:r>
        <w:rPr>
          <w:rFonts w:ascii="Montserrat" w:cs="Montserrat" w:eastAsia="Montserrat" w:hAnsi="Montserrat"/>
          <w:b/>
          <w:bCs/>
          <w:color w:val="AEBC46"/>
          <w:sz w:val="18"/>
          <w:szCs w:val="18"/>
        </w:rPr>
        <w:t xml:space="preserve">SECTION 2</w:t>
      </w:r>
    </w:p>
    <w:p>
      <w:pPr>
        <w:pStyle w:val="Heading1"/>
      </w:pPr>
      <w:r>
        <w:rPr>
          <w:rFonts w:ascii="Montserrat" w:cs="Montserrat" w:eastAsia="Montserrat" w:hAnsi="Montserrat"/>
          <w:b/>
          <w:bCs/>
          <w:color w:val="2D2D2D"/>
          <w:sz w:val="44"/>
          <w:szCs w:val="44"/>
        </w:rPr>
        <w:t xml:space="preserve">Zoning Hurdles for a 40-Storey Tower</w:t>
      </w:r>
    </w:p>
    <w:p>
      <w:pPr>
        <w:pStyle w:val="Heading2"/>
      </w:pPr>
      <w:r>
        <w:rPr>
          <w:rFonts w:ascii="Montserrat" w:cs="Montserrat" w:eastAsia="Montserrat" w:hAnsi="Montserrat"/>
          <w:b/>
          <w:bCs/>
          <w:color w:val="2D2D2D"/>
          <w:sz w:val="34"/>
          <w:szCs w:val="34"/>
        </w:rPr>
        <w:t xml:space="preserve">2.1  Angular Planes</w:t>
      </w:r>
    </w:p>
    <w:p>
      <w:pPr>
        <w:spacing w:after="100" w:before="100"/>
      </w:pPr>
      <w:r>
        <w:rPr>
          <w:rFonts w:ascii="Montserrat" w:cs="Montserrat" w:eastAsia="Montserrat" w:hAnsi="Montserrat"/>
          <w:color w:val="2D2D2D"/>
          <w:sz w:val="22"/>
          <w:szCs w:val="22"/>
        </w:rPr>
        <w:t xml:space="preserve">The City of Toronto Tall Building Design Guidelines (2013, Council-adopted) mandate a 45-degree angular plane from abutting Neighbourhoods designations (R, RD zones). The starting height is 10.5m from the rear lot line (no lane) or 7.5m where a lane is present. For a 40-storey tower at approximately 130m in height, the angular plane constraint pushes the tower footprint toward the street frontage. If the lot depth is less than approximately 45m, achieving a 750 m² floor plate while respecting the angular plane becomes geometrically challenging. The 2024 Mid-Rise Performance Standards update removed the front and rear angular planes for mid-rise buildings, but this relief does not apply to tall buildings.</w:t>
      </w:r>
    </w:p>
    <w:p>
      <w:pPr>
        <w:pStyle w:val="Heading2"/>
      </w:pPr>
      <w:r>
        <w:rPr>
          <w:rFonts w:ascii="Montserrat" w:cs="Montserrat" w:eastAsia="Montserrat" w:hAnsi="Montserrat"/>
          <w:b/>
          <w:bCs/>
          <w:color w:val="2D2D2D"/>
          <w:sz w:val="34"/>
          <w:szCs w:val="34"/>
        </w:rPr>
        <w:t xml:space="preserve">2.2  Tower Separation Distances</w:t>
      </w:r>
    </w:p>
    <w:p>
      <w:pPr>
        <w:spacing w:after="100" w:before="100"/>
      </w:pPr>
      <w:r>
        <w:rPr>
          <w:rFonts w:ascii="Montserrat" w:cs="Montserrat" w:eastAsia="Montserrat" w:hAnsi="Montserrat"/>
          <w:color w:val="2D2D2D"/>
          <w:sz w:val="22"/>
          <w:szCs w:val="22"/>
        </w:rPr>
        <w:t xml:space="preserve">The Guidelines require 25m tower-to-tower separation (measured face-to-face above the podium). This translates to a 12.5m setback from each side and rear lot line to ensure the 25m standard is met when an adjacent site develops. For a 40-storey tower on a site narrower than 35m, the 12.5m side setbacks consume 25m of the lot width, leaving only 10m for the tower shaft — insufficient for a viable floor plate. In such cases, the ZBA must seek a site-specific reduction to the separation distance, which the City will evaluate against shadow, sky-view, and wind-tunnel analysis.</w:t>
      </w:r>
    </w:p>
    <w:p>
      <w:pPr>
        <w:pStyle w:val="Heading2"/>
      </w:pPr>
      <w:r>
        <w:rPr>
          <w:rFonts w:ascii="Montserrat" w:cs="Montserrat" w:eastAsia="Montserrat" w:hAnsi="Montserrat"/>
          <w:b/>
          <w:bCs/>
          <w:color w:val="2D2D2D"/>
          <w:sz w:val="34"/>
          <w:szCs w:val="34"/>
        </w:rPr>
        <w:t xml:space="preserve">2.3  Gross Floor Area (GFA) and FSI Incentives</w:t>
      </w:r>
    </w:p>
    <w:p>
      <w:pPr>
        <w:spacing w:after="100" w:before="100"/>
      </w:pPr>
      <w:r>
        <w:rPr>
          <w:rFonts w:ascii="Montserrat" w:cs="Montserrat" w:eastAsia="Montserrat" w:hAnsi="Montserrat"/>
          <w:color w:val="2D2D2D"/>
          <w:sz w:val="22"/>
          <w:szCs w:val="22"/>
        </w:rPr>
        <w:t xml:space="preserve">A 40-storey tower with a 750 m² floor plate and 6-storey podium at 100% lot coverage typically yields an FSI of 12 to 18, depending on lot area. Toronto’s zoning by-law (569-2013) typically permits as-of-right FSIs of 2.0 to 4.0 in CR zones. The ZBA must therefore rezone the site to permit the proposed FSI. The approval-likely FSI depends heavily on the site’s proximity to rapid transit: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SITE CONTEXT</w:t>
            </w:r>
          </w:p>
        </w:tc>
        <w:tc>
          <w:tcPr>
            <w:tcW w:type="dxa" w:w="293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PRECEDENT FSI RANGE</w:t>
            </w:r>
          </w:p>
        </w:tc>
        <w:tc>
          <w:tcPr>
            <w:tcW w:type="dxa" w:w="293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RISK LEVEL</w:t>
            </w:r>
          </w:p>
        </w:tc>
      </w:tr>
      <w:tr>
        <w:tc>
          <w:tcPr>
            <w:tcW w:type="dxa" w:w="35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MTSA/PMTSA (&lt;200m from station)</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8.0 - 15.0</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4ECDC4"/>
                <w:sz w:val="18"/>
                <w:szCs w:val="18"/>
              </w:rPr>
              <w:t xml:space="preserve">GREEN</w:t>
            </w:r>
          </w:p>
        </w:tc>
      </w:tr>
      <w:tr>
        <w:tc>
          <w:tcPr>
            <w:tcW w:type="dxa" w:w="35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MTSA/PMTSA (200-500m)</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6.0 - 10.0</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AEBC46"/>
                <w:sz w:val="18"/>
                <w:szCs w:val="18"/>
              </w:rPr>
              <w:t xml:space="preserve">GREEN-YELLOW</w:t>
            </w:r>
          </w:p>
        </w:tc>
      </w:tr>
      <w:tr>
        <w:tc>
          <w:tcPr>
            <w:tcW w:type="dxa" w:w="35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Major Avenue + transit</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5.0 - 10.0</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E8C87A"/>
                <w:sz w:val="18"/>
                <w:szCs w:val="18"/>
              </w:rPr>
              <w:t xml:space="preserve">YELLOW</w:t>
            </w:r>
          </w:p>
        </w:tc>
      </w:tr>
      <w:tr>
        <w:tc>
          <w:tcPr>
            <w:tcW w:type="dxa" w:w="35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Avenue without rapid transit</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3.0 - 6.0</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C44444"/>
                <w:sz w:val="18"/>
                <w:szCs w:val="18"/>
              </w:rPr>
              <w:t xml:space="preserve">RED</w:t>
            </w:r>
          </w:p>
        </w:tc>
      </w:tr>
    </w:tbl>
    <w:p>
      <w:pPr>
        <w:spacing w:after="100" w:before="120"/>
      </w:pPr>
      <w:r>
        <w:rPr>
          <w:rFonts w:ascii="Montserrat" w:cs="Montserrat" w:eastAsia="Montserrat" w:hAnsi="Montserrat"/>
          <w:color w:val="2D2D2D"/>
          <w:sz w:val="22"/>
          <w:szCs w:val="22"/>
        </w:rPr>
        <w:t xml:space="preserve">Provincial MTSA/PMTSA rules (effective August 2025) mandate minimum permitted densities of FSI 8 within 200m of a subway/LRT station and FSI 6 within 200-500m. These provincial minimums effectively override restrictive municipal zoning in transit-proximate locations, providing a strong legal basis for high-FSI ZBA applications near transit.</w:t>
      </w:r>
    </w:p>
    <w:p>
      <w:r>
        <w:br w:type="page"/>
      </w:r>
    </w:p>
    <w:p>
      <w:pPr>
        <w:spacing w:after="80" w:before="320"/>
      </w:pPr>
      <w:r>
        <w:rPr>
          <w:rFonts w:ascii="Montserrat" w:cs="Montserrat" w:eastAsia="Montserrat" w:hAnsi="Montserrat"/>
          <w:b/>
          <w:bCs/>
          <w:color w:val="AEBC46"/>
          <w:sz w:val="18"/>
          <w:szCs w:val="18"/>
        </w:rPr>
        <w:t xml:space="preserve">SECTION 3</w:t>
      </w:r>
    </w:p>
    <w:p>
      <w:pPr>
        <w:pStyle w:val="Heading1"/>
      </w:pPr>
      <w:r>
        <w:rPr>
          <w:rFonts w:ascii="Montserrat" w:cs="Montserrat" w:eastAsia="Montserrat" w:hAnsi="Montserrat"/>
          <w:b/>
          <w:bCs/>
          <w:color w:val="2D2D2D"/>
          <w:sz w:val="44"/>
          <w:szCs w:val="44"/>
        </w:rPr>
        <w:t xml:space="preserve">Minor Variances: The Four Tests &amp; CoA Timeline</w:t>
      </w:r>
    </w:p>
    <w:p>
      <w:pPr>
        <w:pStyle w:val="Heading2"/>
      </w:pPr>
      <w:r>
        <w:rPr>
          <w:rFonts w:ascii="Montserrat" w:cs="Montserrat" w:eastAsia="Montserrat" w:hAnsi="Montserrat"/>
          <w:b/>
          <w:bCs/>
          <w:color w:val="2D2D2D"/>
          <w:sz w:val="34"/>
          <w:szCs w:val="34"/>
        </w:rPr>
        <w:t xml:space="preserve">3.1  The Four Statutory Tests (Planning Act s.45(1))</w:t>
      </w:r>
    </w:p>
    <w:p>
      <w:pPr>
        <w:spacing w:after="100" w:before="100"/>
      </w:pPr>
      <w:r>
        <w:rPr>
          <w:rFonts w:ascii="Montserrat" w:cs="Montserrat" w:eastAsia="Montserrat" w:hAnsi="Montserrat"/>
          <w:color w:val="2D2D2D"/>
          <w:sz w:val="22"/>
          <w:szCs w:val="22"/>
        </w:rPr>
        <w:t xml:space="preserve">After the site-specific ZBA is enacted, Minor Variances may be required for conditions that the ZBA did not fully address, such as minor setback deviations, parking ratios, or loading space dimensions. The Committee of Adjustment evaluates each variance against four statutory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TEST</w:t>
            </w:r>
          </w:p>
        </w:tc>
        <w:tc>
          <w:tcPr>
            <w:tcW w:type="dxa" w:w="702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DESCRIPTION &amp; APPLICATION</w:t>
            </w:r>
          </w:p>
        </w:tc>
      </w:tr>
      <w:tr>
        <w:tc>
          <w:tcPr>
            <w:tcW w:type="dxa" w:w="234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1. Minor</w:t>
            </w:r>
          </w:p>
        </w:tc>
        <w:tc>
          <w:tcPr>
            <w:tcW w:type="dxa" w:w="70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The variance is minor in nature. This is both quantitative (percentage deviation from the standard, typically &lt; 15-25%) and qualitative (impact on neighbours, streetscape, and public realm). A 5% setback reduction is almost always minor; a 50% height increase is not.</w:t>
            </w:r>
          </w:p>
        </w:tc>
      </w:tr>
      <w:tr>
        <w:tc>
          <w:tcPr>
            <w:tcW w:type="dxa" w:w="234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2. Desirable</w:t>
            </w:r>
          </w:p>
        </w:tc>
        <w:tc>
          <w:tcPr>
            <w:tcW w:type="dxa" w:w="70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The variance is desirable for the appropriate development or use of the land. The CoA panel assesses whether the variance enables a better design outcome or is necessary due to site-specific constraints (irregular lot shape, grade changes, heritage adjacency).</w:t>
            </w:r>
          </w:p>
        </w:tc>
      </w:tr>
      <w:tr>
        <w:tc>
          <w:tcPr>
            <w:tcW w:type="dxa" w:w="234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3. Zoning Intent</w:t>
            </w:r>
          </w:p>
        </w:tc>
        <w:tc>
          <w:tcPr>
            <w:tcW w:type="dxa" w:w="70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The variance maintains the general intent and purpose of the Zoning By-law. The panel evaluates whether the standard being varied (e.g., a side-yard setback) was established to address a specific planning objective (fire separation, privacy, light access) and whether that objective is still substantially met.</w:t>
            </w:r>
          </w:p>
        </w:tc>
      </w:tr>
      <w:tr>
        <w:tc>
          <w:tcPr>
            <w:tcW w:type="dxa" w:w="234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4. Official Plan Intent</w:t>
            </w:r>
          </w:p>
        </w:tc>
        <w:tc>
          <w:tcPr>
            <w:tcW w:type="dxa" w:w="70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The variance maintains the general intent and purpose of the Official Plan. This is typically the easiest test to satisfy if the ZBA was already approved in conformity with the OP. However, shadow impacts on protected parks (March 21 test) or heritage adjacency can complicate this.</w:t>
            </w:r>
          </w:p>
        </w:tc>
      </w:tr>
    </w:tbl>
    <w:p>
      <w:pPr>
        <w:pStyle w:val="Heading2"/>
      </w:pPr>
      <w:r>
        <w:rPr>
          <w:rFonts w:ascii="Montserrat" w:cs="Montserrat" w:eastAsia="Montserrat" w:hAnsi="Montserrat"/>
          <w:b/>
          <w:bCs/>
          <w:color w:val="2D2D2D"/>
          <w:sz w:val="34"/>
          <w:szCs w:val="34"/>
        </w:rPr>
        <w:t xml:space="preserve">3.2  CoA Timeline and TLAB Appeal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MILESTONE</w:t>
            </w:r>
          </w:p>
        </w:tc>
        <w:tc>
          <w:tcPr>
            <w:tcW w:type="dxa" w:w="293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DURATION</w:t>
            </w:r>
          </w:p>
        </w:tc>
        <w:tc>
          <w:tcPr>
            <w:tcW w:type="dxa" w:w="293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CUMULATIVE</w:t>
            </w:r>
          </w:p>
        </w:tc>
      </w:tr>
      <w:tr>
        <w:tc>
          <w:tcPr>
            <w:tcW w:type="dxa" w:w="35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Application filing</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Day 0</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0</w:t>
            </w:r>
          </w:p>
        </w:tc>
      </w:tr>
      <w:tr>
        <w:tc>
          <w:tcPr>
            <w:tcW w:type="dxa" w:w="35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Staff review &amp; circulation</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4-6 weeks</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1-1.5</w:t>
            </w:r>
          </w:p>
        </w:tc>
      </w:tr>
      <w:tr>
        <w:tc>
          <w:tcPr>
            <w:tcW w:type="dxa" w:w="35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CoA hearing scheduled</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2-4 weeks after review</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2-3</w:t>
            </w:r>
          </w:p>
        </w:tc>
      </w:tr>
      <w:tr>
        <w:tc>
          <w:tcPr>
            <w:tcW w:type="dxa" w:w="35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CoA panel decision</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At hearing</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3-4</w:t>
            </w:r>
          </w:p>
        </w:tc>
      </w:tr>
      <w:tr>
        <w:tc>
          <w:tcPr>
            <w:tcW w:type="dxa" w:w="35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20-day TLAB appeal period</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20 calendar days</w:t>
            </w:r>
          </w:p>
        </w:tc>
        <w:tc>
          <w:tcPr>
            <w:tcW w:type="dxa" w:w="293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3.5-4.5</w:t>
            </w:r>
          </w:p>
        </w:tc>
      </w:tr>
      <w:tr>
        <w:tc>
          <w:tcPr>
            <w:tcW w:type="dxa" w:w="35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If appealed: TLAB hearing</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4-8 months</w:t>
            </w:r>
          </w:p>
        </w:tc>
        <w:tc>
          <w:tcPr>
            <w:tcW w:type="dxa" w:w="293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8-12</w:t>
            </w:r>
          </w:p>
        </w:tc>
      </w:tr>
    </w:tbl>
    <w:p>
      <w:pPr>
        <w:spacing w:after="100" w:before="120"/>
      </w:pPr>
      <w:r>
        <w:rPr>
          <w:rFonts w:ascii="Montserrat" w:cs="Montserrat" w:eastAsia="Montserrat" w:hAnsi="Montserrat"/>
          <w:color w:val="2D2D2D"/>
          <w:sz w:val="22"/>
          <w:szCs w:val="22"/>
        </w:rPr>
        <w:t xml:space="preserve">The CoA application fee in Toronto is approximately $2,228 per application (2026 rate, reflecting a 4.82% COLA increase). TLAB appeal filing costs $300 per appeal. If appealed, the TLAB process adds 4 to 8 months: Applicant Disclosure is due within 15 days of the Notice of Hearing, Party/Participant elections within 20 days, and document production within 30 days. Under Bill 185, TLAB decisions are now final (no further appeal to Divisional Court on questions of law), which reduces post-hearing uncertainty but increases the stakes at the hearing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EBC46" w:sz="16"/>
              <w:bottom w:val="none" w:color="FFFFFF" w:sz="0"/>
              <w:right w:val="none" w:color="FFFFFF" w:sz="0"/>
            </w:tcBorders>
            <w:shd w:fill="F5F5F5" w:val="clear"/>
            <w:tcMar>
              <w:top w:type="dxa" w:w="100"/>
              <w:left w:type="dxa" w:w="200"/>
              <w:bottom w:type="dxa" w:w="100"/>
              <w:right w:type="dxa" w:w="160"/>
            </w:tcMar>
          </w:tcPr>
          <w:p>
            <w:r>
              <w:rPr>
                <w:rFonts w:ascii="Montserrat" w:cs="Montserrat" w:eastAsia="Montserrat" w:hAnsi="Montserrat"/>
                <w:color w:val="2D2D2D"/>
                <w:sz w:val="20"/>
                <w:szCs w:val="20"/>
              </w:rPr>
              <w:t xml:space="preserve">Risk assessment: For a 40-storey tower with an enacted site-specific ZBA, Minor Variance approval rates at CoA exceed 85% when the number of variances is 4 or fewer and each deviation is under 20%. However, TLAB appeal rates from neighbourhood ratepayer associations on towers are approximately 25-35%, adding 4-8 months of delay in roughly one-quarter of cases.</w:t>
            </w:r>
          </w:p>
        </w:tc>
      </w:tr>
    </w:tbl>
    <w:p>
      <w:r>
        <w:br w:type="page"/>
      </w:r>
    </w:p>
    <w:p>
      <w:pPr>
        <w:spacing w:after="80" w:before="320"/>
      </w:pPr>
      <w:r>
        <w:rPr>
          <w:rFonts w:ascii="Montserrat" w:cs="Montserrat" w:eastAsia="Montserrat" w:hAnsi="Montserrat"/>
          <w:b/>
          <w:bCs/>
          <w:color w:val="AEBC46"/>
          <w:sz w:val="18"/>
          <w:szCs w:val="18"/>
        </w:rPr>
        <w:t xml:space="preserve">SECTION 4</w:t>
      </w:r>
    </w:p>
    <w:p>
      <w:pPr>
        <w:pStyle w:val="Heading1"/>
      </w:pPr>
      <w:r>
        <w:rPr>
          <w:rFonts w:ascii="Montserrat" w:cs="Montserrat" w:eastAsia="Montserrat" w:hAnsi="Montserrat"/>
          <w:b/>
          <w:bCs/>
          <w:color w:val="2D2D2D"/>
          <w:sz w:val="44"/>
          <w:szCs w:val="44"/>
        </w:rPr>
        <w:t xml:space="preserve">Budgetary Impact: Soft Costs &amp; Holding Costs</w:t>
      </w:r>
    </w:p>
    <w:p>
      <w:pPr>
        <w:pStyle w:val="Heading2"/>
      </w:pPr>
      <w:r>
        <w:rPr>
          <w:rFonts w:ascii="Montserrat" w:cs="Montserrat" w:eastAsia="Montserrat" w:hAnsi="Montserrat"/>
          <w:b/>
          <w:bCs/>
          <w:color w:val="2D2D2D"/>
          <w:sz w:val="34"/>
          <w:szCs w:val="34"/>
        </w:rPr>
        <w:t xml:space="preserve">4.1  Application Fees (2026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APPLICATION</w:t>
            </w:r>
          </w:p>
        </w:tc>
        <w:tc>
          <w:tcPr>
            <w:tcW w:type="dxa" w:w="27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BASE FEE</w:t>
            </w:r>
          </w:p>
        </w:tc>
        <w:tc>
          <w:tcPr>
            <w:tcW w:type="dxa" w:w="27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ADDITIONAL / NOTES</w:t>
            </w:r>
          </w:p>
        </w:tc>
      </w:tr>
      <w:tr>
        <w:tc>
          <w:tcPr>
            <w:tcW w:type="dxa" w:w="3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Zoning By-law Amendment (ZBA)</w:t>
            </w:r>
          </w:p>
        </w:tc>
        <w:tc>
          <w:tcPr>
            <w:tcW w:type="dxa" w:w="27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$63,679+</w:t>
            </w:r>
          </w:p>
        </w:tc>
        <w:tc>
          <w:tcPr>
            <w:tcW w:type="dxa" w:w="27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 per-unit variable; total typically $80K-$120K for 350 units</w:t>
            </w:r>
          </w:p>
        </w:tc>
      </w:tr>
      <w:tr>
        <w:tc>
          <w:tcPr>
            <w:tcW w:type="dxa" w:w="38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Site Plan Approval (SPA)</w:t>
            </w:r>
          </w:p>
        </w:tc>
        <w:tc>
          <w:tcPr>
            <w:tcW w:type="dxa" w:w="27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$43,605</w:t>
            </w:r>
          </w:p>
        </w:tc>
        <w:tc>
          <w:tcPr>
            <w:tcW w:type="dxa" w:w="27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 $5.37/m² residential GFA; max $621,373 per application</w:t>
            </w:r>
          </w:p>
        </w:tc>
      </w:tr>
      <w:tr>
        <w:tc>
          <w:tcPr>
            <w:tcW w:type="dxa" w:w="3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Minor Variance (CoA)</w:t>
            </w:r>
          </w:p>
        </w:tc>
        <w:tc>
          <w:tcPr>
            <w:tcW w:type="dxa" w:w="27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$2,228 each</w:t>
            </w:r>
          </w:p>
        </w:tc>
        <w:tc>
          <w:tcPr>
            <w:tcW w:type="dxa" w:w="27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Typically 2-4 variances = $4,456-$8,912</w:t>
            </w:r>
          </w:p>
        </w:tc>
      </w:tr>
      <w:tr>
        <w:tc>
          <w:tcPr>
            <w:tcW w:type="dxa" w:w="38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TLAB Appeal (if required)</w:t>
            </w:r>
          </w:p>
        </w:tc>
        <w:tc>
          <w:tcPr>
            <w:tcW w:type="dxa" w:w="27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$300 each</w:t>
            </w:r>
          </w:p>
        </w:tc>
        <w:tc>
          <w:tcPr>
            <w:tcW w:type="dxa" w:w="27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Legal costs: $50K-$150K per appeal</w:t>
            </w:r>
          </w:p>
        </w:tc>
      </w:tr>
      <w:tr>
        <w:tc>
          <w:tcPr>
            <w:tcW w:type="dxa" w:w="38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Pre-Application Consultation (PAC)</w:t>
            </w:r>
          </w:p>
        </w:tc>
        <w:tc>
          <w:tcPr>
            <w:tcW w:type="dxa" w:w="27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$5,000-$8,000</w:t>
            </w:r>
          </w:p>
        </w:tc>
        <w:tc>
          <w:tcPr>
            <w:tcW w:type="dxa" w:w="27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Non-refundable; credited toward ZBA fee</w:t>
            </w:r>
          </w:p>
        </w:tc>
      </w:tr>
    </w:tbl>
    <w:p>
      <w:pPr>
        <w:spacing w:after="100" w:before="120"/>
      </w:pPr>
      <w:r>
        <w:rPr>
          <w:rFonts w:ascii="Montserrat" w:cs="Montserrat" w:eastAsia="Montserrat" w:hAnsi="Montserrat"/>
          <w:color w:val="2D2D2D"/>
          <w:sz w:val="22"/>
          <w:szCs w:val="22"/>
        </w:rPr>
        <w:t xml:space="preserve">All 2026 City of Toronto planning application fees reflect a 4.82% Cost of Living Adjustment over 2025 rates, adopted by Council in the 2026 budget cycle.</w:t>
      </w:r>
    </w:p>
    <w:p>
      <w:pPr>
        <w:pStyle w:val="Heading2"/>
      </w:pPr>
      <w:r>
        <w:rPr>
          <w:rFonts w:ascii="Montserrat" w:cs="Montserrat" w:eastAsia="Montserrat" w:hAnsi="Montserrat"/>
          <w:b/>
          <w:bCs/>
          <w:color w:val="2D2D2D"/>
          <w:sz w:val="34"/>
          <w:szCs w:val="34"/>
        </w:rPr>
        <w:t xml:space="preserve">4.2  Development Charges: Bill 185 Impact</w:t>
      </w:r>
    </w:p>
    <w:p>
      <w:pPr>
        <w:spacing w:after="100" w:before="100"/>
      </w:pPr>
      <w:r>
        <w:rPr>
          <w:rFonts w:ascii="Montserrat" w:cs="Montserrat" w:eastAsia="Montserrat" w:hAnsi="Montserrat"/>
          <w:color w:val="2D2D2D"/>
          <w:sz w:val="22"/>
          <w:szCs w:val="22"/>
        </w:rPr>
        <w:t xml:space="preserve">Bill 185 repealed the 5-year development charge phase-in introduced by Bill 23 (More Homes Built Faster Act, 2022). Under Bill 23, DCs were discounted by 20% in Year 1, 15% in Year 2, 10% in Year 3, and 5% in Year 4, with full rates applying only in Year 5. Bill 185 eliminated this phase-in for all DCs imposed after June 6, 2024, restoring full rates immediately. Additionally, Bill 185 reinstated study costs as an eligible capital cost for DCs, which municipalities are incorporating into updated by-laws.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UNIT TYPE</w:t>
            </w:r>
          </w:p>
        </w:tc>
        <w:tc>
          <w:tcPr>
            <w:tcW w:type="dxa" w:w="312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DC PER UNIT (2025)</w:t>
            </w:r>
          </w:p>
        </w:tc>
        <w:tc>
          <w:tcPr>
            <w:tcW w:type="dxa" w:w="312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EST. 350-UNIT TOWER</w:t>
            </w:r>
          </w:p>
        </w:tc>
      </w:tr>
      <w:tr>
        <w:tc>
          <w:tcPr>
            <w:tcW w:type="dxa" w:w="31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Bachelor / 1-Bedroom</w:t>
            </w:r>
          </w:p>
        </w:tc>
        <w:tc>
          <w:tcPr>
            <w:tcW w:type="dxa" w:w="31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~$52,000</w:t>
            </w:r>
          </w:p>
        </w:tc>
        <w:tc>
          <w:tcPr>
            <w:tcW w:type="dxa" w:w="31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$9.1M (175 units)</w:t>
            </w:r>
          </w:p>
        </w:tc>
      </w:tr>
      <w:tr>
        <w:tc>
          <w:tcPr>
            <w:tcW w:type="dxa" w:w="31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2+ Bedroom</w:t>
            </w:r>
          </w:p>
        </w:tc>
        <w:tc>
          <w:tcPr>
            <w:tcW w:type="dxa" w:w="31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~$130,200</w:t>
            </w:r>
          </w:p>
        </w:tc>
        <w:tc>
          <w:tcPr>
            <w:tcW w:type="dxa" w:w="31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$22.8M (175 units)</w:t>
            </w:r>
          </w:p>
        </w:tc>
      </w:tr>
      <w:tr>
        <w:tc>
          <w:tcPr>
            <w:tcW w:type="dxa" w:w="31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Blended estimate (60/40 mix)</w:t>
            </w:r>
          </w:p>
        </w:tc>
        <w:tc>
          <w:tcPr>
            <w:tcW w:type="dxa" w:w="31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~$83,280 avg</w:t>
            </w:r>
          </w:p>
        </w:tc>
        <w:tc>
          <w:tcPr>
            <w:tcW w:type="dxa" w:w="31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AEBC46"/>
                <w:sz w:val="18"/>
                <w:szCs w:val="18"/>
              </w:rPr>
              <w:t xml:space="preserve">$29.1M total</w:t>
            </w:r>
          </w:p>
        </w:tc>
      </w:tr>
    </w:tbl>
    <w:p>
      <w:pPr>
        <w:spacing w:after="100" w:before="120"/>
      </w:pPr>
      <w:r>
        <w:rPr>
          <w:rFonts w:ascii="Montserrat" w:cs="Montserrat" w:eastAsia="Montserrat" w:hAnsi="Montserrat"/>
          <w:color w:val="2D2D2D"/>
          <w:sz w:val="22"/>
          <w:szCs w:val="22"/>
        </w:rPr>
        <w:t xml:space="preserve">City Council removed DC indexing for 2025 and 2026, freezing rates at current levels. DCs are payable upon issuance of an occupancy permit for non-rental residential development. Exemptions exist for the 2nd through 6th unit in developments of up to 6 units, which does not apply to a 350-unit tower.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EBC46" w:sz="16"/>
              <w:bottom w:val="none" w:color="FFFFFF" w:sz="0"/>
              <w:right w:val="none" w:color="FFFFFF" w:sz="0"/>
            </w:tcBorders>
            <w:shd w:fill="F5F5F5" w:val="clear"/>
            <w:tcMar>
              <w:top w:type="dxa" w:w="100"/>
              <w:left w:type="dxa" w:w="200"/>
              <w:bottom w:type="dxa" w:w="100"/>
              <w:right w:type="dxa" w:w="160"/>
            </w:tcMar>
          </w:tcPr>
          <w:p>
            <w:r>
              <w:rPr>
                <w:rFonts w:ascii="Montserrat" w:cs="Montserrat" w:eastAsia="Montserrat" w:hAnsi="Montserrat"/>
                <w:color w:val="2D2D2D"/>
                <w:sz w:val="20"/>
                <w:szCs w:val="20"/>
              </w:rPr>
              <w:t xml:space="preserve">Pro-forma impact: Under the Bill 23 phase-in regime, a 350-unit tower filing in Year 2 would have received a 15% DC discount, saving approximately $4.4M on $29.1M in total DCs. Bill 185 eliminated this discount for applications after June 6, 2024. This is a direct, non-negotiable increase in project costs that must be absorbed by either reduced land acquisition pricing or increased revenue assumptions.</w:t>
            </w:r>
          </w:p>
        </w:tc>
      </w:tr>
    </w:tbl>
    <w:p>
      <w:pPr>
        <w:pStyle w:val="Heading2"/>
      </w:pPr>
      <w:r>
        <w:rPr>
          <w:rFonts w:ascii="Montserrat" w:cs="Montserrat" w:eastAsia="Montserrat" w:hAnsi="Montserrat"/>
          <w:b/>
          <w:bCs/>
          <w:color w:val="2D2D2D"/>
          <w:sz w:val="34"/>
          <w:szCs w:val="34"/>
        </w:rPr>
        <w:t xml:space="preserve">4.3  Holding Costs During Approval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c>
          <w:tcPr>
            <w:tcW w:type="dxa" w:w="42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COST COMPONENT</w:t>
            </w:r>
          </w:p>
        </w:tc>
        <w:tc>
          <w:tcPr>
            <w:tcW w:type="dxa" w:w="25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MONTHLY ESTIMATE</w:t>
            </w:r>
          </w:p>
        </w:tc>
        <w:tc>
          <w:tcPr>
            <w:tcW w:type="dxa" w:w="25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30-MONTH TOTAL</w:t>
            </w:r>
          </w:p>
        </w:tc>
      </w:tr>
      <w:tr>
        <w:tc>
          <w:tcPr>
            <w:tcW w:type="dxa" w:w="4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Land carry (interest @ 7.5% on $15M land)</w:t>
            </w:r>
          </w:p>
        </w:tc>
        <w:tc>
          <w:tcPr>
            <w:tcW w:type="dxa" w:w="25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$93,750</w:t>
            </w:r>
          </w:p>
        </w:tc>
        <w:tc>
          <w:tcPr>
            <w:tcW w:type="dxa" w:w="25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$2,812,500</w:t>
            </w:r>
          </w:p>
        </w:tc>
      </w:tr>
      <w:tr>
        <w:tc>
          <w:tcPr>
            <w:tcW w:type="dxa" w:w="4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Property taxes (vacant land rate)</w:t>
            </w:r>
          </w:p>
        </w:tc>
        <w:tc>
          <w:tcPr>
            <w:tcW w:type="dxa" w:w="25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$8,000-$15,000</w:t>
            </w:r>
          </w:p>
        </w:tc>
        <w:tc>
          <w:tcPr>
            <w:tcW w:type="dxa" w:w="25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$240,000-$450,000</w:t>
            </w:r>
          </w:p>
        </w:tc>
      </w:tr>
      <w:tr>
        <w:tc>
          <w:tcPr>
            <w:tcW w:type="dxa" w:w="4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Insurance &amp; security</w:t>
            </w:r>
          </w:p>
        </w:tc>
        <w:tc>
          <w:tcPr>
            <w:tcW w:type="dxa" w:w="25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$3,000-$5,000</w:t>
            </w:r>
          </w:p>
        </w:tc>
        <w:tc>
          <w:tcPr>
            <w:tcW w:type="dxa" w:w="25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$90,000-$150,000</w:t>
            </w:r>
          </w:p>
        </w:tc>
      </w:tr>
      <w:tr>
        <w:tc>
          <w:tcPr>
            <w:tcW w:type="dxa" w:w="4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Consultant retainers (planner, architect, eng.)</w:t>
            </w:r>
          </w:p>
        </w:tc>
        <w:tc>
          <w:tcPr>
            <w:tcW w:type="dxa" w:w="25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$25,000-$40,000</w:t>
            </w:r>
          </w:p>
        </w:tc>
        <w:tc>
          <w:tcPr>
            <w:tcW w:type="dxa" w:w="25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$750,000-$1,200,000</w:t>
            </w:r>
          </w:p>
        </w:tc>
      </w:tr>
      <w:tr>
        <w:tc>
          <w:tcPr>
            <w:tcW w:type="dxa" w:w="4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TOTAL MONTHLY HOLDING COST</w:t>
            </w:r>
          </w:p>
        </w:tc>
        <w:tc>
          <w:tcPr>
            <w:tcW w:type="dxa" w:w="25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AEBC46"/>
                <w:sz w:val="18"/>
                <w:szCs w:val="18"/>
              </w:rPr>
              <w:t xml:space="preserve">$130K-$154K</w:t>
            </w:r>
          </w:p>
        </w:tc>
        <w:tc>
          <w:tcPr>
            <w:tcW w:type="dxa" w:w="25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AEBC46"/>
                <w:sz w:val="18"/>
                <w:szCs w:val="18"/>
              </w:rPr>
              <w:t xml:space="preserve">$3.9M-$4.6M</w:t>
            </w:r>
          </w:p>
        </w:tc>
      </w:tr>
    </w:tbl>
    <w:p>
      <w:pPr>
        <w:spacing w:after="100" w:before="120"/>
      </w:pPr>
      <w:r>
        <w:rPr>
          <w:rFonts w:ascii="Montserrat" w:cs="Montserrat" w:eastAsia="Montserrat" w:hAnsi="Montserrat"/>
          <w:color w:val="2D2D2D"/>
          <w:sz w:val="22"/>
          <w:szCs w:val="22"/>
        </w:rPr>
        <w:t xml:space="preserve">Every month of approval delay costs the project approximately $130,000 to $154,000 in carrying charges alone. An OLT appeal adding 12 months translates to $1.56M to $1.85M in additional holding costs, exclusive of legal fees ($200K to $500K for a full OLT hearing).</w:t>
      </w:r>
    </w:p>
    <w:p>
      <w:pPr>
        <w:pStyle w:val="Heading2"/>
      </w:pPr>
      <w:r>
        <w:rPr>
          <w:rFonts w:ascii="Montserrat" w:cs="Montserrat" w:eastAsia="Montserrat" w:hAnsi="Montserrat"/>
          <w:b/>
          <w:bCs/>
          <w:color w:val="2D2D2D"/>
          <w:sz w:val="34"/>
          <w:szCs w:val="34"/>
        </w:rPr>
        <w:t xml:space="preserve">4.4  Total Soft Cost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CATEGORY</w:t>
            </w:r>
          </w:p>
        </w:tc>
        <w:tc>
          <w:tcPr>
            <w:tcW w:type="dxa" w:w="436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ESTIMATED RANGE</w:t>
            </w:r>
          </w:p>
        </w:tc>
      </w:tr>
      <w:tr>
        <w:tc>
          <w:tcPr>
            <w:tcW w:type="dxa" w:w="50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Application fees (ZBA + SPA + CoA + PAC)</w:t>
            </w:r>
          </w:p>
        </w:tc>
        <w:tc>
          <w:tcPr>
            <w:tcW w:type="dxa" w:w="43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$150,000 - $260,000</w:t>
            </w:r>
          </w:p>
        </w:tc>
      </w:tr>
      <w:tr>
        <w:tc>
          <w:tcPr>
            <w:tcW w:type="dxa" w:w="50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Consultant fees (planning, arch., legal, eng.)</w:t>
            </w:r>
          </w:p>
        </w:tc>
        <w:tc>
          <w:tcPr>
            <w:tcW w:type="dxa" w:w="43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$1,200,000 - $2,000,000</w:t>
            </w:r>
          </w:p>
        </w:tc>
      </w:tr>
      <w:tr>
        <w:tc>
          <w:tcPr>
            <w:tcW w:type="dxa" w:w="50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Required studies (shadow, wind, traffic, servicing, env.)</w:t>
            </w:r>
          </w:p>
        </w:tc>
        <w:tc>
          <w:tcPr>
            <w:tcW w:type="dxa" w:w="43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$300,000 - $600,000</w:t>
            </w:r>
          </w:p>
        </w:tc>
      </w:tr>
      <w:tr>
        <w:tc>
          <w:tcPr>
            <w:tcW w:type="dxa" w:w="50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Holding costs (30 months)</w:t>
            </w:r>
          </w:p>
        </w:tc>
        <w:tc>
          <w:tcPr>
            <w:tcW w:type="dxa" w:w="43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$3,900,000 - $4,600,000</w:t>
            </w:r>
          </w:p>
        </w:tc>
      </w:tr>
      <w:tr>
        <w:tc>
          <w:tcPr>
            <w:tcW w:type="dxa" w:w="50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Community Benefits Charge (4% of land value)</w:t>
            </w:r>
          </w:p>
        </w:tc>
        <w:tc>
          <w:tcPr>
            <w:tcW w:type="dxa" w:w="43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$600,000 - $900,000</w:t>
            </w:r>
          </w:p>
        </w:tc>
      </w:tr>
      <w:tr>
        <w:tc>
          <w:tcPr>
            <w:tcW w:type="dxa" w:w="50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OLT contingency (if appealed)</w:t>
            </w:r>
          </w:p>
        </w:tc>
        <w:tc>
          <w:tcPr>
            <w:tcW w:type="dxa" w:w="43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$250,000 - $500,000</w:t>
            </w:r>
          </w:p>
        </w:tc>
      </w:tr>
      <w:tr>
        <w:tc>
          <w:tcPr>
            <w:tcW w:type="dxa" w:w="50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TOTAL SOFT COSTS (excl. DCs)</w:t>
            </w:r>
          </w:p>
        </w:tc>
        <w:tc>
          <w:tcPr>
            <w:tcW w:type="dxa" w:w="43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AEBC46"/>
                <w:sz w:val="18"/>
                <w:szCs w:val="18"/>
              </w:rPr>
              <w:t xml:space="preserve">$6.4M - $8.9M</w:t>
            </w:r>
          </w:p>
        </w:tc>
      </w:tr>
      <w:tr>
        <w:tc>
          <w:tcPr>
            <w:tcW w:type="dxa" w:w="50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Development Charges (350 units, blended)</w:t>
            </w:r>
          </w:p>
        </w:tc>
        <w:tc>
          <w:tcPr>
            <w:tcW w:type="dxa" w:w="43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AEBC46"/>
                <w:sz w:val="18"/>
                <w:szCs w:val="18"/>
              </w:rPr>
              <w:t xml:space="preserve">$28M - $30M</w:t>
            </w:r>
          </w:p>
        </w:tc>
      </w:tr>
    </w:tbl>
    <w:p>
      <w:r>
        <w:br w:type="page"/>
      </w:r>
    </w:p>
    <w:p>
      <w:pPr>
        <w:spacing w:after="80" w:before="320"/>
      </w:pPr>
      <w:r>
        <w:rPr>
          <w:rFonts w:ascii="Montserrat" w:cs="Montserrat" w:eastAsia="Montserrat" w:hAnsi="Montserrat"/>
          <w:b/>
          <w:bCs/>
          <w:color w:val="AEBC46"/>
          <w:sz w:val="18"/>
          <w:szCs w:val="18"/>
        </w:rPr>
        <w:t xml:space="preserve">SECTION 5</w:t>
      </w:r>
    </w:p>
    <w:p>
      <w:pPr>
        <w:pStyle w:val="Heading1"/>
      </w:pPr>
      <w:r>
        <w:rPr>
          <w:rFonts w:ascii="Montserrat" w:cs="Montserrat" w:eastAsia="Montserrat" w:hAnsi="Montserrat"/>
          <w:b/>
          <w:bCs/>
          <w:color w:val="2D2D2D"/>
          <w:sz w:val="44"/>
          <w:szCs w:val="44"/>
        </w:rPr>
        <w:t xml:space="preserve">Timeline Map: PAC to Shovel-in-Ground</w:t>
      </w:r>
    </w:p>
    <w:p>
      <w:pPr>
        <w:spacing w:after="100" w:before="100"/>
      </w:pPr>
      <w:r>
        <w:rPr>
          <w:rFonts w:ascii="Montserrat" w:cs="Montserrat" w:eastAsia="Montserrat" w:hAnsi="Montserrat"/>
          <w:color w:val="2D2D2D"/>
          <w:sz w:val="22"/>
          <w:szCs w:val="22"/>
        </w:rPr>
        <w:t xml:space="preserve">The following Gantt-style breakdown presents the sequential approval model. Months are numbered from the Pre-Application Consultation filing. Shaded cells indicate active work; the critical path is through ZBA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20"/>
        <w:gridCol w:w="1920"/>
        <w:gridCol w:w="1920"/>
      </w:tblGrid>
      <w:tr>
        <w:tc>
          <w:tcPr>
            <w:tcW w:type="dxa" w:w="36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PHASE</w:t>
            </w:r>
          </w:p>
        </w:tc>
        <w:tc>
          <w:tcPr>
            <w:tcW w:type="dxa" w:w="192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START</w:t>
            </w:r>
          </w:p>
        </w:tc>
        <w:tc>
          <w:tcPr>
            <w:tcW w:type="dxa" w:w="192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END</w:t>
            </w:r>
          </w:p>
        </w:tc>
        <w:tc>
          <w:tcPr>
            <w:tcW w:type="dxa" w:w="192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DURATION</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Phase 1: Pre-Application Consultation (PAC)</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6-8 weeks</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Phase 2: ZBA Application Filing &amp; Review</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3</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8</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6-8 months</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Phase 3: Community &amp; Statutory Public Meeting</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8</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12</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3-4 months</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Phase 4: Council Decision &amp; Appeal Period</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12</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15</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2-3 months</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Phase 5: OLT Appeal (if triggered)</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15</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27</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8-12 months</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Phase 6: SPA Filing &amp; Approval</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15</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24</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8-12 months</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Phase 7: Minor Variance (CoA)</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18</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22</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3-5 months</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Phase 8: Building Permit &amp; NOAC</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24</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30</w:t>
            </w:r>
          </w:p>
        </w:tc>
        <w:tc>
          <w:tcPr>
            <w:tcW w:type="dxa" w:w="192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4-6 months</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Phase 9: Shoring/Excavation &amp; First Pour</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28</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34</w:t>
            </w:r>
          </w:p>
        </w:tc>
        <w:tc>
          <w:tcPr>
            <w:tcW w:type="dxa" w:w="192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4-6 months</w:t>
            </w:r>
          </w:p>
        </w:tc>
      </w:tr>
    </w:tbl>
    <w:p>
      <w:pPr>
        <w:spacing w:after="100" w:before="160"/>
      </w:pPr>
      <w:r>
        <w:rPr>
          <w:rFonts w:ascii="Montserrat" w:cs="Montserrat" w:eastAsia="Montserrat" w:hAnsi="Montserrat"/>
          <w:b/>
          <w:bCs/>
          <w:color w:val="2D2D2D"/>
          <w:sz w:val="22"/>
          <w:szCs w:val="22"/>
        </w:rPr>
        <w:t xml:space="preserve">Optimistic total (no OLT appeal): </w:t>
      </w:r>
      <w:r>
        <w:rPr>
          <w:rFonts w:ascii="Montserrat" w:cs="Montserrat" w:eastAsia="Montserrat" w:hAnsi="Montserrat"/>
          <w:color w:val="2D2D2D"/>
          <w:sz w:val="22"/>
          <w:szCs w:val="22"/>
        </w:rPr>
        <w:t xml:space="preserve">30 months from PAC to first concrete pour.</w:t>
      </w:r>
    </w:p>
    <w:p>
      <w:pPr>
        <w:spacing w:after="100" w:before="60"/>
      </w:pPr>
      <w:r>
        <w:rPr>
          <w:rFonts w:ascii="Montserrat" w:cs="Montserrat" w:eastAsia="Montserrat" w:hAnsi="Montserrat"/>
          <w:b/>
          <w:bCs/>
          <w:color w:val="2D2D2D"/>
          <w:sz w:val="22"/>
          <w:szCs w:val="22"/>
        </w:rPr>
        <w:t xml:space="preserve">Realistic total (with typical delays): </w:t>
      </w:r>
      <w:r>
        <w:rPr>
          <w:rFonts w:ascii="Montserrat" w:cs="Montserrat" w:eastAsia="Montserrat" w:hAnsi="Montserrat"/>
          <w:color w:val="2D2D2D"/>
          <w:sz w:val="22"/>
          <w:szCs w:val="22"/>
        </w:rPr>
        <w:t xml:space="preserve">36 months from PAC to first concrete pour.</w:t>
      </w:r>
    </w:p>
    <w:p>
      <w:pPr>
        <w:spacing w:after="100" w:before="60"/>
      </w:pPr>
      <w:r>
        <w:rPr>
          <w:rFonts w:ascii="Montserrat" w:cs="Montserrat" w:eastAsia="Montserrat" w:hAnsi="Montserrat"/>
          <w:b/>
          <w:bCs/>
          <w:color w:val="2D2D2D"/>
          <w:sz w:val="22"/>
          <w:szCs w:val="22"/>
        </w:rPr>
        <w:t xml:space="preserve">Pessimistic total (OLT appeal): </w:t>
      </w:r>
      <w:r>
        <w:rPr>
          <w:rFonts w:ascii="Montserrat" w:cs="Montserrat" w:eastAsia="Montserrat" w:hAnsi="Montserrat"/>
          <w:color w:val="2D2D2D"/>
          <w:sz w:val="22"/>
          <w:szCs w:val="22"/>
        </w:rPr>
        <w:t xml:space="preserve">42+ months from PAC to first concrete pour.</w:t>
      </w:r>
    </w:p>
    <w:p>
      <w:r>
        <w:br w:type="page"/>
      </w:r>
    </w:p>
    <w:p>
      <w:pPr>
        <w:spacing w:after="80" w:before="320"/>
      </w:pPr>
      <w:r>
        <w:rPr>
          <w:rFonts w:ascii="Montserrat" w:cs="Montserrat" w:eastAsia="Montserrat" w:hAnsi="Montserrat"/>
          <w:b/>
          <w:bCs/>
          <w:color w:val="AEBC46"/>
          <w:sz w:val="18"/>
          <w:szCs w:val="18"/>
        </w:rPr>
        <w:t xml:space="preserve">SECTION 6</w:t>
      </w:r>
    </w:p>
    <w:p>
      <w:pPr>
        <w:pStyle w:val="Heading1"/>
      </w:pPr>
      <w:r>
        <w:rPr>
          <w:rFonts w:ascii="Montserrat" w:cs="Montserrat" w:eastAsia="Montserrat" w:hAnsi="Montserrat"/>
          <w:b/>
          <w:bCs/>
          <w:color w:val="2D2D2D"/>
          <w:sz w:val="44"/>
          <w:szCs w:val="44"/>
        </w:rPr>
        <w:t xml:space="preserve">Risk Heatmap: Bottleneck Analysis</w:t>
      </w:r>
    </w:p>
    <w:p>
      <w:pPr>
        <w:spacing w:after="100" w:before="100"/>
      </w:pPr>
      <w:r>
        <w:rPr>
          <w:rFonts w:ascii="Montserrat" w:cs="Montserrat" w:eastAsia="Montserrat" w:hAnsi="Montserrat"/>
          <w:color w:val="2D2D2D"/>
          <w:sz w:val="22"/>
          <w:szCs w:val="22"/>
        </w:rPr>
        <w:t xml:space="preserve">As of early 2026, the following assessment identifies the relative risk and bottleneck severity of each approval stage for a 40-storey tower in Toronto. Risk is evaluated across three dimensions: probability of delay, magnitude of delay (months), and financial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600"/>
        <w:gridCol w:w="2560"/>
      </w:tblGrid>
      <w:tr>
        <w:tc>
          <w:tcPr>
            <w:tcW w:type="dxa" w:w="22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STAGE</w:t>
            </w:r>
          </w:p>
        </w:tc>
        <w:tc>
          <w:tcPr>
            <w:tcW w:type="dxa" w:w="14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DELAY RISK</w:t>
            </w:r>
          </w:p>
        </w:tc>
        <w:tc>
          <w:tcPr>
            <w:tcW w:type="dxa" w:w="16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DELAY (MONTHS)</w:t>
            </w:r>
          </w:p>
        </w:tc>
        <w:tc>
          <w:tcPr>
            <w:tcW w:type="dxa" w:w="16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COST IMPACT</w:t>
            </w:r>
          </w:p>
        </w:tc>
        <w:tc>
          <w:tcPr>
            <w:tcW w:type="dxa" w:w="256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KEY DRIVER</w:t>
            </w:r>
          </w:p>
        </w:tc>
      </w:tr>
      <w:tr>
        <w:tc>
          <w:tcPr>
            <w:tcW w:type="dxa" w:w="2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ZBA Approval</w:t>
            </w:r>
          </w:p>
        </w:tc>
        <w:tc>
          <w:tcPr>
            <w:tcW w:type="dxa" w:w="14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C44444"/>
                <w:sz w:val="18"/>
                <w:szCs w:val="18"/>
              </w:rPr>
              <w:t xml:space="preserve">HIGH</w:t>
            </w:r>
          </w:p>
        </w:tc>
        <w:tc>
          <w:tcPr>
            <w:tcW w:type="dxa" w:w="1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C44444"/>
                <w:sz w:val="18"/>
                <w:szCs w:val="18"/>
              </w:rPr>
              <w:t xml:space="preserve">6-18</w:t>
            </w:r>
          </w:p>
        </w:tc>
        <w:tc>
          <w:tcPr>
            <w:tcW w:type="dxa" w:w="1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$780K-$2.8M</w:t>
            </w:r>
          </w:p>
        </w:tc>
        <w:tc>
          <w:tcPr>
            <w:tcW w:type="dxa" w:w="25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Councillor opposition, neighbourhood pushback, staff workload backlog</w:t>
            </w:r>
          </w:p>
        </w:tc>
      </w:tr>
      <w:tr>
        <w:tc>
          <w:tcPr>
            <w:tcW w:type="dxa" w:w="2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OLT Appeal</w:t>
            </w:r>
          </w:p>
        </w:tc>
        <w:tc>
          <w:tcPr>
            <w:tcW w:type="dxa" w:w="14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E8C87A"/>
                <w:sz w:val="18"/>
                <w:szCs w:val="18"/>
              </w:rPr>
              <w:t xml:space="preserve">MEDIUM</w:t>
            </w:r>
          </w:p>
        </w:tc>
        <w:tc>
          <w:tcPr>
            <w:tcW w:type="dxa" w:w="1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E8C87A"/>
                <w:sz w:val="18"/>
                <w:szCs w:val="18"/>
              </w:rPr>
              <w:t xml:space="preserve">8-12</w:t>
            </w:r>
          </w:p>
        </w:tc>
        <w:tc>
          <w:tcPr>
            <w:tcW w:type="dxa" w:w="1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$1.3M-$2.3M</w:t>
            </w:r>
          </w:p>
        </w:tc>
        <w:tc>
          <w:tcPr>
            <w:tcW w:type="dxa" w:w="25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Third-party appeals; Bill 185 restricted but did not eliminate appeal rights for ZBA</w:t>
            </w:r>
          </w:p>
        </w:tc>
      </w:tr>
      <w:tr>
        <w:tc>
          <w:tcPr>
            <w:tcW w:type="dxa" w:w="2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SPA Approval</w:t>
            </w:r>
          </w:p>
        </w:tc>
        <w:tc>
          <w:tcPr>
            <w:tcW w:type="dxa" w:w="14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E8C87A"/>
                <w:sz w:val="18"/>
                <w:szCs w:val="18"/>
              </w:rPr>
              <w:t xml:space="preserve">MEDIUM</w:t>
            </w:r>
          </w:p>
        </w:tc>
        <w:tc>
          <w:tcPr>
            <w:tcW w:type="dxa" w:w="1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E8C87A"/>
                <w:sz w:val="18"/>
                <w:szCs w:val="18"/>
              </w:rPr>
              <w:t xml:space="preserve">4-8</w:t>
            </w:r>
          </w:p>
        </w:tc>
        <w:tc>
          <w:tcPr>
            <w:tcW w:type="dxa" w:w="1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$520K-$1.2M</w:t>
            </w:r>
          </w:p>
        </w:tc>
        <w:tc>
          <w:tcPr>
            <w:tcW w:type="dxa" w:w="25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Understaffed Development Review Division; Toronto averages 8-12 months for SPA</w:t>
            </w:r>
          </w:p>
        </w:tc>
      </w:tr>
      <w:tr>
        <w:tc>
          <w:tcPr>
            <w:tcW w:type="dxa" w:w="22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2D2D2D"/>
                <w:sz w:val="18"/>
                <w:szCs w:val="18"/>
              </w:rPr>
              <w:t xml:space="preserve">CoA (MV)</w:t>
            </w:r>
          </w:p>
        </w:tc>
        <w:tc>
          <w:tcPr>
            <w:tcW w:type="dxa" w:w="14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bCs/>
                <w:color w:val="4ECDC4"/>
                <w:sz w:val="18"/>
                <w:szCs w:val="18"/>
              </w:rPr>
              <w:t xml:space="preserve">LOW</w:t>
            </w:r>
          </w:p>
        </w:tc>
        <w:tc>
          <w:tcPr>
            <w:tcW w:type="dxa" w:w="1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1-3</w:t>
            </w:r>
          </w:p>
        </w:tc>
        <w:tc>
          <w:tcPr>
            <w:tcW w:type="dxa" w:w="1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$130K-$460K</w:t>
            </w:r>
          </w:p>
        </w:tc>
        <w:tc>
          <w:tcPr>
            <w:tcW w:type="dxa" w:w="256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Low risk if variances are minor and ZBA is already enacted; TLAB appeal adds 4-8 months</w:t>
            </w:r>
          </w:p>
        </w:tc>
      </w:tr>
      <w:tr>
        <w:tc>
          <w:tcPr>
            <w:tcW w:type="dxa" w:w="22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Building Permit</w:t>
            </w:r>
          </w:p>
        </w:tc>
        <w:tc>
          <w:tcPr>
            <w:tcW w:type="dxa" w:w="14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E8C87A"/>
                <w:sz w:val="18"/>
                <w:szCs w:val="18"/>
              </w:rPr>
              <w:t xml:space="preserve">LOW-MED</w:t>
            </w:r>
          </w:p>
        </w:tc>
        <w:tc>
          <w:tcPr>
            <w:tcW w:type="dxa" w:w="1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2-4</w:t>
            </w:r>
          </w:p>
        </w:tc>
        <w:tc>
          <w:tcPr>
            <w:tcW w:type="dxa" w:w="1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$260K-$620K</w:t>
            </w:r>
          </w:p>
        </w:tc>
        <w:tc>
          <w:tcPr>
            <w:tcW w:type="dxa" w:w="256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Zoning examiner review against enacted by-law; conditional permits for shoring 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EBC46" w:sz="16"/>
              <w:bottom w:val="none" w:color="FFFFFF" w:sz="0"/>
              <w:right w:val="none" w:color="FFFFFF" w:sz="0"/>
            </w:tcBorders>
            <w:shd w:fill="F5F5F5" w:val="clear"/>
            <w:tcMar>
              <w:top w:type="dxa" w:w="100"/>
              <w:left w:type="dxa" w:w="200"/>
              <w:bottom w:type="dxa" w:w="100"/>
              <w:right w:type="dxa" w:w="160"/>
            </w:tcMar>
          </w:tcPr>
          <w:p>
            <w:r>
              <w:rPr>
                <w:rFonts w:ascii="Montserrat" w:cs="Montserrat" w:eastAsia="Montserrat" w:hAnsi="Montserrat"/>
                <w:color w:val="2D2D2D"/>
                <w:sz w:val="20"/>
                <w:szCs w:val="20"/>
              </w:rPr>
              <w:t xml:space="preserve">Bottleneck verdict: The ZBA phase is the clear primary bottleneck in Toronto as of early 2026. Staffing shortages in City Planning, combined with the loss of refund-driven processing incentives (Bill 185), have extended average ZBA review timelines to 12-18 months. SPA is the secondary bottleneck, compounded by OPA 688's sequential requirement. The CoA phase is the lowest-risk stage when properly sequenced after an enacted ZBA.</w:t>
            </w:r>
          </w:p>
        </w:tc>
      </w:tr>
    </w:tbl>
    <w:p>
      <w:r>
        <w:br w:type="page"/>
      </w:r>
    </w:p>
    <w:p>
      <w:pPr>
        <w:spacing w:after="80" w:before="320"/>
      </w:pPr>
      <w:r>
        <w:rPr>
          <w:rFonts w:ascii="Montserrat" w:cs="Montserrat" w:eastAsia="Montserrat" w:hAnsi="Montserrat"/>
          <w:b/>
          <w:bCs/>
          <w:color w:val="AEBC46"/>
          <w:sz w:val="18"/>
          <w:szCs w:val="18"/>
        </w:rPr>
        <w:t xml:space="preserve">SECTION 7</w:t>
      </w:r>
    </w:p>
    <w:p>
      <w:pPr>
        <w:pStyle w:val="Heading1"/>
      </w:pPr>
      <w:r>
        <w:rPr>
          <w:rFonts w:ascii="Montserrat" w:cs="Montserrat" w:eastAsia="Montserrat" w:hAnsi="Montserrat"/>
          <w:b/>
          <w:bCs/>
          <w:color w:val="2D2D2D"/>
          <w:sz w:val="44"/>
          <w:szCs w:val="44"/>
        </w:rPr>
        <w:t xml:space="preserve">Construction Transition: NOAC to First Pour</w:t>
      </w:r>
    </w:p>
    <w:p>
      <w:pPr>
        <w:spacing w:after="100" w:before="100"/>
      </w:pPr>
      <w:r>
        <w:rPr>
          <w:rFonts w:ascii="Montserrat" w:cs="Montserrat" w:eastAsia="Montserrat" w:hAnsi="Montserrat"/>
          <w:color w:val="2D2D2D"/>
          <w:sz w:val="22"/>
          <w:szCs w:val="22"/>
        </w:rPr>
        <w:t xml:space="preserve">The Notice of Approval Conditions (NOAC) is the critical document that triggers the transition from planning approvals to construction. It sets out all conditions that must be satisfied before a building permit can issue. For a 40-storey tower, the NOAC-to-first-pour timeline typically spans 6 to 10 months:</w:t>
      </w:r>
    </w:p>
    <w:p>
      <w:pPr>
        <w:pStyle w:val="Heading2"/>
      </w:pPr>
      <w:r>
        <w:rPr>
          <w:rFonts w:ascii="Montserrat" w:cs="Montserrat" w:eastAsia="Montserrat" w:hAnsi="Montserrat"/>
          <w:b/>
          <w:bCs/>
          <w:color w:val="2D2D2D"/>
          <w:sz w:val="34"/>
          <w:szCs w:val="34"/>
        </w:rPr>
        <w:t xml:space="preserve">7.1  NOAC Conditions Clearance (Months 1-3)</w:t>
      </w:r>
    </w:p>
    <w:p>
      <w:pPr>
        <w:spacing w:after="100" w:before="100"/>
      </w:pPr>
      <w:r>
        <w:rPr>
          <w:rFonts w:ascii="Montserrat" w:cs="Montserrat" w:eastAsia="Montserrat" w:hAnsi="Montserrat"/>
          <w:color w:val="2D2D2D"/>
          <w:sz w:val="22"/>
          <w:szCs w:val="22"/>
        </w:rPr>
        <w:t xml:space="preserve">NOAC conditions typically include: execution of a Section 37/CBC agreement, posting of required securities (letters of credit for site servicing, landscaping, and public realm improvements), registration of required easements, submission of final engineering drawings (stormwater management, grading, and servicing), confirmation of development charge payment terms, and execution of the Site Plan Agreement. Clearing all conditions requires coordination across 4 to 6 City divisions and typically takes 2 to 3 months for an experienced development team.</w:t>
      </w:r>
    </w:p>
    <w:p>
      <w:pPr>
        <w:pStyle w:val="Heading2"/>
      </w:pPr>
      <w:r>
        <w:rPr>
          <w:rFonts w:ascii="Montserrat" w:cs="Montserrat" w:eastAsia="Montserrat" w:hAnsi="Montserrat"/>
          <w:b/>
          <w:bCs/>
          <w:color w:val="2D2D2D"/>
          <w:sz w:val="34"/>
          <w:szCs w:val="34"/>
        </w:rPr>
        <w:t xml:space="preserve">7.2  Conditional Permits for Shoring &amp; Excavation (Months 2-4)</w:t>
      </w:r>
    </w:p>
    <w:p>
      <w:pPr>
        <w:spacing w:after="100" w:before="100"/>
      </w:pPr>
      <w:r>
        <w:rPr>
          <w:rFonts w:ascii="Montserrat" w:cs="Montserrat" w:eastAsia="Montserrat" w:hAnsi="Montserrat"/>
          <w:color w:val="2D2D2D"/>
          <w:sz w:val="22"/>
          <w:szCs w:val="22"/>
        </w:rPr>
        <w:t xml:space="preserve">Toronto Building issues partial and conditional permits that allow shoring, excavation, and foundation work to commence before the full building permit is issued. This is a critical path accelerator: a developer can file for a shoring/excavation conditional permit while NOAC conditions are still being cleared, effectively overlapping 2 to 3 months of work. The conditional permit requires a deposit on the building permit fee (for projects with fees exceeding $20,000) and completed geotechnical and structural engineering for the below-grade components. Shoring installation typically takes 6 to 10 weeks depending on lot size and soil conditions.</w:t>
      </w:r>
    </w:p>
    <w:p>
      <w:pPr>
        <w:pStyle w:val="Heading2"/>
      </w:pPr>
      <w:r>
        <w:rPr>
          <w:rFonts w:ascii="Montserrat" w:cs="Montserrat" w:eastAsia="Montserrat" w:hAnsi="Montserrat"/>
          <w:b/>
          <w:bCs/>
          <w:color w:val="2D2D2D"/>
          <w:sz w:val="34"/>
          <w:szCs w:val="34"/>
        </w:rPr>
        <w:t xml:space="preserve">7.3  Full Building Permit &amp; First Pour (Months 4-8)</w:t>
      </w:r>
    </w:p>
    <w:p>
      <w:pPr>
        <w:spacing w:after="100" w:before="100"/>
      </w:pPr>
      <w:r>
        <w:rPr>
          <w:rFonts w:ascii="Montserrat" w:cs="Montserrat" w:eastAsia="Montserrat" w:hAnsi="Montserrat"/>
          <w:color w:val="2D2D2D"/>
          <w:sz w:val="22"/>
          <w:szCs w:val="22"/>
        </w:rPr>
        <w:t xml:space="preserve">The full building permit application undergoes zoning examination against the enacted site-specific by-law, structural review, mechanical/electrical review, and Ontario Building Code compliance. For a 40-storey tower, permit review typically takes 3 to 5 months. Development charges are payable upon issuance of an occupancy permit (not at building permit stage for non-rental residential). The first concrete pour (typically the mat foundation or raft slab) occurs approximately 4 to 8 weeks after excavation reaches design depth, depending on dewatering requirements and structural complexity.</w:t>
      </w:r>
    </w:p>
    <w:p>
      <w:pPr>
        <w:pStyle w:val="Heading2"/>
      </w:pPr>
      <w:r>
        <w:rPr>
          <w:rFonts w:ascii="Montserrat" w:cs="Montserrat" w:eastAsia="Montserrat" w:hAnsi="Montserrat"/>
          <w:b/>
          <w:bCs/>
          <w:color w:val="2D2D2D"/>
          <w:sz w:val="34"/>
          <w:szCs w:val="34"/>
        </w:rPr>
        <w:t xml:space="preserve">7.4  Construction Transition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MILESTONE</w:t>
            </w:r>
          </w:p>
        </w:tc>
        <w:tc>
          <w:tcPr>
            <w:tcW w:type="dxa" w:w="28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DURATION</w:t>
            </w:r>
          </w:p>
        </w:tc>
        <w:tc>
          <w:tcPr>
            <w:tcW w:type="dxa" w:w="2880"/>
            <w:tcBorders>
              <w:top w:val="single" w:color="888888" w:sz="1"/>
              <w:left w:val="single" w:color="888888" w:sz="1"/>
              <w:bottom w:val="single" w:color="888888" w:sz="1"/>
              <w:right w:val="single" w:color="888888" w:sz="1"/>
            </w:tcBorders>
            <w:shd w:fill="1A1A1A" w:val="clear"/>
            <w:tcMar>
              <w:top w:type="dxa" w:w="60"/>
              <w:left w:type="dxa" w:w="120"/>
              <w:bottom w:type="dxa" w:w="60"/>
              <w:right w:type="dxa" w:w="120"/>
            </w:tcMar>
          </w:tcPr>
          <w:p>
            <w:r>
              <w:rPr>
                <w:rFonts w:ascii="Montserrat" w:cs="Montserrat" w:eastAsia="Montserrat" w:hAnsi="Montserrat"/>
                <w:b/>
                <w:bCs/>
                <w:color w:val="FFFFFF"/>
                <w:sz w:val="18"/>
                <w:szCs w:val="18"/>
              </w:rPr>
              <w:t xml:space="preserve">CUMULATIVE</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NOAC issued</w:t>
            </w:r>
          </w:p>
        </w:tc>
        <w:tc>
          <w:tcPr>
            <w:tcW w:type="dxa" w:w="2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Day 0</w:t>
            </w:r>
          </w:p>
        </w:tc>
        <w:tc>
          <w:tcPr>
            <w:tcW w:type="dxa" w:w="2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0</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NOAC conditions clearance</w:t>
            </w:r>
          </w:p>
        </w:tc>
        <w:tc>
          <w:tcPr>
            <w:tcW w:type="dxa" w:w="28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2-3 months</w:t>
            </w:r>
          </w:p>
        </w:tc>
        <w:tc>
          <w:tcPr>
            <w:tcW w:type="dxa" w:w="28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2-3</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Conditional permit (shoring) filed</w:t>
            </w:r>
          </w:p>
        </w:tc>
        <w:tc>
          <w:tcPr>
            <w:tcW w:type="dxa" w:w="2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Overlap with NOAC</w:t>
            </w:r>
          </w:p>
        </w:tc>
        <w:tc>
          <w:tcPr>
            <w:tcW w:type="dxa" w:w="2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1-2</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Shoring &amp; excavation commence</w:t>
            </w:r>
          </w:p>
        </w:tc>
        <w:tc>
          <w:tcPr>
            <w:tcW w:type="dxa" w:w="28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Upon conditional permit</w:t>
            </w:r>
          </w:p>
        </w:tc>
        <w:tc>
          <w:tcPr>
            <w:tcW w:type="dxa" w:w="28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2-3</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Full building permit issued</w:t>
            </w:r>
          </w:p>
        </w:tc>
        <w:tc>
          <w:tcPr>
            <w:tcW w:type="dxa" w:w="2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3-5 months from filing</w:t>
            </w:r>
          </w:p>
        </w:tc>
        <w:tc>
          <w:tcPr>
            <w:tcW w:type="dxa" w:w="2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4-6</w:t>
            </w:r>
          </w:p>
        </w:tc>
      </w:tr>
      <w:tr>
        <w:tc>
          <w:tcPr>
            <w:tcW w:type="dxa" w:w="360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Excavation to design depth</w:t>
            </w:r>
          </w:p>
        </w:tc>
        <w:tc>
          <w:tcPr>
            <w:tcW w:type="dxa" w:w="28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6-10 weeks</w:t>
            </w:r>
          </w:p>
        </w:tc>
        <w:tc>
          <w:tcPr>
            <w:tcW w:type="dxa" w:w="2880"/>
            <w:tcBorders>
              <w:top w:val="single" w:color="888888" w:sz="1"/>
              <w:left w:val="single" w:color="888888" w:sz="1"/>
              <w:bottom w:val="single" w:color="888888" w:sz="1"/>
              <w:right w:val="single" w:color="888888" w:sz="1"/>
            </w:tcBorders>
            <w:shd w:fill="F5F5F5"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Month 4-5</w:t>
            </w:r>
          </w:p>
        </w:tc>
      </w:tr>
      <w:tr>
        <w:tc>
          <w:tcPr>
            <w:tcW w:type="dxa" w:w="360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2D2D2D"/>
                <w:sz w:val="18"/>
                <w:szCs w:val="18"/>
              </w:rPr>
              <w:t xml:space="preserve">Foundation / first concrete pour</w:t>
            </w:r>
          </w:p>
        </w:tc>
        <w:tc>
          <w:tcPr>
            <w:tcW w:type="dxa" w:w="2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val="false"/>
                <w:bCs w:val="false"/>
                <w:color w:val="2D2D2D"/>
                <w:sz w:val="18"/>
                <w:szCs w:val="18"/>
              </w:rPr>
              <w:t xml:space="preserve">4-8 weeks after depth</w:t>
            </w:r>
          </w:p>
        </w:tc>
        <w:tc>
          <w:tcPr>
            <w:tcW w:type="dxa" w:w="2880"/>
            <w:tcBorders>
              <w:top w:val="single" w:color="888888" w:sz="1"/>
              <w:left w:val="single" w:color="888888" w:sz="1"/>
              <w:bottom w:val="single" w:color="888888" w:sz="1"/>
              <w:right w:val="single" w:color="888888" w:sz="1"/>
            </w:tcBorders>
            <w:shd w:fill="FFFFFF" w:val="clear"/>
            <w:tcMar>
              <w:top w:type="dxa" w:w="60"/>
              <w:left w:type="dxa" w:w="120"/>
              <w:bottom w:type="dxa" w:w="60"/>
              <w:right w:type="dxa" w:w="120"/>
            </w:tcMar>
          </w:tcPr>
          <w:p>
            <w:r>
              <w:rPr>
                <w:rFonts w:ascii="Montserrat" w:cs="Montserrat" w:eastAsia="Montserrat" w:hAnsi="Montserrat"/>
                <w:b/>
                <w:bCs/>
                <w:color w:val="AEBC46"/>
                <w:sz w:val="18"/>
                <w:szCs w:val="18"/>
              </w:rPr>
              <w:t xml:space="preserve">Month 6-8</w:t>
            </w:r>
          </w:p>
        </w:tc>
      </w:tr>
    </w:tbl>
    <w:p>
      <w:pPr>
        <w:spacing w:after="100" w:before="160"/>
      </w:pPr>
      <w:r>
        <w:rPr>
          <w:rFonts w:ascii="Montserrat" w:cs="Montserrat" w:eastAsia="Montserrat" w:hAnsi="Montserrat"/>
          <w:color w:val="2D2D2D"/>
          <w:sz w:val="22"/>
          <w:szCs w:val="22"/>
        </w:rPr>
        <w:t xml:space="preserve">The critical path optimization here is the conditional permit strategy: by filing for shoring/excavation permits simultaneously with NOAC clearance, the developer can compress the NOAC-to-first-pour window from 8-10 months down to 6-8 months, saving approximately $260,000 to $310,000 in holding costs.</w:t>
      </w:r>
    </w:p>
    <w:p>
      <w:r>
        <w:br w:type="page"/>
      </w:r>
    </w:p>
    <w:p>
      <w:pPr>
        <w:spacing w:after="80" w:before="320"/>
      </w:pPr>
      <w:r>
        <w:rPr>
          <w:rFonts w:ascii="Montserrat" w:cs="Montserrat" w:eastAsia="Montserrat" w:hAnsi="Montserrat"/>
          <w:b/>
          <w:bCs/>
          <w:color w:val="AEBC46"/>
          <w:sz w:val="18"/>
          <w:szCs w:val="18"/>
        </w:rPr>
        <w:t xml:space="preserve">SECTION 8</w:t>
      </w:r>
    </w:p>
    <w:p>
      <w:pPr>
        <w:pStyle w:val="Heading1"/>
      </w:pPr>
      <w:r>
        <w:rPr>
          <w:rFonts w:ascii="Montserrat" w:cs="Montserrat" w:eastAsia="Montserrat" w:hAnsi="Montserrat"/>
          <w:b/>
          <w:bCs/>
          <w:color w:val="2D2D2D"/>
          <w:sz w:val="44"/>
          <w:szCs w:val="44"/>
        </w:rPr>
        <w:t xml:space="preserve">Methodology &amp; Disclaimers</w:t>
      </w:r>
    </w:p>
    <w:p>
      <w:pPr>
        <w:spacing w:after="100" w:before="100"/>
      </w:pPr>
      <w:r>
        <w:rPr>
          <w:rFonts w:ascii="Montserrat" w:cs="Montserrat" w:eastAsia="Montserrat" w:hAnsi="Montserrat"/>
          <w:color w:val="2D2D2D"/>
          <w:sz w:val="22"/>
          <w:szCs w:val="22"/>
        </w:rPr>
        <w:t xml:space="preserve">This analysis is based on the following data sources and assumptions: City of Toronto 2026 Fee Schedules (effective January 1, 2026, reflecting 4.82% COLA); City of Toronto Development Charge Rates (effective June 6, 2024, with no indexing applied for 2025-2026 per Council direction); Bill 185 (Cutting Red Tape to Build More Homes Act, 2024, Royal Assent June 6, 2024); OPA 688 (zoning conformity precondition for SPA); City of Toronto Tall Building Design Guidelines (2013); Mid-Rise Performance Standards (updated November 2024); Provincial MTSA/PMTSA density rules (effective August 2025); and historical approval timeline data from OLT and City Planning annual reports.</w:t>
      </w:r>
    </w:p>
    <w:p>
      <w:pPr>
        <w:spacing w:after="100" w:before="100"/>
      </w:pPr>
      <w:r>
        <w:rPr>
          <w:rFonts w:ascii="Montserrat" w:cs="Montserrat" w:eastAsia="Montserrat" w:hAnsi="Montserrat"/>
          <w:color w:val="2D2D2D"/>
          <w:sz w:val="22"/>
          <w:szCs w:val="22"/>
        </w:rPr>
        <w:t xml:space="preserve">All cost estimates represent order-of-magnitude ranges for planning and budgeting purposes. Actual costs will vary based on site-specific conditions, consultant selection, market conditions, and the political environment at the time of application. Development charges are subject to change upon adoption of a new DC by-law. This report does not constitute legal or financial advice. The reader should consult qualified professionals (land-use planners, real estate lawyers, and financial advisors) before making investment decisions.</w:t>
      </w:r>
    </w:p>
    <w:p>
      <w:pPr>
        <w:spacing w:after="100" w:before="100"/>
      </w:pPr>
      <w:r>
        <w:rPr>
          <w:rFonts w:ascii="Montserrat" w:cs="Montserrat" w:eastAsia="Montserrat" w:hAnsi="Montserrat"/>
          <w:color w:val="888888"/>
          <w:sz w:val="20"/>
          <w:szCs w:val="20"/>
        </w:rPr>
        <w:t xml:space="preserve">Prepared by OleaDev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88888" w:sz="2" w:space="4"/>
      </w:pBdr>
      <w:tabs>
        <w:tab w:val="center" w:pos="4680"/>
        <w:tab w:val="right" w:pos="9360"/>
      </w:tabs>
    </w:pPr>
    <w:r>
      <w:rPr>
        <w:rFonts w:ascii="Montserrat" w:cs="Montserrat" w:eastAsia="Montserrat" w:hAnsi="Montserrat"/>
        <w:color w:val="888888"/>
        <w:sz w:val="16"/>
        <w:szCs w:val="16"/>
      </w:rPr>
      <w:t xml:space="preserve">Confidential</w:t>
    </w:r>
    <w:r>
      <w:rPr>
        <w:rFonts w:ascii="Montserrat" w:cs="Montserrat" w:eastAsia="Montserrat" w:hAnsi="Montserrat"/>
        <w:color w:val="888888"/>
        <w:sz w:val="16"/>
        <w:szCs w:val="16"/>
      </w:rPr>
      <w:t xml:space="preserve">	Page </w:t>
    </w:r>
    <w:r>
      <w:rPr>
        <w:rFonts w:ascii="Montserrat" w:cs="Montserrat" w:eastAsia="Montserrat" w:hAnsi="Montserrat"/>
        <w:color w:val="888888"/>
        <w:sz w:val="16"/>
        <w:szCs w:val="16"/>
      </w:rPr>
      <w:fldChar w:fldCharType="begin"/>
      <w:instrText xml:space="preserve">PAGE</w:instrText>
      <w:fldChar w:fldCharType="separate"/>
      <w:fldChar w:fldCharType="end"/>
    </w:r>
    <w:r>
      <w:rPr>
        <w:rFonts w:ascii="Montserrat" w:cs="Montserrat" w:eastAsia="Montserrat" w:hAnsi="Montserrat"/>
        <w:color w:val="888888"/>
        <w:sz w:val="16"/>
        <w:szCs w:val="16"/>
      </w:rPr>
      <w:t xml:space="preserve">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BC46" w:sz="6" w:space="4"/>
      </w:pBdr>
      <w:tabs>
        <w:tab w:val="right" w:pos="9026"/>
      </w:tabs>
    </w:pPr>
    <w:r>
      <w:rPr>
        <w:rFonts w:ascii="Montserrat" w:cs="Montserrat" w:eastAsia="Montserrat" w:hAnsi="Montserrat"/>
        <w:b/>
        <w:bCs/>
        <w:color w:val="1A1A1A"/>
        <w:sz w:val="18"/>
        <w:szCs w:val="18"/>
      </w:rPr>
      <w:t xml:space="preserve">OLEADEV</w:t>
    </w:r>
    <w:r>
      <w:rPr>
        <w:rFonts w:ascii="Montserrat" w:cs="Montserrat" w:eastAsia="Montserrat" w:hAnsi="Montserrat"/>
        <w:color w:val="888888"/>
        <w:sz w:val="18"/>
        <w:szCs w:val="18"/>
      </w:rPr>
      <w:t xml:space="preserve">	40-Storey Tower — Approval Timeline &amp; Risk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ontserrat" w:cs="Montserrat" w:eastAsia="Montserrat" w:hAnsi="Montserrat"/>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AEBC46" w:sz="6" w:space="4"/>
      </w:pBdr>
      <w:spacing w:after="160" w:before="320"/>
      <w:outlineLvl w:val="0"/>
    </w:pPr>
    <w:rPr>
      <w:rFonts w:ascii="Montserrat" w:cs="Montserrat" w:eastAsia="Montserrat" w:hAnsi="Montserrat"/>
      <w:b/>
      <w:bCs/>
      <w:color w:val="2D2D2D"/>
      <w:sz w:val="44"/>
      <w:szCs w:val="44"/>
    </w:rPr>
  </w:style>
  <w:style w:type="paragraph" w:styleId="Heading2">
    <w:name w:val="Heading 2"/>
    <w:basedOn w:val="Normal"/>
    <w:next w:val="Normal"/>
    <w:qFormat/>
    <w:pPr>
      <w:spacing w:after="120" w:before="240"/>
      <w:outlineLvl w:val="1"/>
    </w:pPr>
    <w:rPr>
      <w:rFonts w:ascii="Montserrat" w:cs="Montserrat" w:eastAsia="Montserrat" w:hAnsi="Montserrat"/>
      <w:b/>
      <w:bCs/>
      <w:color w:val="2D2D2D"/>
      <w:sz w:val="34"/>
      <w:szCs w:val="34"/>
    </w:rPr>
  </w:style>
  <w:style w:type="paragraph" w:styleId="Heading3">
    <w:name w:val="Heading 3"/>
    <w:basedOn w:val="Normal"/>
    <w:next w:val="Normal"/>
    <w:qFormat/>
    <w:pPr>
      <w:spacing w:after="80" w:before="160"/>
      <w:outlineLvl w:val="2"/>
    </w:pPr>
    <w:rPr>
      <w:rFonts w:ascii="Montserrat" w:cs="Montserrat" w:eastAsia="Montserrat" w:hAnsi="Montserrat"/>
      <w:b/>
      <w:bCs/>
      <w:color w:val="8888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2026-04-17T21:33:14.351Z</dcterms:created>
  <dcterms:modified xsi:type="dcterms:W3CDTF">2026-04-17T21:33:14.352Z</dcterms:modified>
</cp:coreProperties>
</file>

<file path=docProps/custom.xml><?xml version="1.0" encoding="utf-8"?>
<Properties xmlns="http://schemas.openxmlformats.org/officeDocument/2006/custom-properties" xmlns:vt="http://schemas.openxmlformats.org/officeDocument/2006/docPropsVTypes"/>
</file>