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left w:val="none"/>
              <w:bottom w:val="none"/>
              <w:right w:val="none"/>
            </w:tcBorders>
            <w:shd w:fill="1A1A1A" w:val="clear"/>
            <w:tcMar>
              <w:top w:type="dxa" w:w="2880"/>
              <w:left w:type="dxa" w:w="1440"/>
              <w:bottom w:type="dxa" w:w="720"/>
              <w:right w:type="dxa" w:w="1440"/>
            </w:tcMar>
            <w:vAlign w:val="center"/>
          </w:tcPr>
          <w:p>
            <w:pPr>
              <w:spacing w:after="200" w:before="0"/>
            </w:pPr>
            <w:r>
              <w:rPr>
                <w:rFonts w:ascii="Montserrat" w:cs="Montserrat" w:eastAsia="Montserrat" w:hAnsi="Montserrat"/>
                <w:b/>
                <w:bCs/>
                <w:color w:val="AEBC46"/>
                <w:sz w:val="28"/>
                <w:szCs w:val="28"/>
              </w:rPr>
              <w:t xml:space="preserve">OLEADEV</w:t>
            </w:r>
          </w:p>
          <w:p>
            <w:pPr>
              <w:pBdr>
                <w:bottom w:val="single" w:color="AEBC46" w:sz="8" w:space="8"/>
              </w:pBdr>
              <w:spacing w:after="40" w:before="0"/>
            </w:pPr>
          </w:p>
          <w:p>
            <w:pPr>
              <w:spacing w:after="120" w:before="300"/>
            </w:pPr>
            <w:r>
              <w:rPr>
                <w:rFonts w:ascii="Montserrat" w:cs="Montserrat" w:eastAsia="Montserrat" w:hAnsi="Montserrat"/>
                <w:b/>
                <w:bCs/>
                <w:color w:val="FFFFFF"/>
                <w:sz w:val="52"/>
                <w:szCs w:val="52"/>
              </w:rPr>
              <w:t xml:space="preserve">Toronto Development Approvals</w:t>
            </w:r>
          </w:p>
          <w:p>
            <w:pPr>
              <w:spacing w:after="80" w:before="0"/>
            </w:pPr>
            <w:r>
              <w:rPr>
                <w:rFonts w:ascii="Montserrat" w:cs="Montserrat" w:eastAsia="Montserrat" w:hAnsi="Montserrat"/>
                <w:color w:val="888888"/>
                <w:sz w:val="30"/>
                <w:szCs w:val="30"/>
              </w:rPr>
              <w:t xml:space="preserve">Timeline, Budget &amp; Risk Reference for Mid-Rise and High-Rise Development</w:t>
            </w:r>
          </w:p>
          <w:p>
            <w:pPr>
              <w:spacing w:after="80" w:before="80"/>
            </w:pPr>
            <w:r>
              <w:rPr>
                <w:rFonts w:ascii="Montserrat" w:cs="Montserrat" w:eastAsia="Montserrat" w:hAnsi="Montserrat"/>
                <w:color w:val="888888"/>
                <w:sz w:val="22"/>
                <w:szCs w:val="22"/>
              </w:rPr>
              <w:t xml:space="preserve">ZBA • SPA • Minor Variance • Development Charges • Construction Transition</w:t>
            </w:r>
          </w:p>
          <w:p>
            <w:pPr>
              <w:spacing w:after="80" w:before="60"/>
            </w:pPr>
            <w:r>
              <w:rPr>
                <w:rFonts w:ascii="Montserrat" w:cs="Montserrat" w:eastAsia="Montserrat" w:hAnsi="Montserrat"/>
                <w:b/>
                <w:bCs/>
                <w:color w:val="AEBC46"/>
                <w:sz w:val="24"/>
                <w:szCs w:val="24"/>
              </w:rPr>
              <w:t xml:space="preserve">Guidance Document for EstateBuilder.ai Pro-Forma Engine</w:t>
            </w:r>
          </w:p>
          <w:p>
            <w:pPr>
              <w:spacing w:after="0" w:before="400"/>
            </w:pPr>
            <w:r>
              <w:rPr>
                <w:rFonts w:ascii="Montserrat" w:cs="Montserrat" w:eastAsia="Montserrat" w:hAnsi="Montserrat"/>
                <w:color w:val="888888"/>
                <w:sz w:val="22"/>
                <w:szCs w:val="22"/>
              </w:rPr>
              <w:t xml:space="preserve">Toronto, Ontario  |  April 2026  |  Confidential</w:t>
            </w:r>
          </w:p>
        </w:tc>
      </w:tr>
    </w:tbl>
    <w:p>
      <w:pPr>
        <w:sectPr>
          <w:pgSz w:w="12240" w:h="15840" w:orient="portrait"/>
          <w:pgMar w:top="0" w:right="0" w:bottom="0" w:left="0" w:header="708" w:footer="708" w:gutter="0"/>
          <w:pgNumType/>
          <w:docGrid w:linePitch="360"/>
        </w:sectPr>
      </w:pPr>
    </w:p>
    <w:p>
      <w:pPr>
        <w:spacing w:after="80" w:before="320"/>
      </w:pPr>
      <w:r>
        <w:rPr>
          <w:rFonts w:ascii="Montserrat" w:cs="Montserrat" w:eastAsia="Montserrat" w:hAnsi="Montserrat"/>
          <w:b/>
          <w:bCs/>
          <w:color w:val="AEBC46"/>
          <w:sz w:val="18"/>
          <w:szCs w:val="18"/>
        </w:rPr>
        <w:t xml:space="preserve">EXECUTIVE SUMMARY</w:t>
      </w:r>
    </w:p>
    <w:p>
      <w:pPr>
        <w:pStyle w:val="Heading1"/>
      </w:pPr>
      <w:r>
        <w:rPr>
          <w:rFonts w:ascii="Montserrat" w:cs="Montserrat" w:eastAsia="Montserrat" w:hAnsi="Montserrat"/>
          <w:b/>
          <w:bCs/>
          <w:color w:val="2D2D2D"/>
          <w:sz w:val="44"/>
          <w:szCs w:val="44"/>
        </w:rPr>
        <w:t xml:space="preserve">Executive Summary</w:t>
      </w:r>
    </w:p>
    <w:p>
      <w:pPr>
        <w:spacing w:after="100" w:before="100"/>
      </w:pPr>
      <w:r>
        <w:rPr>
          <w:rFonts w:ascii="Montserrat" w:cs="Montserrat" w:eastAsia="Montserrat" w:hAnsi="Montserrat"/>
          <w:color w:val="2D2D2D"/>
          <w:sz w:val="22"/>
          <w:szCs w:val="22"/>
        </w:rPr>
        <w:t xml:space="preserve">This document is the canonical planning-approvals and cost reference for the EstateBuilder.ai pro-forma engine. It encodes the legislative framework, current fee schedules, development charge rates, approval timelines, and risk profiles that govern mid-rise (5–14 storeys) and high-rise (15–65+ storeys) residential development in the City of Toronto as of April 2026. Every table in this document is designed to be machine-readable by the pro-forma calculator — the engine should pull DC rates, application fees, timeline assumptions, and risk multipliers directly from these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Data sources: City of Toronto 2026 Fee Schedules (effective Jan 1, 2026, +4.82% COLA); City of Toronto DC Rates (effective June 26, 2025, By-law 1347-2022 as amended, indexing frozen for 2025-2026 per Council); Bill 185, Cutting Red Tape to Build More Homes Act, 2024 (Royal Assent June 6, 2024); OPA 688; Tall Building Design Guidelines (2013); Mid-Rise Performance Standards (November 2024 update); Provincial MTSA/PMTSA density rules (August 2025). The user should also consult the official DC rates PDF at: toronto.ca/wp-content/uploads/2025/08/9709-DC-Rates-June-26-2025.pdf</w:t>
            </w:r>
          </w:p>
        </w:tc>
      </w:tr>
    </w:tbl>
    <w:p>
      <w:r>
        <w:br w:type="page"/>
      </w:r>
    </w:p>
    <w:p>
      <w:pPr>
        <w:spacing w:after="80" w:before="320"/>
      </w:pPr>
      <w:r>
        <w:rPr>
          <w:rFonts w:ascii="Montserrat" w:cs="Montserrat" w:eastAsia="Montserrat" w:hAnsi="Montserrat"/>
          <w:b/>
          <w:bCs/>
          <w:color w:val="AEBC46"/>
          <w:sz w:val="18"/>
          <w:szCs w:val="18"/>
        </w:rPr>
        <w:t xml:space="preserve">SECTION 1 — DEVELOPMENT CHARGES</w:t>
      </w:r>
    </w:p>
    <w:p>
      <w:pPr>
        <w:pStyle w:val="Heading1"/>
      </w:pPr>
      <w:r>
        <w:rPr>
          <w:rFonts w:ascii="Montserrat" w:cs="Montserrat" w:eastAsia="Montserrat" w:hAnsi="Montserrat"/>
          <w:b/>
          <w:bCs/>
          <w:color w:val="2D2D2D"/>
          <w:sz w:val="44"/>
          <w:szCs w:val="44"/>
        </w:rPr>
        <w:t xml:space="preserve">Development Charges: Current Rates &amp; Structure</w:t>
      </w:r>
    </w:p>
    <w:p>
      <w:pPr>
        <w:pStyle w:val="Heading2"/>
      </w:pPr>
      <w:r>
        <w:rPr>
          <w:rFonts w:ascii="Montserrat" w:cs="Montserrat" w:eastAsia="Montserrat" w:hAnsi="Montserrat"/>
          <w:b/>
          <w:bCs/>
          <w:color w:val="2D2D2D"/>
          <w:sz w:val="34"/>
          <w:szCs w:val="34"/>
        </w:rPr>
        <w:t xml:space="preserve">1.1  Non-Rental Residential DC Rates</w:t>
      </w:r>
    </w:p>
    <w:p>
      <w:pPr>
        <w:spacing w:after="100" w:before="100"/>
      </w:pPr>
      <w:r>
        <w:rPr>
          <w:rFonts w:ascii="Montserrat" w:cs="Montserrat" w:eastAsia="Montserrat" w:hAnsi="Montserrat"/>
          <w:color w:val="2D2D2D"/>
          <w:sz w:val="22"/>
          <w:szCs w:val="22"/>
        </w:rPr>
        <w:t xml:space="preserve">The following rates are effective June 26, 2025 under By-law 1347-2022 as amended. Council removed indexing for 2025 and 2026, freezing rates at these levels. DCs are payable upon issuance of an occupancy permit for non-rental residential development. Exemptions exist for the 2nd through 6th unit in developments of up to 6 units (effective July 24,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DWELLING TYPE</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DC PER UNIT</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PRO-FORMA KEY</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Single &amp; Semi-Detached</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$137,846</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AEBC46"/>
                <w:sz w:val="18"/>
                <w:szCs w:val="18"/>
              </w:rPr>
              <w:t xml:space="preserve">P.pf.dcSingle</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Multiples / Row / Townhouse</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$107,070*</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AEBC46"/>
                <w:sz w:val="18"/>
                <w:szCs w:val="18"/>
              </w:rPr>
              <w:t xml:space="preserve">P.pf.dcRow</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Apartments — 2+ Bedrooms</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$80,218</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AEBC46"/>
                <w:sz w:val="18"/>
                <w:szCs w:val="18"/>
              </w:rPr>
              <w:t xml:space="preserve">P.pf.dcApt2Bed</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Apartments — Bachelor &amp; 1-Bedroom</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$52,676</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AEBC46"/>
                <w:sz w:val="18"/>
                <w:szCs w:val="18"/>
              </w:rPr>
              <w:t xml:space="preserve">P.pf.dcAptBach1Bed</w:t>
            </w:r>
          </w:p>
        </w:tc>
      </w:tr>
    </w:tbl>
    <w:p>
      <w:pPr>
        <w:spacing w:after="80" w:before="60"/>
      </w:pPr>
      <w:r>
        <w:rPr>
          <w:rFonts w:ascii="Montserrat" w:cs="Montserrat" w:eastAsia="Montserrat" w:hAnsi="Montserrat"/>
          <w:color w:val="888888"/>
          <w:sz w:val="18"/>
          <w:szCs w:val="18"/>
        </w:rPr>
        <w:t xml:space="preserve">* Row/Townhouse rate is interpolated from the By-law schedule; verify against the official PDF at </w:t>
      </w:r>
      <w:r>
        <w:rPr>
          <w:rFonts w:ascii="Montserrat" w:cs="Montserrat" w:eastAsia="Montserrat" w:hAnsi="Montserrat"/>
          <w:b/>
          <w:bCs/>
          <w:color w:val="AEBC46"/>
          <w:sz w:val="18"/>
          <w:szCs w:val="18"/>
        </w:rPr>
        <w:t xml:space="preserve">toronto.ca/wp-content/uploads/2025/08/9709-DC-Rates-June-26-2025.pdf</w:t>
      </w:r>
      <w:r>
        <w:rPr>
          <w:rFonts w:ascii="Montserrat" w:cs="Montserrat" w:eastAsia="Montserrat" w:hAnsi="Montserrat"/>
          <w:color w:val="888888"/>
          <w:sz w:val="18"/>
          <w:szCs w:val="18"/>
        </w:rPr>
        <w:t xml:space="preserve"> for the exact figure.</w:t>
      </w:r>
    </w:p>
    <w:p>
      <w:pPr>
        <w:pStyle w:val="Heading2"/>
      </w:pPr>
      <w:r>
        <w:rPr>
          <w:rFonts w:ascii="Montserrat" w:cs="Montserrat" w:eastAsia="Montserrat" w:hAnsi="Montserrat"/>
          <w:b/>
          <w:bCs/>
          <w:color w:val="2D2D2D"/>
          <w:sz w:val="34"/>
          <w:szCs w:val="34"/>
        </w:rPr>
        <w:t xml:space="preserve">1.2  DC Service Category Breakdown (Approximate Distribution)</w:t>
      </w:r>
    </w:p>
    <w:p>
      <w:pPr>
        <w:spacing w:after="100" w:before="100"/>
      </w:pPr>
      <w:r>
        <w:rPr>
          <w:rFonts w:ascii="Montserrat" w:cs="Montserrat" w:eastAsia="Montserrat" w:hAnsi="Montserrat"/>
          <w:color w:val="2D2D2D"/>
          <w:sz w:val="22"/>
          <w:szCs w:val="22"/>
        </w:rPr>
        <w:t xml:space="preserve">Toronto DCs are composed of charges across multiple service categories. The approximate distribution (based on the 2022 DC Background Study and subsequent amendments) is as follows. These proportions apply uniformly across all residential unit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SERVICE CATEGORY</w:t>
            </w:r>
          </w:p>
        </w:tc>
        <w:tc>
          <w:tcPr>
            <w:tcW w:type="dxa" w:w="26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 OF TOTAL DC</w:t>
            </w:r>
          </w:p>
        </w:tc>
        <w:tc>
          <w:tcPr>
            <w:tcW w:type="dxa" w:w="26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EST. $/UNIT (2+BED APT)</w:t>
            </w:r>
          </w:p>
        </w:tc>
      </w:tr>
      <w:tr>
        <w:tc>
          <w:tcPr>
            <w:tcW w:type="dxa" w:w="4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Subway &amp; Transit</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~38%</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~$30,483</w:t>
            </w:r>
          </w:p>
        </w:tc>
      </w:tr>
      <w:tr>
        <w:tc>
          <w:tcPr>
            <w:tcW w:type="dxa" w:w="4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Roads &amp; Related</w:t>
            </w:r>
          </w:p>
        </w:tc>
        <w:tc>
          <w:tcPr>
            <w:tcW w:type="dxa" w:w="26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~14%</w:t>
            </w:r>
          </w:p>
        </w:tc>
        <w:tc>
          <w:tcPr>
            <w:tcW w:type="dxa" w:w="26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~$11,231</w:t>
            </w:r>
          </w:p>
        </w:tc>
      </w:tr>
      <w:tr>
        <w:tc>
          <w:tcPr>
            <w:tcW w:type="dxa" w:w="4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Water Supply</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~$6,417</w:t>
            </w:r>
          </w:p>
        </w:tc>
      </w:tr>
      <w:tr>
        <w:tc>
          <w:tcPr>
            <w:tcW w:type="dxa" w:w="4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Sanitary Sewer</w:t>
            </w:r>
          </w:p>
        </w:tc>
        <w:tc>
          <w:tcPr>
            <w:tcW w:type="dxa" w:w="26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~7%</w:t>
            </w:r>
          </w:p>
        </w:tc>
        <w:tc>
          <w:tcPr>
            <w:tcW w:type="dxa" w:w="26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~$5,615</w:t>
            </w:r>
          </w:p>
        </w:tc>
      </w:tr>
      <w:tr>
        <w:tc>
          <w:tcPr>
            <w:tcW w:type="dxa" w:w="4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Stormwater Management</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~$3,209</w:t>
            </w:r>
          </w:p>
        </w:tc>
      </w:tr>
      <w:tr>
        <w:tc>
          <w:tcPr>
            <w:tcW w:type="dxa" w:w="4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Parks &amp; Recreation</w:t>
            </w:r>
          </w:p>
        </w:tc>
        <w:tc>
          <w:tcPr>
            <w:tcW w:type="dxa" w:w="26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w:t>
            </w:r>
          </w:p>
        </w:tc>
        <w:tc>
          <w:tcPr>
            <w:tcW w:type="dxa" w:w="26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~$9,626</w:t>
            </w:r>
          </w:p>
        </w:tc>
      </w:tr>
      <w:tr>
        <w:tc>
          <w:tcPr>
            <w:tcW w:type="dxa" w:w="4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Library, Fire, Police, EMS, Childcare, Shelter</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~17%</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~$13,637</w:t>
            </w:r>
          </w:p>
        </w:tc>
      </w:tr>
      <w:tr>
        <w:tc>
          <w:tcPr>
            <w:tcW w:type="dxa" w:w="4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TOTAL</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100%</w:t>
            </w:r>
          </w:p>
        </w:tc>
        <w:tc>
          <w:tcPr>
            <w:tcW w:type="dxa" w:w="26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$80,218</w:t>
            </w:r>
          </w:p>
        </w:tc>
      </w:tr>
    </w:tbl>
    <w:p>
      <w:pPr>
        <w:pStyle w:val="Heading2"/>
      </w:pPr>
      <w:r>
        <w:rPr>
          <w:rFonts w:ascii="Montserrat" w:cs="Montserrat" w:eastAsia="Montserrat" w:hAnsi="Montserrat"/>
          <w:b/>
          <w:bCs/>
          <w:color w:val="2D2D2D"/>
          <w:sz w:val="34"/>
          <w:szCs w:val="34"/>
        </w:rPr>
        <w:t xml:space="preserve">1.3  Bill 185 Impact on Development Charges</w:t>
      </w:r>
    </w:p>
    <w:p>
      <w:pPr>
        <w:spacing w:after="100" w:before="100"/>
      </w:pPr>
      <w:r>
        <w:rPr>
          <w:rFonts w:ascii="Montserrat" w:cs="Montserrat" w:eastAsia="Montserrat" w:hAnsi="Montserrat"/>
          <w:color w:val="2D2D2D"/>
          <w:sz w:val="22"/>
          <w:szCs w:val="22"/>
        </w:rPr>
        <w:t xml:space="preserve">Bill 185 (Cutting Red Tape to Build More Homes Act, 2024, Royal Assent June 6, 2024) made three critical changes to the DC regime:</w:t>
      </w:r>
    </w:p>
    <w:p>
      <w:pPr>
        <w:pStyle w:val="ListParagraph"/>
        <w:numPr>
          <w:ilvl w:val="0"/>
          <w:numId w:val="2"/>
        </w:numPr>
        <w:spacing w:after="40" w:before="40"/>
      </w:pPr>
      <w:r>
        <w:rPr>
          <w:rFonts w:ascii="Montserrat" w:cs="Montserrat" w:eastAsia="Montserrat" w:hAnsi="Montserrat"/>
          <w:color w:val="2D2D2D"/>
          <w:sz w:val="22"/>
          <w:szCs w:val="22"/>
        </w:rPr>
        <w:t xml:space="preserve">Repealed the 5-year DC phase-in from Bill 23. Under Bill 23, DCs were discounted 20% in Year 1, 15% in Year 2, 10% in Year 3, 5% in Year 4, full rate in Year 5. Bill 185 restored full rates immediately for all DCs imposed after June 6, 2024.</w:t>
      </w:r>
    </w:p>
    <w:p>
      <w:pPr>
        <w:pStyle w:val="ListParagraph"/>
        <w:numPr>
          <w:ilvl w:val="0"/>
          <w:numId w:val="2"/>
        </w:numPr>
        <w:spacing w:after="40" w:before="40"/>
      </w:pPr>
      <w:r>
        <w:rPr>
          <w:rFonts w:ascii="Montserrat" w:cs="Montserrat" w:eastAsia="Montserrat" w:hAnsi="Montserrat"/>
          <w:color w:val="2D2D2D"/>
          <w:sz w:val="22"/>
          <w:szCs w:val="22"/>
        </w:rPr>
        <w:t xml:space="preserve">Reinstated study costs as an eligible capital cost for DCs, enabling municipalities to incorporate background study expenses into the DC calculation.</w:t>
      </w:r>
    </w:p>
    <w:p>
      <w:pPr>
        <w:pStyle w:val="ListParagraph"/>
        <w:numPr>
          <w:ilvl w:val="0"/>
          <w:numId w:val="2"/>
        </w:numPr>
        <w:spacing w:after="40" w:before="40"/>
      </w:pPr>
      <w:r>
        <w:rPr>
          <w:rFonts w:ascii="Montserrat" w:cs="Montserrat" w:eastAsia="Montserrat" w:hAnsi="Montserrat"/>
          <w:color w:val="2D2D2D"/>
          <w:sz w:val="22"/>
          <w:szCs w:val="22"/>
        </w:rPr>
        <w:t xml:space="preserve">Transition rule: DCs imposed between November 28, 2022 and June 6, 2024 remain subject to the original phase-in. Only post-June 6, 2024 DCs are at full rate.</w:t>
      </w:r>
    </w:p>
    <w:p>
      <w:pPr>
        <w:pStyle w:val="Heading2"/>
      </w:pPr>
      <w:r>
        <w:rPr>
          <w:rFonts w:ascii="Montserrat" w:cs="Montserrat" w:eastAsia="Montserrat" w:hAnsi="Montserrat"/>
          <w:b/>
          <w:bCs/>
          <w:color w:val="2D2D2D"/>
          <w:sz w:val="34"/>
          <w:szCs w:val="34"/>
        </w:rPr>
        <w:t xml:space="preserve">1.4  Pro-Forma DC Estimation by Typology</w:t>
      </w:r>
    </w:p>
    <w:p>
      <w:pPr>
        <w:spacing w:after="100" w:before="100"/>
      </w:pPr>
      <w:r>
        <w:rPr>
          <w:rFonts w:ascii="Montserrat" w:cs="Montserrat" w:eastAsia="Montserrat" w:hAnsi="Montserrat"/>
          <w:color w:val="2D2D2D"/>
          <w:sz w:val="22"/>
          <w:szCs w:val="22"/>
        </w:rPr>
        <w:t xml:space="preserve">The following table shows estimated total DC exposure for common Toronto development typologies. The pro-forma engine should use the unit-mix breakdown to calculate DCs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1200"/>
        <w:gridCol w:w="1400"/>
        <w:gridCol w:w="1460"/>
      </w:tblGrid>
      <w:tr>
        <w:tc>
          <w:tcPr>
            <w:tcW w:type="dxa" w:w="2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TYPOLOGY</w:t>
            </w:r>
          </w:p>
        </w:tc>
        <w:tc>
          <w:tcPr>
            <w:tcW w:type="dxa" w:w="15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UNITS</w:t>
            </w:r>
          </w:p>
        </w:tc>
        <w:tc>
          <w:tcPr>
            <w:tcW w:type="dxa" w:w="1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BACH/1BR</w:t>
            </w:r>
          </w:p>
        </w:tc>
        <w:tc>
          <w:tcPr>
            <w:tcW w:type="dxa" w:w="1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2+BR</w:t>
            </w:r>
          </w:p>
        </w:tc>
        <w:tc>
          <w:tcPr>
            <w:tcW w:type="dxa" w:w="14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BLENDED/UNIT</w:t>
            </w:r>
          </w:p>
        </w:tc>
        <w:tc>
          <w:tcPr>
            <w:tcW w:type="dxa" w:w="14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TOTAL DCS</w:t>
            </w:r>
          </w:p>
        </w:tc>
      </w:tr>
      <w:tr>
        <w:tc>
          <w:tcPr>
            <w:tcW w:type="dxa" w:w="2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Mid-Rise (8-storey, 60 units)</w:t>
            </w:r>
          </w:p>
        </w:tc>
        <w:tc>
          <w:tcPr>
            <w:tcW w:type="dxa" w:w="1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w:t>
            </w:r>
          </w:p>
        </w:tc>
        <w:tc>
          <w:tcPr>
            <w:tcW w:type="dxa" w:w="1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 (58%)</w:t>
            </w:r>
          </w:p>
        </w:tc>
        <w:tc>
          <w:tcPr>
            <w:tcW w:type="dxa" w:w="1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 (42%)</w:t>
            </w:r>
          </w:p>
        </w:tc>
        <w:tc>
          <w:tcPr>
            <w:tcW w:type="dxa" w:w="1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$63,872</w:t>
            </w:r>
          </w:p>
        </w:tc>
        <w:tc>
          <w:tcPr>
            <w:tcW w:type="dxa" w:w="14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$3.83M</w:t>
            </w:r>
          </w:p>
        </w:tc>
      </w:tr>
      <w:tr>
        <w:tc>
          <w:tcPr>
            <w:tcW w:type="dxa" w:w="2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Mid-Rise (12-storey, 120 units)</w:t>
            </w:r>
          </w:p>
        </w:tc>
        <w:tc>
          <w:tcPr>
            <w:tcW w:type="dxa" w:w="1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120</w:t>
            </w:r>
          </w:p>
        </w:tc>
        <w:tc>
          <w:tcPr>
            <w:tcW w:type="dxa" w:w="1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75 (63%)</w:t>
            </w:r>
          </w:p>
        </w:tc>
        <w:tc>
          <w:tcPr>
            <w:tcW w:type="dxa" w:w="1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45 (37%)</w:t>
            </w:r>
          </w:p>
        </w:tc>
        <w:tc>
          <w:tcPr>
            <w:tcW w:type="dxa" w:w="14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$62,847</w:t>
            </w:r>
          </w:p>
        </w:tc>
        <w:tc>
          <w:tcPr>
            <w:tcW w:type="dxa" w:w="14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$7.54M</w:t>
            </w:r>
          </w:p>
        </w:tc>
      </w:tr>
      <w:tr>
        <w:tc>
          <w:tcPr>
            <w:tcW w:type="dxa" w:w="2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High-Rise (25-storey, 250 units)</w:t>
            </w:r>
          </w:p>
        </w:tc>
        <w:tc>
          <w:tcPr>
            <w:tcW w:type="dxa" w:w="1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250</w:t>
            </w:r>
          </w:p>
        </w:tc>
        <w:tc>
          <w:tcPr>
            <w:tcW w:type="dxa" w:w="1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160 (64%)</w:t>
            </w:r>
          </w:p>
        </w:tc>
        <w:tc>
          <w:tcPr>
            <w:tcW w:type="dxa" w:w="1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90 (36%)</w:t>
            </w:r>
          </w:p>
        </w:tc>
        <w:tc>
          <w:tcPr>
            <w:tcW w:type="dxa" w:w="1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$62,572</w:t>
            </w:r>
          </w:p>
        </w:tc>
        <w:tc>
          <w:tcPr>
            <w:tcW w:type="dxa" w:w="14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$15.64M</w:t>
            </w:r>
          </w:p>
        </w:tc>
      </w:tr>
      <w:tr>
        <w:tc>
          <w:tcPr>
            <w:tcW w:type="dxa" w:w="2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High-Rise (40-storey, 350 units)</w:t>
            </w:r>
          </w:p>
        </w:tc>
        <w:tc>
          <w:tcPr>
            <w:tcW w:type="dxa" w:w="1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350</w:t>
            </w:r>
          </w:p>
        </w:tc>
        <w:tc>
          <w:tcPr>
            <w:tcW w:type="dxa" w:w="1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210 (60%)</w:t>
            </w:r>
          </w:p>
        </w:tc>
        <w:tc>
          <w:tcPr>
            <w:tcW w:type="dxa" w:w="1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140 (40%)</w:t>
            </w:r>
          </w:p>
        </w:tc>
        <w:tc>
          <w:tcPr>
            <w:tcW w:type="dxa" w:w="14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$63,693</w:t>
            </w:r>
          </w:p>
        </w:tc>
        <w:tc>
          <w:tcPr>
            <w:tcW w:type="dxa" w:w="14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$22.29M</w:t>
            </w:r>
          </w:p>
        </w:tc>
      </w:tr>
      <w:tr>
        <w:tc>
          <w:tcPr>
            <w:tcW w:type="dxa" w:w="2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Tall Tower (55-storey, 500 units)</w:t>
            </w:r>
          </w:p>
        </w:tc>
        <w:tc>
          <w:tcPr>
            <w:tcW w:type="dxa" w:w="1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500</w:t>
            </w:r>
          </w:p>
        </w:tc>
        <w:tc>
          <w:tcPr>
            <w:tcW w:type="dxa" w:w="1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320 (64%)</w:t>
            </w:r>
          </w:p>
        </w:tc>
        <w:tc>
          <w:tcPr>
            <w:tcW w:type="dxa" w:w="1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180 (36%)</w:t>
            </w:r>
          </w:p>
        </w:tc>
        <w:tc>
          <w:tcPr>
            <w:tcW w:type="dxa" w:w="1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$62,572</w:t>
            </w:r>
          </w:p>
        </w:tc>
        <w:tc>
          <w:tcPr>
            <w:tcW w:type="dxa" w:w="14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$31.29M</w:t>
            </w:r>
          </w:p>
        </w:tc>
      </w:tr>
    </w:tbl>
    <w:p>
      <w:pPr>
        <w:pStyle w:val="Heading2"/>
      </w:pPr>
      <w:r>
        <w:rPr>
          <w:rFonts w:ascii="Montserrat" w:cs="Montserrat" w:eastAsia="Montserrat" w:hAnsi="Montserrat"/>
          <w:b/>
          <w:bCs/>
          <w:color w:val="2D2D2D"/>
          <w:sz w:val="34"/>
          <w:szCs w:val="34"/>
        </w:rPr>
        <w:t xml:space="preserve">1.5  Rental &amp; Institutional DC Rates</w:t>
      </w:r>
    </w:p>
    <w:p>
      <w:pPr>
        <w:spacing w:after="100" w:before="100"/>
      </w:pPr>
      <w:r>
        <w:rPr>
          <w:rFonts w:ascii="Montserrat" w:cs="Montserrat" w:eastAsia="Montserrat" w:hAnsi="Montserrat"/>
          <w:color w:val="2D2D2D"/>
          <w:sz w:val="22"/>
          <w:szCs w:val="22"/>
        </w:rPr>
        <w:t xml:space="preserve">Rental residential development and institutional (non-profit) development are subject to reduced DC rates. Council may also provide full or partial exemptions by by-law. As of 2025, purpose-built rental projects may qualify for a 37.5% reduction from the non-rental rates. The pro-forma engine should apply a rental discount factor of 0.625 to the non-rental rates when the project type is set to 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EstateBuilder.ai integration: The pro-forma engine should store DC rates as P.pf.dcAptBach1Bed = 52676, P.pf.dcApt2Bed = 80218, P.pf.dcRow = 107070, P.pf.dcSingle = 137846. Total DCs = sum of (units_by_type * rate_by_type). For rental projects, multiply each rate by 0.625. Rates frozen through 2026 (no indexing). Check for updates at toronto.ca DC rates page for 2027+ rates.</w:t>
            </w:r>
          </w:p>
        </w:tc>
      </w:tr>
    </w:tbl>
    <w:p>
      <w:r>
        <w:br w:type="page"/>
      </w:r>
    </w:p>
    <w:p>
      <w:pPr>
        <w:spacing w:after="80" w:before="320"/>
      </w:pPr>
      <w:r>
        <w:rPr>
          <w:rFonts w:ascii="Montserrat" w:cs="Montserrat" w:eastAsia="Montserrat" w:hAnsi="Montserrat"/>
          <w:b/>
          <w:bCs/>
          <w:color w:val="AEBC46"/>
          <w:sz w:val="18"/>
          <w:szCs w:val="18"/>
        </w:rPr>
        <w:t xml:space="preserve">SECTION 2 — APPLICATION FEES</w:t>
      </w:r>
    </w:p>
    <w:p>
      <w:pPr>
        <w:pStyle w:val="Heading1"/>
      </w:pPr>
      <w:r>
        <w:rPr>
          <w:rFonts w:ascii="Montserrat" w:cs="Montserrat" w:eastAsia="Montserrat" w:hAnsi="Montserrat"/>
          <w:b/>
          <w:bCs/>
          <w:color w:val="2D2D2D"/>
          <w:sz w:val="44"/>
          <w:szCs w:val="44"/>
        </w:rPr>
        <w:t xml:space="preserve">Planning Application Fees (2026 Schedule)</w:t>
      </w:r>
    </w:p>
    <w:p>
      <w:pPr>
        <w:spacing w:after="100" w:before="100"/>
      </w:pPr>
      <w:r>
        <w:rPr>
          <w:rFonts w:ascii="Montserrat" w:cs="Montserrat" w:eastAsia="Montserrat" w:hAnsi="Montserrat"/>
          <w:color w:val="2D2D2D"/>
          <w:sz w:val="22"/>
          <w:szCs w:val="22"/>
        </w:rPr>
        <w:t xml:space="preserve">All fees effective January 1, 2026. Reflect 4.82% COLA over 2025 rates. These are City of Toronto fees only; peer review deposits, required studies, and consultant fees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APPLICATION TYPE</w:t>
            </w:r>
          </w:p>
        </w:tc>
        <w:tc>
          <w:tcPr>
            <w:tcW w:type="dxa" w:w="18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BASE FEE</w:t>
            </w:r>
          </w:p>
        </w:tc>
        <w:tc>
          <w:tcPr>
            <w:tcW w:type="dxa" w:w="23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VARIABLE COMPONENT</w:t>
            </w:r>
          </w:p>
        </w:tc>
        <w:tc>
          <w:tcPr>
            <w:tcW w:type="dxa" w:w="23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TYPICAL TOTAL</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Zoning By-law Amendment (ZBA)</w:t>
            </w:r>
          </w:p>
        </w:tc>
        <w:tc>
          <w:tcPr>
            <w:tcW w:type="dxa" w:w="1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$63,679+</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Per-unit surcharge; varies by proposal scope</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$80K–$120K (mid-rise) / $100K–$180K (high-rise)</w:t>
            </w:r>
          </w:p>
        </w:tc>
      </w:tr>
      <w:tr>
        <w:tc>
          <w:tcPr>
            <w:tcW w:type="dxa" w:w="2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OPA + ZBA Combined</w:t>
            </w:r>
          </w:p>
        </w:tc>
        <w:tc>
          <w:tcPr>
            <w:tcW w:type="dxa" w:w="1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$76,251+</w:t>
            </w:r>
          </w:p>
        </w:tc>
        <w:tc>
          <w:tcPr>
            <w:tcW w:type="dxa" w:w="23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Per-unit surcharges for both</w:t>
            </w:r>
          </w:p>
        </w:tc>
        <w:tc>
          <w:tcPr>
            <w:tcW w:type="dxa" w:w="23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$120K–$250K</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Site Plan Approval (SPA)</w:t>
            </w:r>
          </w:p>
        </w:tc>
        <w:tc>
          <w:tcPr>
            <w:tcW w:type="dxa" w:w="1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$43,605</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 $5.37/m² residential GFA; max $621,373</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$60K–$200K (mid-rise) / $150K–$500K (high-rise)</w:t>
            </w:r>
          </w:p>
        </w:tc>
      </w:tr>
      <w:tr>
        <w:tc>
          <w:tcPr>
            <w:tcW w:type="dxa" w:w="2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Minor Variance (CoA)</w:t>
            </w:r>
          </w:p>
        </w:tc>
        <w:tc>
          <w:tcPr>
            <w:tcW w:type="dxa" w:w="1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$2,228 each</w:t>
            </w:r>
          </w:p>
        </w:tc>
        <w:tc>
          <w:tcPr>
            <w:tcW w:type="dxa" w:w="23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Per variance; typically 2–6 variances</w:t>
            </w:r>
          </w:p>
        </w:tc>
        <w:tc>
          <w:tcPr>
            <w:tcW w:type="dxa" w:w="23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$4,456–$13,368</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Pre-Application Consultation (PAC)</w:t>
            </w:r>
          </w:p>
        </w:tc>
        <w:tc>
          <w:tcPr>
            <w:tcW w:type="dxa" w:w="1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$5,000–$8,000</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Non-refundable; credited toward ZBA fee</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$5K–$8K</w:t>
            </w:r>
          </w:p>
        </w:tc>
      </w:tr>
      <w:tr>
        <w:tc>
          <w:tcPr>
            <w:tcW w:type="dxa" w:w="2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TLAB Appeal Filing</w:t>
            </w:r>
          </w:p>
        </w:tc>
        <w:tc>
          <w:tcPr>
            <w:tcW w:type="dxa" w:w="1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$300 each</w:t>
            </w:r>
          </w:p>
        </w:tc>
        <w:tc>
          <w:tcPr>
            <w:tcW w:type="dxa" w:w="23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Legal costs: $50K–$150K per appeal</w:t>
            </w:r>
          </w:p>
        </w:tc>
        <w:tc>
          <w:tcPr>
            <w:tcW w:type="dxa" w:w="23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$50K–$150K (legal)</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OLT Appeal (ZBA non-decision)</w:t>
            </w:r>
          </w:p>
        </w:tc>
        <w:tc>
          <w:tcPr>
            <w:tcW w:type="dxa" w:w="1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$1,100+</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Legal + expert witnesses: $200K–$500K</w:t>
            </w:r>
          </w:p>
        </w:tc>
        <w:tc>
          <w:tcPr>
            <w:tcW w:type="dxa" w:w="23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$200K–$500K (legal + experts)</w:t>
            </w:r>
          </w:p>
        </w:tc>
      </w:tr>
    </w:tbl>
    <w:p>
      <w:r>
        <w:br w:type="page"/>
      </w:r>
    </w:p>
    <w:p>
      <w:pPr>
        <w:spacing w:after="80" w:before="320"/>
      </w:pPr>
      <w:r>
        <w:rPr>
          <w:rFonts w:ascii="Montserrat" w:cs="Montserrat" w:eastAsia="Montserrat" w:hAnsi="Montserrat"/>
          <w:b/>
          <w:bCs/>
          <w:color w:val="AEBC46"/>
          <w:sz w:val="18"/>
          <w:szCs w:val="18"/>
        </w:rPr>
        <w:t xml:space="preserve">SECTION 3 — LEGISLATIVE FRAMEWORK</w:t>
      </w:r>
    </w:p>
    <w:p>
      <w:pPr>
        <w:pStyle w:val="Heading1"/>
      </w:pPr>
      <w:r>
        <w:rPr>
          <w:rFonts w:ascii="Montserrat" w:cs="Montserrat" w:eastAsia="Montserrat" w:hAnsi="Montserrat"/>
          <w:b/>
          <w:bCs/>
          <w:color w:val="2D2D2D"/>
          <w:sz w:val="44"/>
          <w:szCs w:val="44"/>
        </w:rPr>
        <w:t xml:space="preserve">Legislative Framework: Bill 185 &amp; OPA 688</w:t>
      </w:r>
    </w:p>
    <w:p>
      <w:pPr>
        <w:pStyle w:val="Heading2"/>
      </w:pPr>
      <w:r>
        <w:rPr>
          <w:rFonts w:ascii="Montserrat" w:cs="Montserrat" w:eastAsia="Montserrat" w:hAnsi="Montserrat"/>
          <w:b/>
          <w:bCs/>
          <w:color w:val="2D2D2D"/>
          <w:sz w:val="34"/>
          <w:szCs w:val="34"/>
        </w:rPr>
        <w:t xml:space="preserve">3.1  Bill 185 — Key Changes to Planning Act</w:t>
      </w:r>
    </w:p>
    <w:p>
      <w:pPr>
        <w:pStyle w:val="ListParagraph"/>
        <w:numPr>
          <w:ilvl w:val="0"/>
          <w:numId w:val="2"/>
        </w:numPr>
        <w:spacing w:after="40" w:before="40"/>
      </w:pPr>
      <w:r>
        <w:rPr>
          <w:rFonts w:ascii="Montserrat" w:cs="Montserrat" w:eastAsia="Montserrat" w:hAnsi="Montserrat"/>
          <w:color w:val="2D2D2D"/>
          <w:sz w:val="22"/>
          <w:szCs w:val="22"/>
        </w:rPr>
        <w:t xml:space="preserve">Removed mandatory fee refunds for missed statutory timelines (was introduced by Bill 109). Municipalities no longer face financial penalties for slow processing.</w:t>
      </w:r>
    </w:p>
    <w:p>
      <w:pPr>
        <w:pStyle w:val="ListParagraph"/>
        <w:numPr>
          <w:ilvl w:val="0"/>
          <w:numId w:val="2"/>
        </w:numPr>
        <w:spacing w:after="40" w:before="40"/>
      </w:pPr>
      <w:r>
        <w:rPr>
          <w:rFonts w:ascii="Montserrat" w:cs="Montserrat" w:eastAsia="Montserrat" w:hAnsi="Montserrat"/>
          <w:color w:val="2D2D2D"/>
          <w:sz w:val="22"/>
          <w:szCs w:val="22"/>
        </w:rPr>
        <w:t xml:space="preserve">Repealed the 5-year DC phase-in (Bill 23). Full DC rates apply immediately for all charges imposed after June 6, 2024.</w:t>
      </w:r>
    </w:p>
    <w:p>
      <w:pPr>
        <w:pStyle w:val="ListParagraph"/>
        <w:numPr>
          <w:ilvl w:val="0"/>
          <w:numId w:val="2"/>
        </w:numPr>
        <w:spacing w:after="40" w:before="40"/>
      </w:pPr>
      <w:r>
        <w:rPr>
          <w:rFonts w:ascii="Montserrat" w:cs="Montserrat" w:eastAsia="Montserrat" w:hAnsi="Montserrat"/>
          <w:color w:val="2D2D2D"/>
          <w:sz w:val="22"/>
          <w:szCs w:val="22"/>
        </w:rPr>
        <w:t xml:space="preserve">Reinstated study costs as eligible DC capital costs.</w:t>
      </w:r>
    </w:p>
    <w:p>
      <w:pPr>
        <w:pStyle w:val="ListParagraph"/>
        <w:numPr>
          <w:ilvl w:val="0"/>
          <w:numId w:val="2"/>
        </w:numPr>
        <w:spacing w:after="40" w:before="40"/>
      </w:pPr>
      <w:r>
        <w:rPr>
          <w:rFonts w:ascii="Montserrat" w:cs="Montserrat" w:eastAsia="Montserrat" w:hAnsi="Montserrat"/>
          <w:color w:val="2D2D2D"/>
          <w:sz w:val="22"/>
          <w:szCs w:val="22"/>
        </w:rPr>
        <w:t xml:space="preserve">Limited third-party OLT appeals for site plan and plan of subdivision (only the applicant or municipality may appeal). Third-party appeals for ZBA remain available.</w:t>
      </w:r>
    </w:p>
    <w:p>
      <w:pPr>
        <w:pStyle w:val="ListParagraph"/>
        <w:numPr>
          <w:ilvl w:val="0"/>
          <w:numId w:val="2"/>
        </w:numPr>
        <w:spacing w:after="40" w:before="40"/>
      </w:pPr>
      <w:r>
        <w:rPr>
          <w:rFonts w:ascii="Montserrat" w:cs="Montserrat" w:eastAsia="Montserrat" w:hAnsi="Montserrat"/>
          <w:color w:val="2D2D2D"/>
          <w:sz w:val="22"/>
          <w:szCs w:val="22"/>
        </w:rPr>
        <w:t xml:space="preserve">TLAB decisions are now final — no further appeal to Divisional Court on questions of law.</w:t>
      </w:r>
    </w:p>
    <w:p>
      <w:pPr>
        <w:pStyle w:val="Heading2"/>
      </w:pPr>
      <w:r>
        <w:rPr>
          <w:rFonts w:ascii="Montserrat" w:cs="Montserrat" w:eastAsia="Montserrat" w:hAnsi="Montserrat"/>
          <w:b/>
          <w:bCs/>
          <w:color w:val="2D2D2D"/>
          <w:sz w:val="34"/>
          <w:szCs w:val="34"/>
        </w:rPr>
        <w:t xml:space="preserve">3.2  OPA 688 — Sequential Processing Mandate</w:t>
      </w:r>
    </w:p>
    <w:p>
      <w:pPr>
        <w:spacing w:after="100" w:before="100"/>
      </w:pPr>
      <w:r>
        <w:rPr>
          <w:rFonts w:ascii="Montserrat" w:cs="Montserrat" w:eastAsia="Montserrat" w:hAnsi="Montserrat"/>
          <w:color w:val="2D2D2D"/>
          <w:sz w:val="22"/>
          <w:szCs w:val="22"/>
        </w:rPr>
        <w:t xml:space="preserve">Toronto Council adopted Official Plan Amendment 688 establishing zoning conformity as a formal precondition for accepting a Site Plan Approval application. This effectively ends concurrent ZBA/SPA processing. The sequential model now requires:</w:t>
      </w:r>
    </w:p>
    <w:p>
      <w:pPr>
        <w:pStyle w:val="ListParagraph"/>
        <w:numPr>
          <w:ilvl w:val="0"/>
          <w:numId w:val="3"/>
        </w:numPr>
        <w:spacing w:after="40" w:before="40"/>
      </w:pPr>
      <w:r>
        <w:rPr>
          <w:rFonts w:ascii="Montserrat" w:cs="Montserrat" w:eastAsia="Montserrat" w:hAnsi="Montserrat"/>
          <w:color w:val="2D2D2D"/>
          <w:sz w:val="22"/>
          <w:szCs w:val="22"/>
        </w:rPr>
        <w:t xml:space="preserve">Obtain ZBA approval through City Council (or OLT).</w:t>
      </w:r>
    </w:p>
    <w:p>
      <w:pPr>
        <w:pStyle w:val="ListParagraph"/>
        <w:numPr>
          <w:ilvl w:val="0"/>
          <w:numId w:val="3"/>
        </w:numPr>
        <w:spacing w:after="40" w:before="40"/>
      </w:pPr>
      <w:r>
        <w:rPr>
          <w:rFonts w:ascii="Montserrat" w:cs="Montserrat" w:eastAsia="Montserrat" w:hAnsi="Montserrat"/>
          <w:color w:val="2D2D2D"/>
          <w:sz w:val="22"/>
          <w:szCs w:val="22"/>
        </w:rPr>
        <w:t xml:space="preserve">Wait for the ZBA to come into force (20-day appeal period + By-law registration).</w:t>
      </w:r>
    </w:p>
    <w:p>
      <w:pPr>
        <w:pStyle w:val="ListParagraph"/>
        <w:numPr>
          <w:ilvl w:val="0"/>
          <w:numId w:val="3"/>
        </w:numPr>
        <w:spacing w:after="40" w:before="40"/>
      </w:pPr>
      <w:r>
        <w:rPr>
          <w:rFonts w:ascii="Montserrat" w:cs="Montserrat" w:eastAsia="Montserrat" w:hAnsi="Montserrat"/>
          <w:color w:val="2D2D2D"/>
          <w:sz w:val="22"/>
          <w:szCs w:val="22"/>
        </w:rPr>
        <w:t xml:space="preserve">File the SPA application under the newly enacted zoning permissions.</w:t>
      </w:r>
    </w:p>
    <w:p>
      <w:pPr>
        <w:spacing w:after="100" w:before="100"/>
      </w:pPr>
      <w:r>
        <w:rPr>
          <w:rFonts w:ascii="Montserrat" w:cs="Montserrat" w:eastAsia="Montserrat" w:hAnsi="Montserrat"/>
          <w:color w:val="2D2D2D"/>
          <w:sz w:val="22"/>
          <w:szCs w:val="22"/>
        </w:rPr>
        <w:t xml:space="preserve">This sequential model adds an estimated 4 to 8 months to the overall approval timeline compared to the former concurrent model. However, it reduces the risk of SPA redesign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Strategic note: Some developers file SPA immediately upon ZBA Council adoption (before the 20-day appeal period expires) as a risk-accepted strategy. If no appeal is filed, SPA is already in the queue. If an appeal is filed, the SPA is effectively on hold but the drawings are prepared.</w:t>
            </w:r>
          </w:p>
        </w:tc>
      </w:tr>
    </w:tbl>
    <w:p>
      <w:pPr>
        <w:pStyle w:val="Heading2"/>
      </w:pPr>
      <w:r>
        <w:rPr>
          <w:rFonts w:ascii="Montserrat" w:cs="Montserrat" w:eastAsia="Montserrat" w:hAnsi="Montserrat"/>
          <w:b/>
          <w:bCs/>
          <w:color w:val="2D2D2D"/>
          <w:sz w:val="34"/>
          <w:szCs w:val="34"/>
        </w:rPr>
        <w:t xml:space="preserve">3.3  Concurrent vs. Sequential: Impact by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MODEL</w:t>
            </w:r>
          </w:p>
        </w:tc>
        <w:tc>
          <w:tcPr>
            <w:tcW w:type="dxa" w:w="24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MID-RISE (5-14 ST)</w:t>
            </w:r>
          </w:p>
        </w:tc>
        <w:tc>
          <w:tcPr>
            <w:tcW w:type="dxa" w:w="24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HIGH-RISE (15-40 ST)</w:t>
            </w:r>
          </w:p>
        </w:tc>
        <w:tc>
          <w:tcPr>
            <w:tcW w:type="dxa" w:w="23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RISK</w:t>
            </w:r>
          </w:p>
        </w:tc>
      </w:tr>
      <w:tr>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Sequential (current)</w:t>
            </w:r>
          </w:p>
        </w:tc>
        <w:tc>
          <w:tcPr>
            <w:tcW w:type="dxa" w:w="2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18–28 months PAC→pour</w:t>
            </w:r>
          </w:p>
        </w:tc>
        <w:tc>
          <w:tcPr>
            <w:tcW w:type="dxa" w:w="2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30–42 months PAC→pour</w:t>
            </w:r>
          </w:p>
        </w:tc>
        <w:tc>
          <w:tcPr>
            <w:tcW w:type="dxa" w:w="2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Lower — SPA conforms to enacted zoning</w:t>
            </w:r>
          </w:p>
        </w:tc>
      </w:tr>
      <w:tr>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Aggressive parallel</w:t>
            </w:r>
          </w:p>
        </w:tc>
        <w:tc>
          <w:tcPr>
            <w:tcW w:type="dxa" w:w="24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14–22 months</w:t>
            </w:r>
          </w:p>
        </w:tc>
        <w:tc>
          <w:tcPr>
            <w:tcW w:type="dxa" w:w="24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26–36 months</w:t>
            </w:r>
          </w:p>
        </w:tc>
        <w:tc>
          <w:tcPr>
            <w:tcW w:type="dxa" w:w="2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Higher — OPA 688 compliance risk; SPA may require revision</w:t>
            </w:r>
          </w:p>
        </w:tc>
      </w:tr>
    </w:tbl>
    <w:p>
      <w:r>
        <w:br w:type="page"/>
      </w:r>
    </w:p>
    <w:p>
      <w:pPr>
        <w:spacing w:after="80" w:before="320"/>
      </w:pPr>
      <w:r>
        <w:rPr>
          <w:rFonts w:ascii="Montserrat" w:cs="Montserrat" w:eastAsia="Montserrat" w:hAnsi="Montserrat"/>
          <w:b/>
          <w:bCs/>
          <w:color w:val="AEBC46"/>
          <w:sz w:val="18"/>
          <w:szCs w:val="18"/>
        </w:rPr>
        <w:t xml:space="preserve">SECTION 4 — ZONING HURDLES BY TYPOLOGY</w:t>
      </w:r>
    </w:p>
    <w:p>
      <w:pPr>
        <w:pStyle w:val="Heading1"/>
      </w:pPr>
      <w:r>
        <w:rPr>
          <w:rFonts w:ascii="Montserrat" w:cs="Montserrat" w:eastAsia="Montserrat" w:hAnsi="Montserrat"/>
          <w:b/>
          <w:bCs/>
          <w:color w:val="2D2D2D"/>
          <w:sz w:val="44"/>
          <w:szCs w:val="44"/>
        </w:rPr>
        <w:t xml:space="preserve">Zoning Hurdles: Mid-Rise vs. High-Rise</w:t>
      </w:r>
    </w:p>
    <w:p>
      <w:pPr>
        <w:pStyle w:val="Heading2"/>
      </w:pPr>
      <w:r>
        <w:rPr>
          <w:rFonts w:ascii="Montserrat" w:cs="Montserrat" w:eastAsia="Montserrat" w:hAnsi="Montserrat"/>
          <w:b/>
          <w:bCs/>
          <w:color w:val="2D2D2D"/>
          <w:sz w:val="34"/>
          <w:szCs w:val="34"/>
        </w:rPr>
        <w:t xml:space="preserve">4.1  Mid-Rise (5–14 Storeys) — Performance Standards</w:t>
      </w:r>
    </w:p>
    <w:p>
      <w:pPr>
        <w:spacing w:after="100" w:before="100"/>
      </w:pPr>
      <w:r>
        <w:rPr>
          <w:rFonts w:ascii="Montserrat" w:cs="Montserrat" w:eastAsia="Montserrat" w:hAnsi="Montserrat"/>
          <w:color w:val="2D2D2D"/>
          <w:sz w:val="22"/>
          <w:szCs w:val="22"/>
        </w:rPr>
        <w:t xml:space="preserve">The November 2024 Mid-Rise Performance Standards update introduced significant changes:</w:t>
      </w:r>
    </w:p>
    <w:p>
      <w:pPr>
        <w:pStyle w:val="ListParagraph"/>
        <w:numPr>
          <w:ilvl w:val="0"/>
          <w:numId w:val="2"/>
        </w:numPr>
        <w:spacing w:after="40" w:before="40"/>
      </w:pPr>
      <w:r>
        <w:rPr>
          <w:rFonts w:ascii="Montserrat" w:cs="Montserrat" w:eastAsia="Montserrat" w:hAnsi="Montserrat"/>
          <w:color w:val="2D2D2D"/>
          <w:sz w:val="22"/>
          <w:szCs w:val="22"/>
        </w:rPr>
        <w:t xml:space="preserve">Front and rear angular planes: REMOVED. Previously, a 45-degree angular plane from 80% of ROW width constrained upper storeys. This no longer applies to mid-rise buildings.</w:t>
      </w:r>
    </w:p>
    <w:p>
      <w:pPr>
        <w:pStyle w:val="ListParagraph"/>
        <w:numPr>
          <w:ilvl w:val="0"/>
          <w:numId w:val="2"/>
        </w:numPr>
        <w:spacing w:after="40" w:before="40"/>
      </w:pPr>
      <w:r>
        <w:rPr>
          <w:rFonts w:ascii="Montserrat" w:cs="Montserrat" w:eastAsia="Montserrat" w:hAnsi="Montserrat"/>
          <w:color w:val="2D2D2D"/>
          <w:sz w:val="22"/>
          <w:szCs w:val="22"/>
        </w:rPr>
        <w:t xml:space="preserve">Maximum height = ROW width (the “1:1 rule”). A 20m ROW yields ~6 storeys; 27m ROW yields ~9 storeys; 36m ROW yields ~11 storeys. New maximum: 14 storeys (45m) on streets with 45m ROW.</w:t>
      </w:r>
    </w:p>
    <w:p>
      <w:pPr>
        <w:pStyle w:val="ListParagraph"/>
        <w:numPr>
          <w:ilvl w:val="0"/>
          <w:numId w:val="2"/>
        </w:numPr>
        <w:spacing w:after="40" w:before="40"/>
      </w:pPr>
      <w:r>
        <w:rPr>
          <w:rFonts w:ascii="Montserrat" w:cs="Montserrat" w:eastAsia="Montserrat" w:hAnsi="Montserrat"/>
          <w:color w:val="2D2D2D"/>
          <w:sz w:val="22"/>
          <w:szCs w:val="22"/>
        </w:rPr>
        <w:t xml:space="preserve">Rear setbacks: Under 6 storeys (20m) = 7.5m; 7–11 storeys (&gt;20m) = 10.0m. Mid-rise to mid-rise/tall separation = 20.0m minimum.</w:t>
      </w:r>
    </w:p>
    <w:p>
      <w:pPr>
        <w:pStyle w:val="ListParagraph"/>
        <w:numPr>
          <w:ilvl w:val="0"/>
          <w:numId w:val="2"/>
        </w:numPr>
        <w:spacing w:after="40" w:before="40"/>
      </w:pPr>
      <w:r>
        <w:rPr>
          <w:rFonts w:ascii="Montserrat" w:cs="Montserrat" w:eastAsia="Montserrat" w:hAnsi="Montserrat"/>
          <w:color w:val="2D2D2D"/>
          <w:sz w:val="22"/>
          <w:szCs w:val="22"/>
        </w:rPr>
        <w:t xml:space="preserve">Side setbacks: 5.5m minimum for window walls above certain heights; 0m at party wall conditions.</w:t>
      </w:r>
    </w:p>
    <w:p>
      <w:pPr>
        <w:pStyle w:val="Heading2"/>
      </w:pPr>
      <w:r>
        <w:rPr>
          <w:rFonts w:ascii="Montserrat" w:cs="Montserrat" w:eastAsia="Montserrat" w:hAnsi="Montserrat"/>
          <w:b/>
          <w:bCs/>
          <w:color w:val="2D2D2D"/>
          <w:sz w:val="34"/>
          <w:szCs w:val="34"/>
        </w:rPr>
        <w:t xml:space="preserve">4.2  High-Rise (15+ Storeys) — Tall Building Guidelines</w:t>
      </w:r>
    </w:p>
    <w:p>
      <w:pPr>
        <w:spacing w:after="100" w:before="100"/>
      </w:pPr>
      <w:r>
        <w:rPr>
          <w:rFonts w:ascii="Montserrat" w:cs="Montserrat" w:eastAsia="Montserrat" w:hAnsi="Montserrat"/>
          <w:color w:val="2D2D2D"/>
          <w:sz w:val="22"/>
          <w:szCs w:val="22"/>
        </w:rPr>
        <w:t xml:space="preserve">The 2013 Tall Building Design Guidelines (Council-adopted) govern all towers:</w:t>
      </w:r>
    </w:p>
    <w:p>
      <w:pPr>
        <w:pStyle w:val="ListParagraph"/>
        <w:numPr>
          <w:ilvl w:val="0"/>
          <w:numId w:val="2"/>
        </w:numPr>
        <w:spacing w:after="40" w:before="40"/>
      </w:pPr>
      <w:r>
        <w:rPr>
          <w:rFonts w:ascii="Montserrat" w:cs="Montserrat" w:eastAsia="Montserrat" w:hAnsi="Montserrat"/>
          <w:color w:val="2D2D2D"/>
          <w:sz w:val="22"/>
          <w:szCs w:val="22"/>
        </w:rPr>
        <w:t xml:space="preserve">Tower floor plate cap: 750 m² (8,073 sf). Hard cap, rarely exceeded. Plates above 850 m² face near-certain rejection.</w:t>
      </w:r>
    </w:p>
    <w:p>
      <w:pPr>
        <w:pStyle w:val="ListParagraph"/>
        <w:numPr>
          <w:ilvl w:val="0"/>
          <w:numId w:val="2"/>
        </w:numPr>
        <w:spacing w:after="40" w:before="40"/>
      </w:pPr>
      <w:r>
        <w:rPr>
          <w:rFonts w:ascii="Montserrat" w:cs="Montserrat" w:eastAsia="Montserrat" w:hAnsi="Montserrat"/>
          <w:color w:val="2D2D2D"/>
          <w:sz w:val="22"/>
          <w:szCs w:val="22"/>
        </w:rPr>
        <w:t xml:space="preserve">Tower separation: 25m tower-to-tower (12.5m setback from side/rear lot line).</w:t>
      </w:r>
    </w:p>
    <w:p>
      <w:pPr>
        <w:pStyle w:val="ListParagraph"/>
        <w:numPr>
          <w:ilvl w:val="0"/>
          <w:numId w:val="2"/>
        </w:numPr>
        <w:spacing w:after="40" w:before="40"/>
      </w:pPr>
      <w:r>
        <w:rPr>
          <w:rFonts w:ascii="Montserrat" w:cs="Montserrat" w:eastAsia="Montserrat" w:hAnsi="Montserrat"/>
          <w:color w:val="2D2D2D"/>
          <w:sz w:val="22"/>
          <w:szCs w:val="22"/>
        </w:rPr>
        <w:t xml:space="preserve">Tower setback from street: 3m minimum from street lot line.</w:t>
      </w:r>
    </w:p>
    <w:p>
      <w:pPr>
        <w:pStyle w:val="ListParagraph"/>
        <w:numPr>
          <w:ilvl w:val="0"/>
          <w:numId w:val="2"/>
        </w:numPr>
        <w:spacing w:after="40" w:before="40"/>
      </w:pPr>
      <w:r>
        <w:rPr>
          <w:rFonts w:ascii="Montserrat" w:cs="Montserrat" w:eastAsia="Montserrat" w:hAnsi="Montserrat"/>
          <w:color w:val="2D2D2D"/>
          <w:sz w:val="22"/>
          <w:szCs w:val="22"/>
        </w:rPr>
        <w:t xml:space="preserve">Podium step-back: 3m minimum from tower face on all sides.</w:t>
      </w:r>
    </w:p>
    <w:p>
      <w:pPr>
        <w:pStyle w:val="ListParagraph"/>
        <w:numPr>
          <w:ilvl w:val="0"/>
          <w:numId w:val="2"/>
        </w:numPr>
        <w:spacing w:after="40" w:before="40"/>
      </w:pPr>
      <w:r>
        <w:rPr>
          <w:rFonts w:ascii="Montserrat" w:cs="Montserrat" w:eastAsia="Montserrat" w:hAnsi="Montserrat"/>
          <w:color w:val="2D2D2D"/>
          <w:sz w:val="22"/>
          <w:szCs w:val="22"/>
        </w:rPr>
        <w:t xml:space="preserve">Three-part composition: base (podium) + middle (tower shaft) + top (crown).</w:t>
      </w:r>
    </w:p>
    <w:p>
      <w:pPr>
        <w:pStyle w:val="ListParagraph"/>
        <w:numPr>
          <w:ilvl w:val="0"/>
          <w:numId w:val="2"/>
        </w:numPr>
        <w:spacing w:after="40" w:before="40"/>
      </w:pPr>
      <w:r>
        <w:rPr>
          <w:rFonts w:ascii="Montserrat" w:cs="Montserrat" w:eastAsia="Montserrat" w:hAnsi="Montserrat"/>
          <w:color w:val="2D2D2D"/>
          <w:sz w:val="22"/>
          <w:szCs w:val="22"/>
        </w:rPr>
        <w:t xml:space="preserve">Ground floor: 4.5m minimum floor-to-floor (retail-ready).</w:t>
      </w:r>
    </w:p>
    <w:p>
      <w:pPr>
        <w:pStyle w:val="ListParagraph"/>
        <w:numPr>
          <w:ilvl w:val="0"/>
          <w:numId w:val="2"/>
        </w:numPr>
        <w:spacing w:after="40" w:before="40"/>
      </w:pPr>
      <w:r>
        <w:rPr>
          <w:rFonts w:ascii="Montserrat" w:cs="Montserrat" w:eastAsia="Montserrat" w:hAnsi="Montserrat"/>
          <w:color w:val="2D2D2D"/>
          <w:sz w:val="22"/>
          <w:szCs w:val="22"/>
        </w:rPr>
        <w:t xml:space="preserve">Angular plane from Neighbourhoods: 45-degree from abutting R/RD zones. Starting height: 10.5m (no lane) or 7.5m (with lane).</w:t>
      </w:r>
    </w:p>
    <w:p>
      <w:pPr>
        <w:pStyle w:val="Heading2"/>
      </w:pPr>
      <w:r>
        <w:rPr>
          <w:rFonts w:ascii="Montserrat" w:cs="Montserrat" w:eastAsia="Montserrat" w:hAnsi="Montserrat"/>
          <w:b/>
          <w:bCs/>
          <w:color w:val="2D2D2D"/>
          <w:sz w:val="34"/>
          <w:szCs w:val="34"/>
        </w:rPr>
        <w:t xml:space="preserve">4.3  FSI Precedent Targets by Site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SITE CONTEXT</w:t>
            </w:r>
          </w:p>
        </w:tc>
        <w:tc>
          <w:tcPr>
            <w:tcW w:type="dxa" w:w="2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MID-RISE FSI</w:t>
            </w:r>
          </w:p>
        </w:tc>
        <w:tc>
          <w:tcPr>
            <w:tcW w:type="dxa" w:w="2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HIGH-RISE FSI</w:t>
            </w:r>
          </w:p>
        </w:tc>
        <w:tc>
          <w:tcPr>
            <w:tcW w:type="dxa" w:w="21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RISK</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MTSA/PMTSA (&lt;200m from station)</w:t>
            </w:r>
          </w:p>
        </w:tc>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3.0–4.0× as-of-right</w:t>
            </w:r>
          </w:p>
        </w:tc>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6.0–10.0× as-of-right</w:t>
            </w:r>
          </w:p>
        </w:tc>
        <w:tc>
          <w:tcPr>
            <w:tcW w:type="dxa" w:w="21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4ECDC4"/>
                <w:sz w:val="18"/>
                <w:szCs w:val="18"/>
              </w:rPr>
              <w:t xml:space="preserve">GREEN</w:t>
            </w:r>
          </w:p>
        </w:tc>
      </w:tr>
      <w:tr>
        <w:tc>
          <w:tcPr>
            <w:tcW w:type="dxa" w:w="2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MTSA/PMTSA (200–500m)</w:t>
            </w:r>
          </w:p>
        </w:tc>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2.5–3.0×</w:t>
            </w:r>
          </w:p>
        </w:tc>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4.0–7.0×</w:t>
            </w:r>
          </w:p>
        </w:tc>
        <w:tc>
          <w:tcPr>
            <w:tcW w:type="dxa" w:w="21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GREEN-YELLOW</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Major Avenue + transit</w:t>
            </w:r>
          </w:p>
        </w:tc>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2.0–2.5×</w:t>
            </w:r>
          </w:p>
        </w:tc>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3.0–5.0×</w:t>
            </w:r>
          </w:p>
        </w:tc>
        <w:tc>
          <w:tcPr>
            <w:tcW w:type="dxa" w:w="21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YELLOW</w:t>
            </w:r>
          </w:p>
        </w:tc>
      </w:tr>
      <w:tr>
        <w:tc>
          <w:tcPr>
            <w:tcW w:type="dxa" w:w="2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Avenue without rapid transit</w:t>
            </w:r>
          </w:p>
        </w:tc>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1.5–2.0×</w:t>
            </w:r>
          </w:p>
        </w:tc>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2.5–4.0×</w:t>
            </w:r>
          </w:p>
        </w:tc>
        <w:tc>
          <w:tcPr>
            <w:tcW w:type="dxa" w:w="21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C44444"/>
                <w:sz w:val="18"/>
                <w:szCs w:val="18"/>
              </w:rPr>
              <w:t xml:space="preserve">RED</w:t>
            </w:r>
          </w:p>
        </w:tc>
      </w:tr>
      <w:tr>
        <w:tc>
          <w:tcPr>
            <w:tcW w:type="dxa" w:w="2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Neighbourhoods edge</w:t>
            </w:r>
          </w:p>
        </w:tc>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1.3–1.5×</w:t>
            </w:r>
          </w:p>
        </w:tc>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N/A (unlikely)</w:t>
            </w:r>
          </w:p>
        </w:tc>
        <w:tc>
          <w:tcPr>
            <w:tcW w:type="dxa" w:w="21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C44444"/>
                <w:sz w:val="18"/>
                <w:szCs w:val="18"/>
              </w:rPr>
              <w:t xml:space="preserve">RED</w:t>
            </w:r>
          </w:p>
        </w:tc>
      </w:tr>
    </w:tbl>
    <w:p>
      <w:pPr>
        <w:spacing w:after="100" w:before="100"/>
      </w:pPr>
      <w:r>
        <w:rPr>
          <w:rFonts w:ascii="Montserrat" w:cs="Montserrat" w:eastAsia="Montserrat" w:hAnsi="Montserrat"/>
          <w:color w:val="2D2D2D"/>
          <w:sz w:val="22"/>
          <w:szCs w:val="22"/>
        </w:rPr>
        <w:t xml:space="preserve">Provincial MTSA/PMTSA rules (August 2025): FSI 8 minimum permitted within 200m of subway/LRT station; FSI 6 within 200–500m. Up to 30 storeys within 200m; 20 storeys at 200–500m. These override restrictive municipal zoning.</w:t>
      </w:r>
    </w:p>
    <w:p>
      <w:r>
        <w:br w:type="page"/>
      </w:r>
    </w:p>
    <w:p>
      <w:pPr>
        <w:spacing w:after="80" w:before="320"/>
      </w:pPr>
      <w:r>
        <w:rPr>
          <w:rFonts w:ascii="Montserrat" w:cs="Montserrat" w:eastAsia="Montserrat" w:hAnsi="Montserrat"/>
          <w:b/>
          <w:bCs/>
          <w:color w:val="AEBC46"/>
          <w:sz w:val="18"/>
          <w:szCs w:val="18"/>
        </w:rPr>
        <w:t xml:space="preserve">SECTION 5 — MINOR VARIANCES &amp; COMMITTEE OF ADJUSTMENT</w:t>
      </w:r>
    </w:p>
    <w:p>
      <w:pPr>
        <w:pStyle w:val="Heading1"/>
      </w:pPr>
      <w:r>
        <w:rPr>
          <w:rFonts w:ascii="Montserrat" w:cs="Montserrat" w:eastAsia="Montserrat" w:hAnsi="Montserrat"/>
          <w:b/>
          <w:bCs/>
          <w:color w:val="2D2D2D"/>
          <w:sz w:val="44"/>
          <w:szCs w:val="44"/>
        </w:rPr>
        <w:t xml:space="preserve">Minor Variances: The Four Tests &amp; CoA Process</w:t>
      </w:r>
    </w:p>
    <w:p>
      <w:pPr>
        <w:pStyle w:val="Heading2"/>
      </w:pPr>
      <w:r>
        <w:rPr>
          <w:rFonts w:ascii="Montserrat" w:cs="Montserrat" w:eastAsia="Montserrat" w:hAnsi="Montserrat"/>
          <w:b/>
          <w:bCs/>
          <w:color w:val="2D2D2D"/>
          <w:sz w:val="34"/>
          <w:szCs w:val="34"/>
        </w:rPr>
        <w:t xml:space="preserve">5.1  The Four Statutory Tests (Planning Act s.45(1))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TEST</w:t>
            </w:r>
          </w:p>
        </w:tc>
        <w:tc>
          <w:tcPr>
            <w:tcW w:type="dxa" w:w="73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DESCRIPTION</w:t>
            </w:r>
          </w:p>
        </w:tc>
      </w:tr>
      <w:tr>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1. Minor</w:t>
            </w:r>
          </w:p>
        </w:tc>
        <w:tc>
          <w:tcPr>
            <w:tcW w:type="dxa" w:w="73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Quantitative (&lt;15–25% deviation) + qualitative (impact on neighbours, streetscape, public realm). A 5% setback reduction: almost always minor. A 50% height increase: not minor.</w:t>
            </w:r>
          </w:p>
        </w:tc>
      </w:tr>
      <w:tr>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2. Desirable</w:t>
            </w:r>
          </w:p>
        </w:tc>
        <w:tc>
          <w:tcPr>
            <w:tcW w:type="dxa" w:w="7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Enables better design outcome or is necessary due to site-specific constraints (irregular lot, grade, heritage). The variance must serve appropriate development of the land.</w:t>
            </w:r>
          </w:p>
        </w:tc>
      </w:tr>
      <w:tr>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3. Zoning Intent</w:t>
            </w:r>
          </w:p>
        </w:tc>
        <w:tc>
          <w:tcPr>
            <w:tcW w:type="dxa" w:w="73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Does the standard being varied (e.g., side-yard setback) have a planning objective (fire separation, privacy, light access)? Is that objective still substantially met despite the variance?</w:t>
            </w:r>
          </w:p>
        </w:tc>
      </w:tr>
      <w:tr>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4. OP Intent</w:t>
            </w:r>
          </w:p>
        </w:tc>
        <w:tc>
          <w:tcPr>
            <w:tcW w:type="dxa" w:w="7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Typically easiest test when ZBA is already enacted in conformity with OP. Shadow impacts on protected parks (March 21 test) or heritage adjacency can complicate.</w:t>
            </w:r>
          </w:p>
        </w:tc>
      </w:tr>
    </w:tbl>
    <w:p>
      <w:pPr>
        <w:pStyle w:val="Heading2"/>
      </w:pPr>
      <w:r>
        <w:rPr>
          <w:rFonts w:ascii="Montserrat" w:cs="Montserrat" w:eastAsia="Montserrat" w:hAnsi="Montserrat"/>
          <w:b/>
          <w:bCs/>
          <w:color w:val="2D2D2D"/>
          <w:sz w:val="34"/>
          <w:szCs w:val="34"/>
        </w:rPr>
        <w:t xml:space="preserve">5.2  CoA Timeline &amp; TLAB Appeal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MILESTONE</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DURATION</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CUMULATIVE</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Application filing</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Day 0</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0</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Staff review &amp; circulation</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weeks</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1–1.5</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CoA hearing</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2–4 weeks after review</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2–3</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Decision issued</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At hearing</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3–4</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20-day TLAB appeal period</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 calendar days</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3.5–4.5</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If appealed: TLAB hearing</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months</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8–12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Risk data: For towers with enacted site-specific ZBA, CoA approval rates exceed 85% when variances ≤ 4 and each deviation &lt; 20%. TLAB appeal rates from ratepayer associations: ~25–35% for towers, ~10–15% for mid-rise. Under Bill 185, TLAB decisions are final (no Divisional Court appeal).</w:t>
            </w:r>
          </w:p>
        </w:tc>
      </w:tr>
    </w:tbl>
    <w:p>
      <w:r>
        <w:br w:type="page"/>
      </w:r>
    </w:p>
    <w:p>
      <w:pPr>
        <w:spacing w:after="80" w:before="320"/>
      </w:pPr>
      <w:r>
        <w:rPr>
          <w:rFonts w:ascii="Montserrat" w:cs="Montserrat" w:eastAsia="Montserrat" w:hAnsi="Montserrat"/>
          <w:b/>
          <w:bCs/>
          <w:color w:val="AEBC46"/>
          <w:sz w:val="18"/>
          <w:szCs w:val="18"/>
        </w:rPr>
        <w:t xml:space="preserve">SECTION 6 — HOLDING COSTS &amp; SOFT COST MODEL</w:t>
      </w:r>
    </w:p>
    <w:p>
      <w:pPr>
        <w:pStyle w:val="Heading1"/>
      </w:pPr>
      <w:r>
        <w:rPr>
          <w:rFonts w:ascii="Montserrat" w:cs="Montserrat" w:eastAsia="Montserrat" w:hAnsi="Montserrat"/>
          <w:b/>
          <w:bCs/>
          <w:color w:val="2D2D2D"/>
          <w:sz w:val="44"/>
          <w:szCs w:val="44"/>
        </w:rPr>
        <w:t xml:space="preserve">Holding Costs &amp; Total Soft Cost Estimation</w:t>
      </w:r>
    </w:p>
    <w:p>
      <w:pPr>
        <w:pStyle w:val="Heading2"/>
      </w:pPr>
      <w:r>
        <w:rPr>
          <w:rFonts w:ascii="Montserrat" w:cs="Montserrat" w:eastAsia="Montserrat" w:hAnsi="Montserrat"/>
          <w:b/>
          <w:bCs/>
          <w:color w:val="2D2D2D"/>
          <w:sz w:val="34"/>
          <w:szCs w:val="34"/>
        </w:rPr>
        <w:t xml:space="preserve">6.1  Monthly Holding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80"/>
        <w:gridCol w:w="1880"/>
      </w:tblGrid>
      <w:tr>
        <w:tc>
          <w:tcPr>
            <w:tcW w:type="dxa" w:w="38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COST COMPONENT</w:t>
            </w:r>
          </w:p>
        </w:tc>
        <w:tc>
          <w:tcPr>
            <w:tcW w:type="dxa" w:w="18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MONTHLY</w:t>
            </w:r>
          </w:p>
        </w:tc>
        <w:tc>
          <w:tcPr>
            <w:tcW w:type="dxa" w:w="18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24-MO (MID-RISE)</w:t>
            </w:r>
          </w:p>
        </w:tc>
        <w:tc>
          <w:tcPr>
            <w:tcW w:type="dxa" w:w="18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36-MO (HIGH-RISE)</w:t>
            </w:r>
          </w:p>
        </w:tc>
      </w:tr>
      <w:tr>
        <w:tc>
          <w:tcPr>
            <w:tcW w:type="dxa" w:w="3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Land carry (7.5% on acquisition)</w:t>
            </w:r>
          </w:p>
        </w:tc>
        <w:tc>
          <w:tcPr>
            <w:tcW w:type="dxa" w:w="1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Variable</w:t>
            </w:r>
          </w:p>
        </w:tc>
        <w:tc>
          <w:tcPr>
            <w:tcW w:type="dxa" w:w="1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 of land cost</w:t>
            </w:r>
          </w:p>
        </w:tc>
        <w:tc>
          <w:tcPr>
            <w:tcW w:type="dxa" w:w="1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22.5% of land cost</w:t>
            </w:r>
          </w:p>
        </w:tc>
      </w:tr>
      <w:tr>
        <w:tc>
          <w:tcPr>
            <w:tcW w:type="dxa" w:w="3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Property taxes (vacant land)</w:t>
            </w:r>
          </w:p>
        </w:tc>
        <w:tc>
          <w:tcPr>
            <w:tcW w:type="dxa" w:w="1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$8K–$15K</w:t>
            </w:r>
          </w:p>
        </w:tc>
        <w:tc>
          <w:tcPr>
            <w:tcW w:type="dxa" w:w="1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$192K–$360K</w:t>
            </w:r>
          </w:p>
        </w:tc>
        <w:tc>
          <w:tcPr>
            <w:tcW w:type="dxa" w:w="1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$288K–$540K</w:t>
            </w:r>
          </w:p>
        </w:tc>
      </w:tr>
      <w:tr>
        <w:tc>
          <w:tcPr>
            <w:tcW w:type="dxa" w:w="3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Insurance &amp; security</w:t>
            </w:r>
          </w:p>
        </w:tc>
        <w:tc>
          <w:tcPr>
            <w:tcW w:type="dxa" w:w="1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$3K–$5K</w:t>
            </w:r>
          </w:p>
        </w:tc>
        <w:tc>
          <w:tcPr>
            <w:tcW w:type="dxa" w:w="1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$72K–$120K</w:t>
            </w:r>
          </w:p>
        </w:tc>
        <w:tc>
          <w:tcPr>
            <w:tcW w:type="dxa" w:w="1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$108K–$180K</w:t>
            </w:r>
          </w:p>
        </w:tc>
      </w:tr>
      <w:tr>
        <w:tc>
          <w:tcPr>
            <w:tcW w:type="dxa" w:w="3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Consultant retainers</w:t>
            </w:r>
          </w:p>
        </w:tc>
        <w:tc>
          <w:tcPr>
            <w:tcW w:type="dxa" w:w="1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$25K–$40K</w:t>
            </w:r>
          </w:p>
        </w:tc>
        <w:tc>
          <w:tcPr>
            <w:tcW w:type="dxa" w:w="1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$600K–$960K</w:t>
            </w:r>
          </w:p>
        </w:tc>
        <w:tc>
          <w:tcPr>
            <w:tcW w:type="dxa" w:w="1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$900K–$1.44M</w:t>
            </w:r>
          </w:p>
        </w:tc>
      </w:tr>
    </w:tbl>
    <w:p>
      <w:pPr>
        <w:spacing w:after="100" w:before="100"/>
      </w:pPr>
      <w:r>
        <w:rPr>
          <w:rFonts w:ascii="Montserrat" w:cs="Montserrat" w:eastAsia="Montserrat" w:hAnsi="Montserrat"/>
          <w:b/>
          <w:bCs/>
          <w:color w:val="2D2D2D"/>
          <w:sz w:val="22"/>
          <w:szCs w:val="22"/>
        </w:rPr>
        <w:t xml:space="preserve">Pro-forma formula: </w:t>
      </w:r>
      <w:r>
        <w:rPr>
          <w:rFonts w:ascii="Montserrat" w:cs="Montserrat" w:eastAsia="Montserrat" w:hAnsi="Montserrat"/>
          <w:color w:val="2D2D2D"/>
          <w:sz w:val="22"/>
          <w:szCs w:val="22"/>
        </w:rPr>
        <w:t xml:space="preserve">Monthly holding cost = (land_cost × 0.075 / 12) + property_tax_monthly + insurance_monthly + consultant_retainer_monthly. Each month of delay = this amount in additional project cost.</w:t>
      </w:r>
    </w:p>
    <w:p>
      <w:pPr>
        <w:pStyle w:val="Heading2"/>
      </w:pPr>
      <w:r>
        <w:rPr>
          <w:rFonts w:ascii="Montserrat" w:cs="Montserrat" w:eastAsia="Montserrat" w:hAnsi="Montserrat"/>
          <w:b/>
          <w:bCs/>
          <w:color w:val="2D2D2D"/>
          <w:sz w:val="34"/>
          <w:szCs w:val="34"/>
        </w:rPr>
        <w:t xml:space="preserve">6.2  Total Soft Cost Summary by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SOFT COST CATEGORY</w:t>
            </w:r>
          </w:p>
        </w:tc>
        <w:tc>
          <w:tcPr>
            <w:tcW w:type="dxa" w:w="30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MID-RISE (5–14 ST)</w:t>
            </w:r>
          </w:p>
        </w:tc>
        <w:tc>
          <w:tcPr>
            <w:tcW w:type="dxa" w:w="30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HIGH-RISE (15–40+ ST)</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Application fees (ZBA + SPA + CoA + PAC)</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$100K–$180K</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$200K–$400K</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Consultant fees (planning, arch, legal, eng)</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$500K–$1.0M</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$1.2M–$2.5M</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Required studies (shadow, wind, traffic, etc.)</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$150K–$350K</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$300K–$700K</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Holding costs (full approval period)</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$1.5M–$3.0M</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$3.9M–$5.5M</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Community Benefits Charge (4% land value)</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$200K–$500K</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$600K–$1.2M</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OLT contingency (if appealed)</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$100K–$250K</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$250K–$500K</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TOTAL SOFT COSTS (excl. DCs)</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$2.6M–$5.3M</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$6.5M–$10.8M</w:t>
            </w:r>
          </w:p>
        </w:tc>
      </w:tr>
    </w:tbl>
    <w:p>
      <w:r>
        <w:br w:type="page"/>
      </w:r>
    </w:p>
    <w:p>
      <w:pPr>
        <w:spacing w:after="80" w:before="320"/>
      </w:pPr>
      <w:r>
        <w:rPr>
          <w:rFonts w:ascii="Montserrat" w:cs="Montserrat" w:eastAsia="Montserrat" w:hAnsi="Montserrat"/>
          <w:b/>
          <w:bCs/>
          <w:color w:val="AEBC46"/>
          <w:sz w:val="18"/>
          <w:szCs w:val="18"/>
        </w:rPr>
        <w:t xml:space="preserve">SECTION 7 — TIMELINE MAPS</w:t>
      </w:r>
    </w:p>
    <w:p>
      <w:pPr>
        <w:pStyle w:val="Heading1"/>
      </w:pPr>
      <w:r>
        <w:rPr>
          <w:rFonts w:ascii="Montserrat" w:cs="Montserrat" w:eastAsia="Montserrat" w:hAnsi="Montserrat"/>
          <w:b/>
          <w:bCs/>
          <w:color w:val="2D2D2D"/>
          <w:sz w:val="44"/>
          <w:szCs w:val="44"/>
        </w:rPr>
        <w:t xml:space="preserve">Timeline Maps: PAC to Shovel-in-Ground</w:t>
      </w:r>
    </w:p>
    <w:p>
      <w:pPr>
        <w:pStyle w:val="Heading2"/>
      </w:pPr>
      <w:r>
        <w:rPr>
          <w:rFonts w:ascii="Montserrat" w:cs="Montserrat" w:eastAsia="Montserrat" w:hAnsi="Montserrat"/>
          <w:b/>
          <w:bCs/>
          <w:color w:val="2D2D2D"/>
          <w:sz w:val="34"/>
          <w:szCs w:val="34"/>
        </w:rPr>
        <w:t xml:space="preserve">7.1  Mid-Rise Path (5–14 Storeys)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PHASE</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START</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END</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DURATION</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Pre-Application Consultation (PAC)</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weeks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ZBA Application Filing &amp; Review</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7</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Community &amp; Statutory Public Meeting</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6</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9</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2–3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Council Decision &amp; Appeal Period</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9</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11</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1.5–2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SPA Filing &amp; Approval</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11</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19</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Minor Variance (if needed)</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13</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17</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Building Permit &amp; NOAC</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Shoring/Excavation &amp; First Pour</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20</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24</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 months</w:t>
            </w:r>
          </w:p>
        </w:tc>
      </w:tr>
    </w:tbl>
    <w:p>
      <w:pPr>
        <w:spacing w:after="100" w:before="100"/>
      </w:pPr>
      <w:r>
        <w:rPr>
          <w:rFonts w:ascii="Montserrat" w:cs="Montserrat" w:eastAsia="Montserrat" w:hAnsi="Montserrat"/>
          <w:b/>
          <w:bCs/>
          <w:color w:val="2D2D2D"/>
          <w:sz w:val="22"/>
          <w:szCs w:val="22"/>
        </w:rPr>
        <w:t xml:space="preserve">Mid-rise total: </w:t>
      </w:r>
      <w:r>
        <w:rPr>
          <w:rFonts w:ascii="Montserrat" w:cs="Montserrat" w:eastAsia="Montserrat" w:hAnsi="Montserrat"/>
          <w:color w:val="2D2D2D"/>
          <w:sz w:val="22"/>
          <w:szCs w:val="22"/>
        </w:rPr>
        <w:t xml:space="preserve">18–24 months (optimistic) to 28 months (with delays/appeal)</w:t>
      </w:r>
    </w:p>
    <w:p>
      <w:pPr>
        <w:pStyle w:val="Heading2"/>
      </w:pPr>
      <w:r>
        <w:rPr>
          <w:rFonts w:ascii="Montserrat" w:cs="Montserrat" w:eastAsia="Montserrat" w:hAnsi="Montserrat"/>
          <w:b/>
          <w:bCs/>
          <w:color w:val="2D2D2D"/>
          <w:sz w:val="34"/>
          <w:szCs w:val="34"/>
        </w:rPr>
        <w:t xml:space="preserve">7.2  High-Rise Path (15–40+ Storeys)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PHASE</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START</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END</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DURATION</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Pre-Application Consultation (PAC)</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 weeks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ZBA Application Filing &amp; Review</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8</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Community &amp; Statutory Public Meeting</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Council Decision &amp; Appeal Period</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12</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15</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2–3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OLT Appeal (if triggered)</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15</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27</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SPA Filing &amp; Approval</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15</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24</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Minor Variance (CoA)</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Building Permit &amp; NOAC</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24</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30</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Shoring/Excavation &amp; First Pour</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34</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months</w:t>
            </w:r>
          </w:p>
        </w:tc>
      </w:tr>
    </w:tbl>
    <w:p>
      <w:pPr>
        <w:spacing w:after="100" w:before="100"/>
      </w:pPr>
      <w:r>
        <w:rPr>
          <w:rFonts w:ascii="Montserrat" w:cs="Montserrat" w:eastAsia="Montserrat" w:hAnsi="Montserrat"/>
          <w:b/>
          <w:bCs/>
          <w:color w:val="2D2D2D"/>
          <w:sz w:val="22"/>
          <w:szCs w:val="22"/>
        </w:rPr>
        <w:t xml:space="preserve">High-rise total: </w:t>
      </w:r>
      <w:r>
        <w:rPr>
          <w:rFonts w:ascii="Montserrat" w:cs="Montserrat" w:eastAsia="Montserrat" w:hAnsi="Montserrat"/>
          <w:color w:val="2D2D2D"/>
          <w:sz w:val="22"/>
          <w:szCs w:val="22"/>
        </w:rPr>
        <w:t xml:space="preserve">30 months (optimistic, no appeal) / 36 months (realistic) / 42+ months (OLT appeal)</w:t>
      </w:r>
    </w:p>
    <w:p>
      <w:r>
        <w:br w:type="page"/>
      </w:r>
    </w:p>
    <w:p>
      <w:pPr>
        <w:spacing w:after="80" w:before="320"/>
      </w:pPr>
      <w:r>
        <w:rPr>
          <w:rFonts w:ascii="Montserrat" w:cs="Montserrat" w:eastAsia="Montserrat" w:hAnsi="Montserrat"/>
          <w:b/>
          <w:bCs/>
          <w:color w:val="AEBC46"/>
          <w:sz w:val="18"/>
          <w:szCs w:val="18"/>
        </w:rPr>
        <w:t xml:space="preserve">SECTION 8 — RISK HEATMAP</w:t>
      </w:r>
    </w:p>
    <w:p>
      <w:pPr>
        <w:pStyle w:val="Heading1"/>
      </w:pPr>
      <w:r>
        <w:rPr>
          <w:rFonts w:ascii="Montserrat" w:cs="Montserrat" w:eastAsia="Montserrat" w:hAnsi="Montserrat"/>
          <w:b/>
          <w:bCs/>
          <w:color w:val="2D2D2D"/>
          <w:sz w:val="44"/>
          <w:szCs w:val="44"/>
        </w:rPr>
        <w:t xml:space="preserve">Risk Heatmap: Bottleneck Analysis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1100"/>
        <w:gridCol w:w="1100"/>
        <w:gridCol w:w="3060"/>
      </w:tblGrid>
      <w:tr>
        <w:tc>
          <w:tcPr>
            <w:tcW w:type="dxa" w:w="17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STAGE</w:t>
            </w:r>
          </w:p>
        </w:tc>
        <w:tc>
          <w:tcPr>
            <w:tcW w:type="dxa" w:w="13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DELAY RISK</w:t>
            </w:r>
          </w:p>
        </w:tc>
        <w:tc>
          <w:tcPr>
            <w:tcW w:type="dxa" w:w="11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MID-RISE</w:t>
            </w:r>
          </w:p>
        </w:tc>
        <w:tc>
          <w:tcPr>
            <w:tcW w:type="dxa" w:w="11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HIGH-RISE</w:t>
            </w:r>
          </w:p>
        </w:tc>
        <w:tc>
          <w:tcPr>
            <w:tcW w:type="dxa" w:w="11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COST/MO</w:t>
            </w:r>
          </w:p>
        </w:tc>
        <w:tc>
          <w:tcPr>
            <w:tcW w:type="dxa" w:w="30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KEY DRIVER</w:t>
            </w:r>
          </w:p>
        </w:tc>
      </w:tr>
      <w:tr>
        <w:tc>
          <w:tcPr>
            <w:tcW w:type="dxa" w:w="17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ZBA</w:t>
            </w:r>
          </w:p>
        </w:tc>
        <w:tc>
          <w:tcPr>
            <w:tcW w:type="dxa" w:w="13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C44444"/>
                <w:sz w:val="18"/>
                <w:szCs w:val="18"/>
              </w:rPr>
              <w:t xml:space="preserve">HIGH</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mo</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6–18 mo</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$130K+</w:t>
            </w:r>
          </w:p>
        </w:tc>
        <w:tc>
          <w:tcPr>
            <w:tcW w:type="dxa" w:w="30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Staff backlog; no refund incentive; councillor opposition</w:t>
            </w:r>
          </w:p>
        </w:tc>
      </w:tr>
      <w:tr>
        <w:tc>
          <w:tcPr>
            <w:tcW w:type="dxa" w:w="17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OLT Appeal</w:t>
            </w:r>
          </w:p>
        </w:tc>
        <w:tc>
          <w:tcPr>
            <w:tcW w:type="dxa" w:w="13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E8C87A"/>
                <w:sz w:val="18"/>
                <w:szCs w:val="18"/>
              </w:rPr>
              <w:t xml:space="preserve">MEDIUM</w:t>
            </w:r>
          </w:p>
        </w:tc>
        <w:tc>
          <w:tcPr>
            <w:tcW w:type="dxa" w:w="11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mo</w:t>
            </w:r>
          </w:p>
        </w:tc>
        <w:tc>
          <w:tcPr>
            <w:tcW w:type="dxa" w:w="11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 mo</w:t>
            </w:r>
          </w:p>
        </w:tc>
        <w:tc>
          <w:tcPr>
            <w:tcW w:type="dxa" w:w="11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$130K+</w:t>
            </w:r>
          </w:p>
        </w:tc>
        <w:tc>
          <w:tcPr>
            <w:tcW w:type="dxa" w:w="30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Third-party appeals still available for ZBA</w:t>
            </w:r>
          </w:p>
        </w:tc>
      </w:tr>
      <w:tr>
        <w:tc>
          <w:tcPr>
            <w:tcW w:type="dxa" w:w="17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SPA</w:t>
            </w:r>
          </w:p>
        </w:tc>
        <w:tc>
          <w:tcPr>
            <w:tcW w:type="dxa" w:w="13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MEDIUM</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3–6 mo</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mo</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$130K+</w:t>
            </w:r>
          </w:p>
        </w:tc>
        <w:tc>
          <w:tcPr>
            <w:tcW w:type="dxa" w:w="30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Understaffed Dev Review Division; 8–12 mo average</w:t>
            </w:r>
          </w:p>
        </w:tc>
      </w:tr>
      <w:tr>
        <w:tc>
          <w:tcPr>
            <w:tcW w:type="dxa" w:w="17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CoA (MV)</w:t>
            </w:r>
          </w:p>
        </w:tc>
        <w:tc>
          <w:tcPr>
            <w:tcW w:type="dxa" w:w="13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4ECDC4"/>
                <w:sz w:val="18"/>
                <w:szCs w:val="18"/>
              </w:rPr>
              <w:t xml:space="preserve">LOW</w:t>
            </w:r>
          </w:p>
        </w:tc>
        <w:tc>
          <w:tcPr>
            <w:tcW w:type="dxa" w:w="11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 mo</w:t>
            </w:r>
          </w:p>
        </w:tc>
        <w:tc>
          <w:tcPr>
            <w:tcW w:type="dxa" w:w="11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 mo</w:t>
            </w:r>
          </w:p>
        </w:tc>
        <w:tc>
          <w:tcPr>
            <w:tcW w:type="dxa" w:w="11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$130K+</w:t>
            </w:r>
          </w:p>
        </w:tc>
        <w:tc>
          <w:tcPr>
            <w:tcW w:type="dxa" w:w="30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Low risk post-ZBA; TLAB adds 4–8 mo if appealed</w:t>
            </w:r>
          </w:p>
        </w:tc>
      </w:tr>
      <w:tr>
        <w:tc>
          <w:tcPr>
            <w:tcW w:type="dxa" w:w="17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Bldg Permit</w:t>
            </w:r>
          </w:p>
        </w:tc>
        <w:tc>
          <w:tcPr>
            <w:tcW w:type="dxa" w:w="13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LOW-MED</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 mo</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2–4 mo</w:t>
            </w:r>
          </w:p>
        </w:tc>
        <w:tc>
          <w:tcPr>
            <w:tcW w:type="dxa" w:w="11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$130K+</w:t>
            </w:r>
          </w:p>
        </w:tc>
        <w:tc>
          <w:tcPr>
            <w:tcW w:type="dxa" w:w="30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Conditional permits for shoring available to overlap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Bottleneck verdict (Q1 2026): ZBA is the primary bottleneck for both typologies. SPA is secondary, compounded by OPA 688’s sequential requirement. CoA is lowest-risk when properly sequenced after enacted ZBA. The conditional permit strategy (shoring/excavation during NOAC clearance) is the highest-ROI timeline optimization available.</w:t>
            </w:r>
          </w:p>
        </w:tc>
      </w:tr>
    </w:tbl>
    <w:p>
      <w:r>
        <w:br w:type="page"/>
      </w:r>
    </w:p>
    <w:p>
      <w:pPr>
        <w:spacing w:after="80" w:before="320"/>
      </w:pPr>
      <w:r>
        <w:rPr>
          <w:rFonts w:ascii="Montserrat" w:cs="Montserrat" w:eastAsia="Montserrat" w:hAnsi="Montserrat"/>
          <w:b/>
          <w:bCs/>
          <w:color w:val="AEBC46"/>
          <w:sz w:val="18"/>
          <w:szCs w:val="18"/>
        </w:rPr>
        <w:t xml:space="preserve">SECTION 9 — CONSTRUCTION TRANSITION</w:t>
      </w:r>
    </w:p>
    <w:p>
      <w:pPr>
        <w:pStyle w:val="Heading1"/>
      </w:pPr>
      <w:r>
        <w:rPr>
          <w:rFonts w:ascii="Montserrat" w:cs="Montserrat" w:eastAsia="Montserrat" w:hAnsi="Montserrat"/>
          <w:b/>
          <w:bCs/>
          <w:color w:val="2D2D2D"/>
          <w:sz w:val="44"/>
          <w:szCs w:val="44"/>
        </w:rPr>
        <w:t xml:space="preserve">NOAC to First Pour: Construction Transition</w:t>
      </w:r>
    </w:p>
    <w:p>
      <w:pPr>
        <w:pStyle w:val="Heading2"/>
      </w:pPr>
      <w:r>
        <w:rPr>
          <w:rFonts w:ascii="Montserrat" w:cs="Montserrat" w:eastAsia="Montserrat" w:hAnsi="Montserrat"/>
          <w:b/>
          <w:bCs/>
          <w:color w:val="2D2D2D"/>
          <w:sz w:val="34"/>
          <w:szCs w:val="34"/>
        </w:rPr>
        <w:t xml:space="preserve">9.1  NOAC Conditions Clearance (Months 1–3)</w:t>
      </w:r>
    </w:p>
    <w:p>
      <w:pPr>
        <w:spacing w:after="100" w:before="100"/>
      </w:pPr>
      <w:r>
        <w:rPr>
          <w:rFonts w:ascii="Montserrat" w:cs="Montserrat" w:eastAsia="Montserrat" w:hAnsi="Montserrat"/>
          <w:color w:val="2D2D2D"/>
          <w:sz w:val="22"/>
          <w:szCs w:val="22"/>
        </w:rPr>
        <w:t xml:space="preserve">NOAC conditions typically include: S.37/CBC agreement execution, posting of securities (letters of credit for servicing, landscaping, public realm), easement registration, final engineering drawings, DC payment terms confirmation, and Site Plan Agreement execution. Clearance takes 2–3 months for an experienced team.</w:t>
      </w:r>
    </w:p>
    <w:p>
      <w:pPr>
        <w:pStyle w:val="Heading2"/>
      </w:pPr>
      <w:r>
        <w:rPr>
          <w:rFonts w:ascii="Montserrat" w:cs="Montserrat" w:eastAsia="Montserrat" w:hAnsi="Montserrat"/>
          <w:b/>
          <w:bCs/>
          <w:color w:val="2D2D2D"/>
          <w:sz w:val="34"/>
          <w:szCs w:val="34"/>
        </w:rPr>
        <w:t xml:space="preserve">9.2  Conditional Permits for Shoring &amp; Excavation</w:t>
      </w:r>
    </w:p>
    <w:p>
      <w:pPr>
        <w:spacing w:after="100" w:before="100"/>
      </w:pPr>
      <w:r>
        <w:rPr>
          <w:rFonts w:ascii="Montserrat" w:cs="Montserrat" w:eastAsia="Montserrat" w:hAnsi="Montserrat"/>
          <w:color w:val="2D2D2D"/>
          <w:sz w:val="22"/>
          <w:szCs w:val="22"/>
        </w:rPr>
        <w:t xml:space="preserve">Toronto Building issues partial and conditional permits for shoring, excavation, and foundation work before the full building permit. This is the critical-path accelerator: file for shoring/excavation conditional permit while NOAC conditions are being cleared, overlapping 2–3 months. Requires deposit on building permit fee (projects &gt;$20,000) and completed geotechnical + structural engineering for below-grade. Shoring installation: 6–10 weeks depending on lot size and soil.</w:t>
      </w:r>
    </w:p>
    <w:p>
      <w:pPr>
        <w:pStyle w:val="Heading2"/>
      </w:pPr>
      <w:r>
        <w:rPr>
          <w:rFonts w:ascii="Montserrat" w:cs="Montserrat" w:eastAsia="Montserrat" w:hAnsi="Montserrat"/>
          <w:b/>
          <w:bCs/>
          <w:color w:val="2D2D2D"/>
          <w:sz w:val="34"/>
          <w:szCs w:val="34"/>
        </w:rPr>
        <w:t xml:space="preserve">9.3  Construction Transition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MILESTONE</w:t>
            </w:r>
          </w:p>
        </w:tc>
        <w:tc>
          <w:tcPr>
            <w:tcW w:type="dxa" w:w="28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DURATION</w:t>
            </w:r>
          </w:p>
        </w:tc>
        <w:tc>
          <w:tcPr>
            <w:tcW w:type="dxa" w:w="28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CUMULATIVE</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NOAC issued</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Day 0</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0</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NOAC conditions clearance</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2–3 months</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2–3</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Conditional permit (shoring) filed</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Overlap with NOAC</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1–2</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Shoring &amp; excavation begin</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Upon permit</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2–3</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Full building permit issued</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 months from filing</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4–6</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Excavation to design depth</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6–10 weeks</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4–5</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Foundation / first concrete pour</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weeks after depth</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Month 6–8</w:t>
            </w:r>
          </w:p>
        </w:tc>
      </w:tr>
    </w:tbl>
    <w:p>
      <w:pPr>
        <w:spacing w:after="100" w:before="100"/>
      </w:pPr>
      <w:r>
        <w:rPr>
          <w:rFonts w:ascii="Montserrat" w:cs="Montserrat" w:eastAsia="Montserrat" w:hAnsi="Montserrat"/>
          <w:b/>
          <w:bCs/>
          <w:color w:val="2D2D2D"/>
          <w:sz w:val="22"/>
          <w:szCs w:val="22"/>
        </w:rPr>
        <w:t xml:space="preserve">Savings: </w:t>
      </w:r>
      <w:r>
        <w:rPr>
          <w:rFonts w:ascii="Montserrat" w:cs="Montserrat" w:eastAsia="Montserrat" w:hAnsi="Montserrat"/>
          <w:color w:val="2D2D2D"/>
          <w:sz w:val="22"/>
          <w:szCs w:val="22"/>
        </w:rPr>
        <w:t xml:space="preserve">Conditional permit strategy compresses NOAC-to-first-pour from 8–10 months to 6–8 months, saving ~$260K–$310K in holding costs.</w:t>
      </w:r>
    </w:p>
    <w:p>
      <w:r>
        <w:br w:type="page"/>
      </w:r>
    </w:p>
    <w:p>
      <w:pPr>
        <w:spacing w:after="80" w:before="320"/>
      </w:pPr>
      <w:r>
        <w:rPr>
          <w:rFonts w:ascii="Montserrat" w:cs="Montserrat" w:eastAsia="Montserrat" w:hAnsi="Montserrat"/>
          <w:b/>
          <w:bCs/>
          <w:color w:val="AEBC46"/>
          <w:sz w:val="18"/>
          <w:szCs w:val="18"/>
        </w:rPr>
        <w:t xml:space="preserve">SECTION 10 — ESTATEBUILDER.AI INTEGRATION</w:t>
      </w:r>
    </w:p>
    <w:p>
      <w:pPr>
        <w:pStyle w:val="Heading1"/>
      </w:pPr>
      <w:r>
        <w:rPr>
          <w:rFonts w:ascii="Montserrat" w:cs="Montserrat" w:eastAsia="Montserrat" w:hAnsi="Montserrat"/>
          <w:b/>
          <w:bCs/>
          <w:color w:val="2D2D2D"/>
          <w:sz w:val="44"/>
          <w:szCs w:val="44"/>
        </w:rPr>
        <w:t xml:space="preserve">Pro-Forma Engine Integration Guide</w:t>
      </w:r>
    </w:p>
    <w:p>
      <w:pPr>
        <w:spacing w:after="100" w:before="100"/>
      </w:pPr>
      <w:r>
        <w:rPr>
          <w:rFonts w:ascii="Montserrat" w:cs="Montserrat" w:eastAsia="Montserrat" w:hAnsi="Montserrat"/>
          <w:color w:val="2D2D2D"/>
          <w:sz w:val="22"/>
          <w:szCs w:val="22"/>
        </w:rPr>
        <w:t xml:space="preserve">This section provides the exact values and formulas that EstateBuilder.ai’s pro-forma engine (proforma.js) should use when calculating approval-phase soft costs and development charges. All values are derived from the data in the preceding sections.</w:t>
      </w:r>
    </w:p>
    <w:p>
      <w:pPr>
        <w:pStyle w:val="Heading2"/>
      </w:pPr>
      <w:r>
        <w:rPr>
          <w:rFonts w:ascii="Montserrat" w:cs="Montserrat" w:eastAsia="Montserrat" w:hAnsi="Montserrat"/>
          <w:b/>
          <w:bCs/>
          <w:color w:val="2D2D2D"/>
          <w:sz w:val="34"/>
          <w:szCs w:val="34"/>
        </w:rPr>
        <w:t xml:space="preserve">10.1  Development Charge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P.PF PROPERTY</w:t>
            </w:r>
          </w:p>
        </w:tc>
        <w:tc>
          <w:tcPr>
            <w:tcW w:type="dxa" w:w="20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VALUE</w:t>
            </w:r>
          </w:p>
        </w:tc>
        <w:tc>
          <w:tcPr>
            <w:tcW w:type="dxa" w:w="20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EFFECTIVE</w:t>
            </w:r>
          </w:p>
        </w:tc>
        <w:tc>
          <w:tcPr>
            <w:tcW w:type="dxa" w:w="21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NOTES</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dcAptBach1Bed</w:t>
            </w:r>
          </w:p>
        </w:tc>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$52,676</w:t>
            </w:r>
          </w:p>
        </w:tc>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June 26, 2025</w:t>
            </w:r>
          </w:p>
        </w:tc>
        <w:tc>
          <w:tcPr>
            <w:tcW w:type="dxa" w:w="21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Frozen thru 2026</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dcApt2Bed</w:t>
            </w:r>
          </w:p>
        </w:tc>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$80,218</w:t>
            </w:r>
          </w:p>
        </w:tc>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June 26, 2025</w:t>
            </w:r>
          </w:p>
        </w:tc>
        <w:tc>
          <w:tcPr>
            <w:tcW w:type="dxa" w:w="21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Frozen thru 2026</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dcRow</w:t>
            </w:r>
          </w:p>
        </w:tc>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$107,070*</w:t>
            </w:r>
          </w:p>
        </w:tc>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June 26, 2025</w:t>
            </w:r>
          </w:p>
        </w:tc>
        <w:tc>
          <w:tcPr>
            <w:tcW w:type="dxa" w:w="21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Verify from PDF</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dcSingle</w:t>
            </w:r>
          </w:p>
        </w:tc>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$137,846</w:t>
            </w:r>
          </w:p>
        </w:tc>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June 26, 2025</w:t>
            </w:r>
          </w:p>
        </w:tc>
        <w:tc>
          <w:tcPr>
            <w:tcW w:type="dxa" w:w="21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Frozen thru 2026</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dcRentalDiscount</w:t>
            </w:r>
          </w:p>
        </w:tc>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0.625</w:t>
            </w:r>
          </w:p>
        </w:tc>
        <w:tc>
          <w:tcPr>
            <w:tcW w:type="dxa" w:w="2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2025</w:t>
            </w:r>
          </w:p>
        </w:tc>
        <w:tc>
          <w:tcPr>
            <w:tcW w:type="dxa" w:w="21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37.5% reduction</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cbcRate</w:t>
            </w:r>
          </w:p>
        </w:tc>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0.04</w:t>
            </w:r>
          </w:p>
        </w:tc>
        <w:tc>
          <w:tcPr>
            <w:tcW w:type="dxa" w:w="2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Statutory</w:t>
            </w:r>
          </w:p>
        </w:tc>
        <w:tc>
          <w:tcPr>
            <w:tcW w:type="dxa" w:w="21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 of appraised land value</w:t>
            </w:r>
          </w:p>
        </w:tc>
      </w:tr>
    </w:tbl>
    <w:p>
      <w:pPr>
        <w:pStyle w:val="Heading2"/>
      </w:pPr>
      <w:r>
        <w:rPr>
          <w:rFonts w:ascii="Montserrat" w:cs="Montserrat" w:eastAsia="Montserrat" w:hAnsi="Montserrat"/>
          <w:b/>
          <w:bCs/>
          <w:color w:val="2D2D2D"/>
          <w:sz w:val="34"/>
          <w:szCs w:val="34"/>
        </w:rPr>
        <w:t xml:space="preserve">10.2  Approval Timeline Constants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PHASE</w:t>
            </w:r>
          </w:p>
        </w:tc>
        <w:tc>
          <w:tcPr>
            <w:tcW w:type="dxa" w:w="30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MID-RISE (MONTHS)</w:t>
            </w:r>
          </w:p>
        </w:tc>
        <w:tc>
          <w:tcPr>
            <w:tcW w:type="dxa" w:w="30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6"/>
                <w:szCs w:val="16"/>
              </w:rPr>
              <w:t xml:space="preserve">HIGH-RISE (MONTHS)</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PAC</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ZBA review + community + Council</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8–10</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12–15</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OLT appeal (if triggered)</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SPA (sequential, post-ZBA)</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CoA Minor Variance</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w:t>
            </w:r>
          </w:p>
        </w:tc>
      </w:tr>
      <w:tr>
        <w:tc>
          <w:tcPr>
            <w:tcW w:type="dxa" w:w="3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NOAC + Building Permit</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w:t>
            </w:r>
          </w:p>
        </w:tc>
        <w:tc>
          <w:tcPr>
            <w:tcW w:type="dxa" w:w="30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Shoring/Excavation to First Pour</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w:t>
            </w:r>
          </w:p>
        </w:tc>
      </w:tr>
      <w:tr>
        <w:tc>
          <w:tcPr>
            <w:tcW w:type="dxa" w:w="3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TOTAL (optimistic / realistic)</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18–24 months</w:t>
            </w:r>
          </w:p>
        </w:tc>
        <w:tc>
          <w:tcPr>
            <w:tcW w:type="dxa" w:w="30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30–36 months</w:t>
            </w:r>
          </w:p>
        </w:tc>
      </w:tr>
    </w:tbl>
    <w:p>
      <w:pPr>
        <w:pStyle w:val="Heading2"/>
      </w:pPr>
      <w:r>
        <w:rPr>
          <w:rFonts w:ascii="Montserrat" w:cs="Montserrat" w:eastAsia="Montserrat" w:hAnsi="Montserrat"/>
          <w:b/>
          <w:bCs/>
          <w:color w:val="2D2D2D"/>
          <w:sz w:val="34"/>
          <w:szCs w:val="34"/>
        </w:rPr>
        <w:t xml:space="preserve">10.3  Soft Cost Estimation Formula</w:t>
      </w:r>
    </w:p>
    <w:p>
      <w:pPr>
        <w:spacing w:after="100" w:before="100"/>
      </w:pPr>
      <w:r>
        <w:rPr>
          <w:rFonts w:ascii="Montserrat" w:cs="Montserrat" w:eastAsia="Montserrat" w:hAnsi="Montserrat"/>
          <w:color w:val="2D2D2D"/>
          <w:sz w:val="22"/>
          <w:szCs w:val="22"/>
        </w:rPr>
        <w:t xml:space="preserve">The pro-forma engine should calculate total approval-phase soft costs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totalSoftApproval = applicationFees + consultantFees + requiredStudies + (monthlyHoldingCost × approvalMonths) + (landValue × cbcRate) + oltContingency
Where monthlyHoldingCost = (landCost × 0.075 / 12) + propertyTaxMonthly + insuranceMonthly + consultantRetainerMonthly
And totalDCs = (bach1BedUnits × dcAptBach1Bed) + (twoPlusBedUnits × dcApt2Bed) + (rowUnits × dcRow) + (singleUnits × dcSingle)
For rental: totalDCs = sum above × dcRentalDiscount</w:t>
            </w:r>
          </w:p>
        </w:tc>
      </w:tr>
    </w:tbl>
    <w:p>
      <w:pPr>
        <w:pStyle w:val="Heading2"/>
      </w:pPr>
      <w:r>
        <w:rPr>
          <w:rFonts w:ascii="Montserrat" w:cs="Montserrat" w:eastAsia="Montserrat" w:hAnsi="Montserrat"/>
          <w:b/>
          <w:bCs/>
          <w:color w:val="2D2D2D"/>
          <w:sz w:val="34"/>
          <w:szCs w:val="34"/>
        </w:rPr>
        <w:t xml:space="preserve">10.4  Key Reference Links</w:t>
      </w:r>
    </w:p>
    <w:p>
      <w:pPr>
        <w:pStyle w:val="ListParagraph"/>
        <w:numPr>
          <w:ilvl w:val="0"/>
          <w:numId w:val="2"/>
        </w:numPr>
        <w:spacing w:after="40" w:before="40"/>
      </w:pPr>
      <w:r>
        <w:rPr>
          <w:rFonts w:ascii="Montserrat" w:cs="Montserrat" w:eastAsia="Montserrat" w:hAnsi="Montserrat"/>
          <w:color w:val="2D2D2D"/>
          <w:sz w:val="22"/>
          <w:szCs w:val="22"/>
        </w:rPr>
        <w:t xml:space="preserve">DC Rates (June 26, 2025): toronto.ca/wp-content/uploads/2025/08/9709-DC-Rates-June-26-2025.pdf</w:t>
      </w:r>
    </w:p>
    <w:p>
      <w:pPr>
        <w:pStyle w:val="ListParagraph"/>
        <w:numPr>
          <w:ilvl w:val="0"/>
          <w:numId w:val="2"/>
        </w:numPr>
        <w:spacing w:after="40" w:before="40"/>
      </w:pPr>
      <w:r>
        <w:rPr>
          <w:rFonts w:ascii="Montserrat" w:cs="Montserrat" w:eastAsia="Montserrat" w:hAnsi="Montserrat"/>
          <w:color w:val="2D2D2D"/>
          <w:sz w:val="22"/>
          <w:szCs w:val="22"/>
        </w:rPr>
        <w:t xml:space="preserve">2026 Fee Schedule: toronto.ca/wp-content/uploads/2025/11/920f-city-planning-development-approval-application-jan-2026.pdf</w:t>
      </w:r>
    </w:p>
    <w:p>
      <w:pPr>
        <w:pStyle w:val="ListParagraph"/>
        <w:numPr>
          <w:ilvl w:val="0"/>
          <w:numId w:val="2"/>
        </w:numPr>
        <w:spacing w:after="40" w:before="40"/>
      </w:pPr>
      <w:r>
        <w:rPr>
          <w:rFonts w:ascii="Montserrat" w:cs="Montserrat" w:eastAsia="Montserrat" w:hAnsi="Montserrat"/>
          <w:color w:val="2D2D2D"/>
          <w:sz w:val="22"/>
          <w:szCs w:val="22"/>
        </w:rPr>
        <w:t xml:space="preserve">Bill 185 text: ola.org/en/legislative-business/bills/parliament-43/session-1/bill-185</w:t>
      </w:r>
    </w:p>
    <w:p>
      <w:pPr>
        <w:pStyle w:val="ListParagraph"/>
        <w:numPr>
          <w:ilvl w:val="0"/>
          <w:numId w:val="2"/>
        </w:numPr>
        <w:spacing w:after="40" w:before="40"/>
      </w:pPr>
      <w:r>
        <w:rPr>
          <w:rFonts w:ascii="Montserrat" w:cs="Montserrat" w:eastAsia="Montserrat" w:hAnsi="Montserrat"/>
          <w:color w:val="2D2D2D"/>
          <w:sz w:val="22"/>
          <w:szCs w:val="22"/>
        </w:rPr>
        <w:t xml:space="preserve">Tall Building Guidelines: toronto.ca (search “Tall Building Design Guidelines 2013”)</w:t>
      </w:r>
    </w:p>
    <w:p>
      <w:pPr>
        <w:pStyle w:val="ListParagraph"/>
        <w:numPr>
          <w:ilvl w:val="0"/>
          <w:numId w:val="2"/>
        </w:numPr>
        <w:spacing w:after="40" w:before="40"/>
      </w:pPr>
      <w:r>
        <w:rPr>
          <w:rFonts w:ascii="Montserrat" w:cs="Montserrat" w:eastAsia="Montserrat" w:hAnsi="Montserrat"/>
          <w:color w:val="2D2D2D"/>
          <w:sz w:val="22"/>
          <w:szCs w:val="22"/>
        </w:rPr>
        <w:t xml:space="preserve">Mid-Rise Performance Standards: toronto.ca (search “Mid-Rise Performance Standards 2024”)</w:t>
      </w:r>
    </w:p>
    <w:p>
      <w:r>
        <w:br w:type="page"/>
      </w:r>
    </w:p>
    <w:p>
      <w:pPr>
        <w:spacing w:after="80" w:before="320"/>
      </w:pPr>
      <w:r>
        <w:rPr>
          <w:rFonts w:ascii="Montserrat" w:cs="Montserrat" w:eastAsia="Montserrat" w:hAnsi="Montserrat"/>
          <w:b/>
          <w:bCs/>
          <w:color w:val="AEBC46"/>
          <w:sz w:val="18"/>
          <w:szCs w:val="18"/>
        </w:rPr>
        <w:t xml:space="preserve">SECTION 11 — METHODOLOGY &amp; DISCLAIMERS</w:t>
      </w:r>
    </w:p>
    <w:p>
      <w:pPr>
        <w:pStyle w:val="Heading1"/>
      </w:pPr>
      <w:r>
        <w:rPr>
          <w:rFonts w:ascii="Montserrat" w:cs="Montserrat" w:eastAsia="Montserrat" w:hAnsi="Montserrat"/>
          <w:b/>
          <w:bCs/>
          <w:color w:val="2D2D2D"/>
          <w:sz w:val="44"/>
          <w:szCs w:val="44"/>
        </w:rPr>
        <w:t xml:space="preserve">Methodology &amp; Disclaimers</w:t>
      </w:r>
    </w:p>
    <w:p>
      <w:pPr>
        <w:spacing w:after="100" w:before="100"/>
      </w:pPr>
      <w:r>
        <w:rPr>
          <w:rFonts w:ascii="Montserrat" w:cs="Montserrat" w:eastAsia="Montserrat" w:hAnsi="Montserrat"/>
          <w:color w:val="2D2D2D"/>
          <w:sz w:val="22"/>
          <w:szCs w:val="22"/>
        </w:rPr>
        <w:t xml:space="preserve">This analysis is based on: City of Toronto 2026 Fee Schedules (effective January 1, 2026, +4.82% COLA); City of Toronto Development Charge Rates (effective June 26, 2025, By-law 1347-2022 as amended, indexing frozen for 2025–2026 per Council direction EX24.2/MM32.5); Bill 185 (Cutting Red Tape to Build More Homes Act, 2024, Royal Assent June 6, 2024); OPA 688; City of Toronto Tall Building Design Guidelines (2013); Mid-Rise Performance Standards (November 2024 update); Provincial MTSA/PMTSA density rules (August 2025); and historical approval timeline data from OLT and City Planning annual reports.</w:t>
      </w:r>
    </w:p>
    <w:p>
      <w:pPr>
        <w:spacing w:after="100" w:before="100"/>
      </w:pPr>
      <w:r>
        <w:rPr>
          <w:rFonts w:ascii="Montserrat" w:cs="Montserrat" w:eastAsia="Montserrat" w:hAnsi="Montserrat"/>
          <w:color w:val="2D2D2D"/>
          <w:sz w:val="22"/>
          <w:szCs w:val="22"/>
        </w:rPr>
        <w:t xml:space="preserve">All cost estimates represent order-of-magnitude ranges for planning and budgeting purposes. Actual costs vary based on site-specific conditions, consultant selection, market conditions, and the political environment at the time of application. Development charges are subject to change upon adoption of a new DC by-law. The Row/Townhouse DC rate ($107,070) is interpolated and should be verified against the official June 26, 2025 DC rates PDF. This report does not constitute legal or financial advice.</w:t>
      </w:r>
    </w:p>
    <w:p>
      <w:pPr>
        <w:spacing w:after="100" w:before="100"/>
      </w:pPr>
      <w:r>
        <w:rPr>
          <w:rFonts w:ascii="Montserrat" w:cs="Montserrat" w:eastAsia="Montserrat" w:hAnsi="Montserrat"/>
          <w:color w:val="888888"/>
          <w:sz w:val="20"/>
          <w:szCs w:val="20"/>
        </w:rPr>
        <w:t xml:space="preserve">Prepared by OleaDev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4"/>
      </w:pBdr>
      <w:tabs>
        <w:tab w:val="center" w:pos="4680"/>
        <w:tab w:val="right" w:pos="9360"/>
      </w:tabs>
    </w:pPr>
    <w:r>
      <w:rPr>
        <w:rFonts w:ascii="Montserrat" w:cs="Montserrat" w:eastAsia="Montserrat" w:hAnsi="Montserrat"/>
        <w:color w:val="888888"/>
        <w:sz w:val="16"/>
        <w:szCs w:val="16"/>
      </w:rPr>
      <w:t xml:space="preserve">Confidential</w:t>
    </w:r>
    <w:r>
      <w:rPr>
        <w:rFonts w:ascii="Montserrat" w:cs="Montserrat" w:eastAsia="Montserrat" w:hAnsi="Montserrat"/>
        <w:color w:val="888888"/>
        <w:sz w:val="16"/>
        <w:szCs w:val="16"/>
      </w:rPr>
      <w:t xml:space="preserve">	Page </w:t>
    </w:r>
    <w:r>
      <w:rPr>
        <w:rFonts w:ascii="Montserrat" w:cs="Montserrat" w:eastAsia="Montserrat" w:hAnsi="Montserrat"/>
        <w:color w:val="888888"/>
        <w:sz w:val="16"/>
        <w:szCs w:val="16"/>
      </w:rPr>
      <w:fldChar w:fldCharType="begin"/>
      <w:instrText xml:space="preserve">PAGE</w:instrText>
      <w:fldChar w:fldCharType="separate"/>
      <w:fldChar w:fldCharType="end"/>
    </w:r>
    <w:r>
      <w:rPr>
        <w:rFonts w:ascii="Montserrat" w:cs="Montserrat" w:eastAsia="Montserrat" w:hAnsi="Montserrat"/>
        <w:color w:val="888888"/>
        <w:sz w:val="16"/>
        <w:szCs w:val="16"/>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BC46" w:sz="6" w:space="4"/>
      </w:pBdr>
      <w:tabs>
        <w:tab w:val="right" w:pos="9026"/>
      </w:tabs>
    </w:pPr>
    <w:r>
      <w:rPr>
        <w:rFonts w:ascii="Montserrat" w:cs="Montserrat" w:eastAsia="Montserrat" w:hAnsi="Montserrat"/>
        <w:b/>
        <w:bCs/>
        <w:color w:val="1A1A1A"/>
        <w:sz w:val="18"/>
        <w:szCs w:val="18"/>
      </w:rPr>
      <w:t xml:space="preserve">OLEADEV</w:t>
    </w:r>
    <w:r>
      <w:rPr>
        <w:rFonts w:ascii="Montserrat" w:cs="Montserrat" w:eastAsia="Montserrat" w:hAnsi="Montserrat"/>
        <w:color w:val="888888"/>
        <w:sz w:val="18"/>
        <w:szCs w:val="18"/>
      </w:rPr>
      <w:t xml:space="preserve">	Toronto Approvals Reference — EstateBuilder.ai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EBC46" w:sz="6" w:space="4"/>
      </w:pBdr>
      <w:spacing w:after="160" w:before="320"/>
      <w:outlineLvl w:val="0"/>
    </w:pPr>
    <w:rPr>
      <w:rFonts w:ascii="Montserrat" w:cs="Montserrat" w:eastAsia="Montserrat" w:hAnsi="Montserrat"/>
      <w:b/>
      <w:bCs/>
      <w:color w:val="2D2D2D"/>
      <w:sz w:val="44"/>
      <w:szCs w:val="44"/>
    </w:rPr>
  </w:style>
  <w:style w:type="paragraph" w:styleId="Heading2">
    <w:name w:val="Heading 2"/>
    <w:basedOn w:val="Normal"/>
    <w:next w:val="Normal"/>
    <w:qFormat/>
    <w:pPr>
      <w:spacing w:after="120" w:before="240"/>
      <w:outlineLvl w:val="1"/>
    </w:pPr>
    <w:rPr>
      <w:rFonts w:ascii="Montserrat" w:cs="Montserrat" w:eastAsia="Montserrat" w:hAnsi="Montserrat"/>
      <w:b/>
      <w:bCs/>
      <w:color w:val="2D2D2D"/>
      <w:sz w:val="34"/>
      <w:szCs w:val="34"/>
    </w:rPr>
  </w:style>
  <w:style w:type="paragraph" w:styleId="Heading3">
    <w:name w:val="Heading 3"/>
    <w:basedOn w:val="Normal"/>
    <w:next w:val="Normal"/>
    <w:qFormat/>
    <w:pPr>
      <w:spacing w:after="80" w:before="160"/>
      <w:outlineLvl w:val="2"/>
    </w:pPr>
    <w:rPr>
      <w:rFonts w:ascii="Montserrat" w:cs="Montserrat" w:eastAsia="Montserrat" w:hAnsi="Montserrat"/>
      <w:b/>
      <w:bCs/>
      <w:color w:val="8888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2026-04-17T21:51:24.132Z</dcterms:created>
  <dcterms:modified xsi:type="dcterms:W3CDTF">2026-04-17T21:51:24.132Z</dcterms:modified>
</cp:coreProperties>
</file>

<file path=docProps/custom.xml><?xml version="1.0" encoding="utf-8"?>
<Properties xmlns="http://schemas.openxmlformats.org/officeDocument/2006/custom-properties" xmlns:vt="http://schemas.openxmlformats.org/officeDocument/2006/docPropsVTypes"/>
</file>